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Rozporządzenie Rządu nr 559/2023 z dnia 14 grudnia 2023 r. w sprawie</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działań mających na celu zapobieganie wytwarzaniu odpadów ulegających biodegradacji, szczegółowych przepisów dotyczących działalności w zakresie gospodarowania odpadami związanych z odpadami ulegającymi biodegradacji oraz przepisów dotyczących klasyfikacji kompostu wytwarzanego z bioodpadów</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Na podstawie umocowania wynikającego z art. 88 ust. 1 pkt 28 i 29 ustawy CLXXXV z 2012 r. o odpadach oraz w odniesieniu do art. 20, na podstawie umocowania wynikającego z art. 31 ust. 1 lit. a) ppkt (ac) ustawy CXXX z 2010 r. o ustawodawstwie i działając w zakresie swoich funkcji określonych w art. 15 ust. 1 ustawy zasadniczej, Rząd ustanawia, co następuje:</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Zakres</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xml:space="preserve"> (1) Niniejsze rozporządzenie dotyczy</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zapobiegania powstawaniu odpadów ulegających biodegradacji,</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odpadów ulegających biodegradacji,</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odpadów stabilizowanych,</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odpadów mieszanych,</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pozostałości fermentacyjnych,</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kompostu,</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kompostowania domowego i sąsiedzkiego,</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kompostowania na miejscu,</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kompostowalnych biologicznych tworzyw sztucznych,</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substancji pomocniczych w przetwórstwie przeznaczonych na potrzeby kompostowania na miejscu,</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stabilizacji,</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produkcji biogazu,</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m) substancji pomocniczych w przetwórstwie przeznaczonych na potrzeby produkcji biogazu, oraz</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utraty statusu odpadu przez odpady ulegające biodegradacji.</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Niniejsze rozporządzenie nie ma zastosowania do</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biologicznego usuwania zanieczyszczonych formacji geologicznych lub wydobytych zanieczyszczonych gleb w procesie rekultywacji,</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powierzchniowych i podpowierzchniowych pozostałości upraw powstałych podczas działalności rolniczej i leśnej,</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biogazu naturalnie powstającego na składowiskach odpadów, oraz</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odpadów z olejów i tłuszczów kuchennych objętych systemem rozszerzonej odpowiedzialności producenta.</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Definicje</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2 </w:t>
      </w:r>
      <w:r>
        <w:rPr>
          <w:rFonts w:ascii="Times New Roman" w:hAnsi="Times New Roman"/>
          <w:sz w:val="24"/>
        </w:rPr>
        <w:t xml:space="preserve"> Do celów niniejszego rozporządzenia:</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„produkt uboczny pochodzenia zwierzęcego”</w:t>
      </w:r>
      <w:r>
        <w:rPr>
          <w:rFonts w:ascii="Times New Roman" w:hAnsi="Times New Roman"/>
          <w:sz w:val="24"/>
        </w:rPr>
        <w:t xml:space="preserve"> oznacza produkty uboczne pochodzenia zwierzęcego w rozumieniu art. 3 ust. 1 rozporządzenia Parlamentu Europejskiego i Rady (WE) nr 1069/2009 z dnia 21 października 2009 r. określającego przepisy sanitarne dotyczące produktów ubocznych pochodzenia zwierzęcego, nieprzeznaczonych do spożycia przez ludzi, i uchylającego rozporządzenie (WE) nr 1774/2002 (dalej: rozporządzenie o produktach ubocznych pochodzenia zwierzęcego);</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„produkty pochodne”</w:t>
      </w:r>
      <w:r>
        <w:rPr>
          <w:rFonts w:ascii="Times New Roman" w:hAnsi="Times New Roman"/>
          <w:sz w:val="24"/>
        </w:rPr>
        <w:t xml:space="preserve"> oznaczają produkty pochodne z produktów ubocznych pochodzenia zwierzęcego w rozumieniu art. 3 ust. 2 rozporządzenia Parlamentu Europejskiego i Rady (WE) nr 1069/2009 z dnia 21 października 2009 r. określającego przepisy sanitarne dotyczące produktów ubocznych pochodzenia zwierzęcego, nieprzeznaczonych do spożycia przez ludzi, i uchylającego rozporządzenie (WE) nr 1774/2002 (dalej: rozporządzenie o produktach ubocznych pochodzenia zwierzęcego);</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„biogaz”</w:t>
      </w:r>
      <w:r>
        <w:rPr>
          <w:rFonts w:ascii="Times New Roman" w:hAnsi="Times New Roman"/>
          <w:sz w:val="24"/>
        </w:rPr>
        <w:t xml:space="preserve"> oznacza mieszaninę metanu, dwutlenku węgla i gazów śladowych powstałych podczas beztlenowego rozkładu substancji ulegającej biodegradacji;</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„produkcja biogazu”</w:t>
      </w:r>
      <w:r>
        <w:rPr>
          <w:rFonts w:ascii="Times New Roman" w:hAnsi="Times New Roman"/>
          <w:sz w:val="24"/>
        </w:rPr>
        <w:t xml:space="preserve"> oznacza proces odzysku, w ramach którego biodegradowalny materiał lub odpady ulegają rozkładowi w kontrolowanych warunkach, w środowisku beztlenowym, z wykorzystaniem mikroorganizmów, w wyniku którego to rozkładu powstaje biogaz i pozostałości fermentacyjne;</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„przetwarzanie biologiczne”</w:t>
      </w:r>
      <w:r>
        <w:rPr>
          <w:rFonts w:ascii="Times New Roman" w:hAnsi="Times New Roman"/>
          <w:sz w:val="24"/>
        </w:rPr>
        <w:t xml:space="preserve"> oznacza produkcję biogazu, wstępne przetwarzanie odpadów zielonych, kompostowanie i stabilizację;</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„obszar przetwarzania wstępnego”</w:t>
      </w:r>
      <w:r>
        <w:rPr>
          <w:rFonts w:ascii="Times New Roman" w:hAnsi="Times New Roman"/>
          <w:sz w:val="24"/>
        </w:rPr>
        <w:t xml:space="preserve"> oznacza miejsce lub obszar objęty ochroną techniczną, który stanowi część terenu wykorzystywanego do przygotowania przetwarzania biologicznego i w którym rozpoczyna się przetwarzanie odpadów ulegających biodegradacji;</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7. </w:t>
      </w:r>
      <w:r>
        <w:rPr>
          <w:rFonts w:ascii="Times New Roman" w:hAnsi="Times New Roman"/>
          <w:i/>
          <w:sz w:val="24"/>
        </w:rPr>
        <w:t>pozostałości fermentacyjne</w:t>
      </w:r>
      <w:r>
        <w:rPr>
          <w:rFonts w:ascii="Times New Roman" w:hAnsi="Times New Roman"/>
          <w:sz w:val="24"/>
        </w:rPr>
        <w:t xml:space="preserve"> oznaczają odpady stałe lub ciekłe powstałe podczas produkcji biogazu;</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odpady gastronomiczne</w:t>
      </w:r>
      <w:r>
        <w:rPr>
          <w:rFonts w:ascii="Times New Roman" w:hAnsi="Times New Roman"/>
          <w:sz w:val="24"/>
        </w:rPr>
        <w:t xml:space="preserve"> oznaczają odpady gastronomiczne zgodnie z definicją zawartą w załączniku 1 do rozporządzenia Komisji (UE) nr 142/2011 w sprawie wykonania rozporządzenia Parlamentu Europejskiego i Rady (WE) nr 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oraz środki spożywcze – w rozumieniu art. 2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 które stały się odpadami;</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kompostowanie domowe</w:t>
      </w:r>
      <w:r>
        <w:rPr>
          <w:rFonts w:ascii="Times New Roman" w:hAnsi="Times New Roman"/>
          <w:sz w:val="24"/>
        </w:rPr>
        <w:t xml:space="preserve"> oznacza przetwarzanie na użytek własny odpadów zielonych oraz kuchennych odpadów zielonych lub innej materii organicznej pochodzenia roślinnego, na terenie nieruchomości, na którym odpady te powstają lub są wytwarzane, lub na terenie innej nieruchomości, gdzie prowadzone jest kompostowanie domowe, w celu dostarczania roślinom składników odżywczych, przy czym przetwarzanie prowadzi do powstania kompostu domowego;</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„oczyszczanie”</w:t>
      </w:r>
      <w:r>
        <w:rPr>
          <w:rFonts w:ascii="Times New Roman" w:hAnsi="Times New Roman"/>
          <w:sz w:val="24"/>
        </w:rPr>
        <w:t xml:space="preserve"> oznacza minimalizację formy wegetatywnej drobnoustrojów zakaźnych w odpadach ulegających biodegradacji, mającą na celu wykluczenie infekcji;</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oznacza odpady zgodnie z załącznikiem 1, a także przypominające próchnicę materiały o wysokiej zawartości materii organicznej, zgodnie z definicją zawartą w odrębnych przepisach, wytwarzane z odpadów zielonych z gospodarstw domowych i z kuchennych odpadów zielonych, z wykorzystaniem substancji pomocniczych w przetwórstwie, w trakcie kompostowania domowego i sąsiedzkiego lub kompostowania na miejscu, które przestały być odpadami;</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„wsad do kompostowania”</w:t>
      </w:r>
      <w:r>
        <w:rPr>
          <w:rFonts w:ascii="Times New Roman" w:hAnsi="Times New Roman"/>
          <w:sz w:val="24"/>
        </w:rPr>
        <w:t xml:space="preserve"> oznacza partię odpadów ulegających biodegradacji oraz substancji pomocniczych w przetwórstwie przetwarzaną w jednolity sposób zgodnie z zastosowaną technologią, po przeprowadzeniu czynności z zakresu przetwarzania wstępnego;</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„partia kompostu”</w:t>
      </w:r>
      <w:r>
        <w:rPr>
          <w:rFonts w:ascii="Times New Roman" w:hAnsi="Times New Roman"/>
          <w:sz w:val="24"/>
        </w:rPr>
        <w:t xml:space="preserve"> oznacza kompost uzyskany z tego samego wsadu do kompostowania;</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„odpady ulegające biodegradacji objęte koncesją”</w:t>
      </w:r>
      <w:r>
        <w:rPr>
          <w:rFonts w:ascii="Times New Roman" w:hAnsi="Times New Roman"/>
          <w:sz w:val="24"/>
        </w:rPr>
        <w:t xml:space="preserve"> oznaczają ulegające biodegradacji odpady zielone pochodzenia roślinnego z ogrodów lub parków, objęte koncesją na mocy ustawy o odpadach, a także kuchenne odpady zielone i odpady gastronomiczne traktowane jako odpady zbliżone do odpadów z gospodarstw domowych, wytworzone przez gospodarstwo domowe lub użytkownika nieruchomości (niebędącego podmiotem gospodarczym), lub kuchenne odpady zielone i odpady gastronomiczne wytworzone przez właściciela nieruchomości (będącego podmiotem gospodarczym) innego niż podmiot gospodarczy w rozumieniu rozporządzenia ministerialnego ustanawiającego przepisy dotyczące zdrowia zwierząt w odniesieniu do produktów ubocznych pochodzenia zwierzęcego nieprzeznaczonych do spożycia przez ludzi;</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„kuchenne odpady gastronomiczne”</w:t>
      </w:r>
      <w:r>
        <w:rPr>
          <w:rFonts w:ascii="Times New Roman" w:hAnsi="Times New Roman"/>
          <w:sz w:val="24"/>
        </w:rPr>
        <w:t xml:space="preserve"> oznaczają przygotowywaną w kuchniach gospodarstw domowych żywność przeznaczoną do spożycia przez ludzi, która stała się odpadem i która nie jest uznawana za kuchenne odpady zielone;</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16. </w:t>
      </w:r>
      <w:r>
        <w:rPr>
          <w:rFonts w:ascii="Times New Roman" w:hAnsi="Times New Roman"/>
          <w:i/>
          <w:sz w:val="24"/>
        </w:rPr>
        <w:t>„kuchenne odpady zielone”</w:t>
      </w:r>
      <w:r>
        <w:rPr>
          <w:rFonts w:ascii="Times New Roman" w:hAnsi="Times New Roman"/>
          <w:sz w:val="24"/>
        </w:rPr>
        <w:t xml:space="preserve"> oznaczają kuchenne odpady pochodzenia roślinnego z gospodarstw domowych uznawane za kuchenne odpady zielone w przypadku gdy kuchenne odpady pochodzenia roślinnego zawierają surowe pozostałości warzyw i owoców, fusy po kawie (z wyłączeniem filtrów, kapsułek i innych materiałów opakowaniowych), fusy po herbacie (bez woreczków i innych materiałów opakowaniowych), przyprawy, zioła, skorupki jaj;</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„zbiórka sąsiedzka”</w:t>
      </w:r>
      <w:r>
        <w:rPr>
          <w:rFonts w:ascii="Times New Roman" w:hAnsi="Times New Roman"/>
          <w:sz w:val="24"/>
        </w:rPr>
        <w:t xml:space="preserve"> oznacza selektywną zbiórkę odpadów zielonych i kuchennych odpadów zielonych w miejscu znajdującym się w pobliżu budynków mieszkalnych, realizowaną przez społeczność użytkowników nieruchomości (osób fizycznych) mieszkających w zespole budynków mieszkalnych;</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„kompostowanie sąsiedzkie”</w:t>
      </w:r>
      <w:r>
        <w:rPr>
          <w:rFonts w:ascii="Times New Roman" w:hAnsi="Times New Roman"/>
          <w:sz w:val="24"/>
        </w:rPr>
        <w:t xml:space="preserve"> oznacza kompostowanie domowe, w przypadku którego przetwarzanie wstępne na potrzeby kompostowania, kompostowanie i stosowanie kompostu realizowane jest wspólnie przez wspólnoty mieszkaniowe, spółdzielnie mieszkaniowe lub małe społeczności;</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„aktywność oddechowa”</w:t>
      </w:r>
      <w:r>
        <w:rPr>
          <w:rFonts w:ascii="Times New Roman" w:hAnsi="Times New Roman"/>
          <w:sz w:val="24"/>
        </w:rPr>
        <w:t xml:space="preserve"> oznacza zużycie tlenu w związku z zawartością materii organicznej w odpadach ulegających biodegradacji [mg O</w:t>
      </w:r>
      <w:r>
        <w:rPr>
          <w:rFonts w:ascii="Times New Roman" w:hAnsi="Times New Roman"/>
          <w:sz w:val="24"/>
          <w:vertAlign w:val="subscript"/>
        </w:rPr>
        <w:t>2</w:t>
      </w:r>
      <w:r>
        <w:rPr>
          <w:rFonts w:ascii="Times New Roman" w:hAnsi="Times New Roman"/>
          <w:sz w:val="24"/>
        </w:rPr>
        <w:t>/g suchej masy];</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„certyfikowany produkt w postaci kompostu”</w:t>
      </w:r>
      <w:r>
        <w:rPr>
          <w:rFonts w:ascii="Times New Roman" w:hAnsi="Times New Roman"/>
          <w:sz w:val="24"/>
        </w:rPr>
        <w:t xml:space="preserve"> oznacza odpady zgodnie z załącznikiem 1, a także produkty nawozowe i poprawiające właściwości gleby, które utraciły status odpadu i nadają się do celów rolniczych, zgodnie z treścią zezwolenia; takie przypominające próchnicę substancje nawozowe i substancje poprawiające właściwości gleby są produkowane w ramach kompostowania na miejscu z wykorzystaniem substancji pomocniczych w przetwórstwie, są bogate w składniki odżywcze potrzebne roślinom, cechują się wysoką zawartością materii organicznej i są dopuszczone do obrotu zgodnie z rozporządzeniem ministerialnym w sprawie dopuszczenia, przechowywania, wprowadzania do obrotu i stosowania produktów zwiększających plony;</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„otwarty system kompostowania”</w:t>
      </w:r>
      <w:r>
        <w:rPr>
          <w:rFonts w:ascii="Times New Roman" w:hAnsi="Times New Roman"/>
          <w:sz w:val="24"/>
        </w:rPr>
        <w:t xml:space="preserve"> oznacza technologię kompostowania stosowaną w kompostowni, w ramach której wsad do kompostowania pozostaje w bezpośrednim kontakcie z powietrzem, to znaczy nie jest zakryty ani nie jest zamknięty w obiektach technicznych lub architektonicznych;</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„stabilizacja”</w:t>
      </w:r>
      <w:r>
        <w:rPr>
          <w:rFonts w:ascii="Times New Roman" w:hAnsi="Times New Roman"/>
          <w:sz w:val="24"/>
        </w:rPr>
        <w:t xml:space="preserve"> oznacza działanie realizowane w ramach przetwarzania wstępnego, podczas którego biodegradowalność odpadów zmieszanych (zawierających odpady ulegające biodegradacji) zostaje zmniejszona wskutek niezbędnych połączeń procesów mechanicznych i biologicznych, co skutkuje zmniejszeniem aktywności oddechowej i powstaniem spełniających warunki higieniczne odpadów stabilizowanych, których aktywność oddechowa (AT4) wynosi poniżej 10 mg O</w:t>
      </w:r>
      <w:r>
        <w:rPr>
          <w:rFonts w:ascii="Times New Roman" w:hAnsi="Times New Roman"/>
          <w:sz w:val="24"/>
          <w:vertAlign w:val="subscript"/>
        </w:rPr>
        <w:t>2</w:t>
      </w:r>
      <w:r>
        <w:rPr>
          <w:rFonts w:ascii="Times New Roman" w:hAnsi="Times New Roman"/>
          <w:sz w:val="24"/>
        </w:rPr>
        <w:t>/g suchej masy;</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„odpady stabilizowane”</w:t>
      </w:r>
      <w:r>
        <w:rPr>
          <w:rFonts w:ascii="Times New Roman" w:hAnsi="Times New Roman"/>
          <w:sz w:val="24"/>
        </w:rPr>
        <w:t xml:space="preserve"> oznaczają substancję uzyskaną w wyniku mechaniczno-biologicznego przetwarzania bioodpadów nienadających się do kompostowania lub rozkładu beztlenowego, w przypadku której, po stabilizacji, aktywność oddechowa (AT4) po 4 dniach spada poniżej 10 mg O</w:t>
      </w:r>
      <w:r>
        <w:rPr>
          <w:rFonts w:ascii="Times New Roman" w:hAnsi="Times New Roman"/>
          <w:sz w:val="24"/>
          <w:vertAlign w:val="subscript"/>
        </w:rPr>
        <w:t>2</w:t>
      </w:r>
      <w:r>
        <w:rPr>
          <w:rFonts w:ascii="Times New Roman" w:hAnsi="Times New Roman"/>
          <w:sz w:val="24"/>
        </w:rPr>
        <w:t>/g, a dynamiczna aktywność oddechowa jest mniejsza niż 1000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„kompostowanie na miejscu”</w:t>
      </w:r>
      <w:r>
        <w:rPr>
          <w:rFonts w:ascii="Times New Roman" w:hAnsi="Times New Roman"/>
          <w:sz w:val="24"/>
        </w:rPr>
        <w:t xml:space="preserve"> oznacza realizowany w kompostowni proces odzysku, w ramach którego odpady ulegające biodegradacji i dodane substancje pomocnicze w przetwórstwie ulegają rozkładowi w wyniku autotermalnych i termofilnych procesów biologicznych zachodzących przy udziale mikroorganizmów i innych żywych organizmów w </w:t>
      </w:r>
      <w:r>
        <w:rPr>
          <w:rFonts w:ascii="Times New Roman" w:hAnsi="Times New Roman"/>
          <w:sz w:val="24"/>
        </w:rPr>
        <w:lastRenderedPageBreak/>
        <w:t>obecności tlenu, w wyniku czego powstaje kompost zawierający biologicznie stabilne składniki organiczne i nieorganiczne oraz patogeny w stężeniu nieprzekraczającym wartości określonych w załączniku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„biologiczne tworzywa sztuczne nadające się do kompostowania na miejscu”</w:t>
      </w:r>
      <w:r>
        <w:rPr>
          <w:rFonts w:ascii="Times New Roman" w:hAnsi="Times New Roman"/>
          <w:sz w:val="24"/>
        </w:rPr>
        <w:t xml:space="preserve"> oznaczają odpady tworzyw sztucznych, oznakowane lub certyfikowane pod kątem biodegradacji, które są zgodne z normą MSZ EN 13432 lub równoważnym rozwiązaniem technicznym i mogą, oprócz kompostowania na miejscu, być wykorzystywane do produkcji biogazu, jeżeli są zbierane razem z kuchennymi odpadami gastronomicznymi;</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„zamknięty system kompostowania”</w:t>
      </w:r>
      <w:r>
        <w:rPr>
          <w:rFonts w:ascii="Times New Roman" w:hAnsi="Times New Roman"/>
          <w:sz w:val="24"/>
        </w:rPr>
        <w:t xml:space="preserve"> oznacza wykorzystywaną w kompostowni technologię kompostowania, w ramach której proces kompostowania odbywa się w zamkniętym urządzeniu z wykorzystaniem elementów technicznych lub architektonicznych.</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Przepisy dotyczące zapobiegania powstawaniu odpadów ulegających biodegradacji</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xml:space="preserve"> (1) Jeżeli jest to technicznie wykonalne, korzystne dla środowiska i ekonomicznie proporcjonalnie uzasadnione, materię organiczną pochodzenia roślinnego należy poddawać kompostowaniu domowemu lub sąsiedzkiemu.</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zgodny z przepisami niniejszego rozporządzenia może zostać uwzględniony w ramach realizacji wartości docelowej zgodnie z decyzją wykonawczą Komisji (UE) 2019/1004 z dnia 7 czerwca 2019 r. określającą zasady obliczania, weryfikacji i zgłaszania danych dotyczących odpadów zgodnie z dyrektywą Parlamentu Europejskiego i Rady 2008/98/WE oraz uchylającą decyzję wykonawczą Komisji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Co najmniej raz na pięć lat przedsiębiorstwo posiadające koncesję zbiera dane dotyczące ilości i wykorzystania kompostu wytworzonego w ramach kompostowana domowego lub sąsiedzkiego.</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Podnoszenie świadomości i edukacja ludności w zakresie zapobiegania powstawaniu odpadów ulegających biodegradacji będą realizowane przy wykorzystaniu pomocy udzielanej w ramach Krajowego Programu Zapobiegania Marnotrawieniu Żywności. Program ten, prowadzony przez Krajowe Biuro Bezpieczeństwa Łańcucha Żywnościowego (NÉBIH), przyczyni się do sprawy poprzez serię wykładów, które zostaną wygłoszone w całym kraju pod tytułem „Maradék nélkül” („Bez odpadów”), aby umożliwić Węgrom osiągnięcie do 2030 r. celu nr 12.3 przewidzianego w ustalonych przez ONZ Celach Zrównoważonego Rozwoju.</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Przepisy dotyczące selektywnej zbiórki odpadów ulegających biodegradacji</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xml:space="preserve"> (1) Odpady ulegające biodegradacji są zbierane przez posiadacza odpadów, na zasadzie dobrowolności, w miejscu wytwarzania odpadów, w pojemniku na odpady przeznaczonym wyłącznie do tego celu i w sposób niezagrażający środowisku naturalnemu.</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W ramach swojej działalności, o której mowa w ust. 9, przedsiębiorstwo posiadające koncesję zapewnia posiadaczowi odpadów specjalny pojemnik na zbieranie kuchennych odpadów zielonych oraz kuchennych odpadów gastronomicznych.</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 zakresie transportu i monitorowania kuchennych odpadów gastronomicznych zastosowanie mają odpowiednie przepisy rozporządzenia ministerialnego ustanawiającego przepisy dotyczące zdrowia zwierząt w odniesieniu do produktów ubocznych pochodzenia zwierzęcego nieprzeznaczonych do spożycia przez ludzi, jeżeli przetwarzanie odbywa się w </w:t>
      </w:r>
      <w:r>
        <w:rPr>
          <w:rFonts w:ascii="Times New Roman" w:hAnsi="Times New Roman"/>
          <w:sz w:val="24"/>
        </w:rPr>
        <w:lastRenderedPageBreak/>
        <w:t>biogazowni lub kompostowni. W odniesieniu do odpadów ulegających biodegradacji objętych koncesją, przy przyjmowaniu odpadów z gospodarstw domowych nie mają zastosowania wymogi dotyczące wydania dokumentu handlowego przewidziane w rozporządzeniu ministerialnym ustanawiającym przepisy dotyczące zdrowia zwierząt w odniesieniu do produktów ubocznych pochodzenia zwierzęcego nieprzeznaczonych do spożycia przez ludzi.</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Zabrania się wykorzystywania selektywnie zebranych odpadów gastronomicznych z gospodarstw domowych do celów żywieniowych, a koncesjobiorca nie jest uprawniony do bezpośredniego ani pośredniego wykorzystywania takich odpadów.</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Zbiórka, transport i monitorowanie odpadów gastronomicznych pochodzących z podmiotów gospodarczych, przetwarzanych w biogazowni i kompostowni, odbywa się zgodnie z odpowiednimi przepisami rozporządzenia ministerialnego ustanawiającego przepisy dotyczące zdrowia zwierząt w odniesieniu do produktów ubocznych pochodzenia zwierzęcego nieprzeznaczonych do spożycia przez ludzi.</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Sposób i częstotliwość odbioru, zbiórki i transportu odpadów ulegających biodegradacji objętych koncesją określa przedsiębiorstwo posiadające koncesję.</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Zbiórkę i transport odpadów ulegających biodegradacji objętych koncesją można prowadzić na podstawie zezwolenia na gospodarowanie odpadami.</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Posiadacz odpadów zapewnia, że odpady ulegające biodegradacji przekazane przedsiębiorstwu posiadającemu koncesję nie zawierają żadnych innych odpadów, w tym materiałów opakowaniowych i materiałów obcych.</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Przedsiębiorstwo posiadające koncesję zapewnia warunki selektywnej zbiórki na mocy niniejszego rozporządzenia, jeżeli jest to wykonalne pod względem technicznym i zawodowym. Przedsiębiorstwo posiadające koncesję zapewnia przede wszystkim zbiórkę „spod drzwi”, jeżeli nie pociąga to za sobą nieproporcjonalnych kosztów ekonomicznych. Jeżeli nie ma możliwości realizacji zbiórki w systemie „spod drzwi”, przedsiębiorstwo posiadające koncesję ustanawia punkty zbiórki odpadów o wielkości odpowiadającej liczbie mieszkańców.</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Niezależnie od przepisów rozporządzenia Rządu w sprawie zasad regulujących projektowanie i eksploatację niektórych obiektów gospodarki odpadami, przedsiębiorstwo posiadające koncesję wyznacza jako punkt zbiórki odpadów plac zbiórki odpadów obsługiwany przez przedsiębiorstwo posiadające koncesję lub przez podwykonawcę przedsiębiorstwa posiadającego koncesję.</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5 </w:t>
      </w:r>
      <w:r>
        <w:rPr>
          <w:rFonts w:ascii="Times New Roman" w:hAnsi="Times New Roman"/>
          <w:sz w:val="24"/>
        </w:rPr>
        <w:t xml:space="preserve"> Odpady ulegające biodegradacji zawierające substancje wymienione w załącznikach I i II do rozporządzenia (UE) 2019/1021 dotyczącego trwałych zanieczyszczeń organicznych nie mogą być poddawane kompostowaniu ani nie mogą być przekształcane w pozostałości fermentacyjne.</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Przepisy dotyczące selektywnej zbiórki odpadów zielonych i kuchennych odpadów zielonych na poziomie sąsiedzkim</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6 </w:t>
      </w:r>
      <w:r>
        <w:rPr>
          <w:rFonts w:ascii="Times New Roman" w:hAnsi="Times New Roman"/>
          <w:sz w:val="24"/>
        </w:rPr>
        <w:t xml:space="preserve"> Jeżeli odpady zielone i kuchenne odpady zielone nie mogą zostać wykorzystane w żaden inny sposób, zgodnie z definicją podaną w art. 8, selektywnie zbierane odpady zielone i kuchenne odpady zielone należy wykorzystać zasadniczo do kompostowania na miejscu lub produkcji biogazu, a w ostateczności do odzysku energii w elektrowni na biomasę.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7. §</w:t>
      </w:r>
      <w:r>
        <w:rPr>
          <w:rFonts w:ascii="Times New Roman" w:hAnsi="Times New Roman"/>
          <w:sz w:val="24"/>
        </w:rPr>
        <w:t xml:space="preserve"> (1) Zbiórka sąsiedzka może być prowadzona na terenie określonym przez przedsiębiorstwo posiadające koncesję i uzgodniona ze społecznością lokalną lub na terenie prywatnym utrzymywanym przez społeczność mieszkańców, ale tylko w wyznaczonym miejscu w obrębie nieruchomości.</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Swobodny dostęp do miejsca zbiórki sąsiedzkiej, w tym dla osób niepełnosprawnych, musi być zapewniony przez cały czas.</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Zbiórka sąsiedzka może być prowadzona bez zezwolenia na gospodarowanie odpadami.</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Odpady zielone zawierające niebezpieczne składniki, tworzywa sztuczne nieposiadające certyfikatu biodegradowalności w warunkach kompostowania domowego oraz odpady inne niż odpady zielone i kuchenne odpady zielone nie mogą być składowane w punkcie zbiórki sąsiedzkiej.</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Właściciel nieruchomości lub osoba upoważniona na podstawie pisemnej umowy przez społeczność lub społeczność mieszkańców zapewnia:</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sprzątanie i utrzymanie miejsca zbiórki sąsiedzkiej oraz niezbędny personel i warunki materialne oraz</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montaż na miejscu tablicy informacyjnej określającej warunki użytkowania.</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Właściciel nieruchomości biorącej udział w zbiórce lub osoba upoważniona przez właściciela powiadamia przedsiębiorstwo posiadające koncesję o działalności w zakresie zbiórki sąsiedzkiej w momencie ustalenia lokalizacji obszaru zamkniętego, przed rozpoczęciem zbiórki sąsiedzkiej i po jej zakończeniu.</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Przepisy dotyczące kompostowania domowego, kompostowania sąsiedzkiego i kompostowania na miejscu</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 xml:space="preserve"> (1) Wymagania fizyczne, chemiczne i biologiczne dotyczące kompostów do użytku pozarolniczego zostały określone w Załączniku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Właściciel nieruchomości, która jest wykorzystywana do kompostowania, odpowiada za realizację zadań z zakresu kompostowania sąsiedzkiego i domowego.</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Realizacją zadań w zakresie kompostowania na poziomie społeczności, o których mowa w ust. 2, zarządza się w ramach społeczności za pośrednictwem osoby lub organizacji wyznaczonej przez społeczność, bądź za pośrednictwem osoby lub organizacji upoważnionej na mocy pisemnej umowy przez społeczność.</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Osoba lub podmiot, o którym mowa w ust. 3, odpowiada za</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sprzątanie i utrzymanie miejsca zbiórki oraz za niezbędny personel i warunki materialne;</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montaż na miejscu tablicy informacyjnej określającej warunki użytkowania;</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wykorzystanie uzyskanego kompostu;</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dane dotyczące ilości i wykorzystania wyprodukowanego kompostu, które są przekazywane przedsiębiorstwu posiadającemu koncesję w sposób określony przez przedsiębiorstwo posiadające koncesję.</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Kompostowanie domowe lub sąsiedzkie nie może być stosowane do przetwarzania produktów ubocznych pochodzenia zwierzęcego ani produktów pochodnych, ani tworzyw sztucznych nieposiadających certyfikatu biodegradowalności w warunkach kompostowania domowego.</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Odpady zielone zawierające niebezpieczne składniki i odpady inne niż odpady zielone nie mogą być wykorzystywane w ramach kompostowania domowego i sąsiedzkiego.</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xml:space="preserve"> (1) Kompostowanie na miejscu może odbywać się wyłącznie na podstawie zezwolenia na gospodarowanie odpadami w celu odzysku, w kompostowni, w ramach procesu odzysku R3c przewidzianego w rozporządzeniu ministerialnym określającym procesy unieszkodliwiania i odzysku związane z gospodarowaniem odpadami.</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W przypadku kompostowania na miejscu odpadów ulegających biodegradacji można stosować rodzaje odpadów i substancje pomocnicze w przetwórstwie wymienione w załączniku 1, jak również rodzaje odpadów, które mogą być wykorzystywane jako substancja pomocnicza w przetwórstwie.</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Osady ściekowe mogą być wykorzystywane w ramach kompostowania na miejscu, o ile przestrzegane są wymogi określone w rozporządzeniu Rządu w sprawie zasad wykorzystania do użytku rolniczego oraz gospodarowania ściekami i osadami ściekowymi, a także wydano zezwolenie na gospodarowanie odpadami zgodnie z rozporządzeniem Rządowym w sprawie rejestracji i urzędowych zezwoleń na działalność związaną z gospodarowaniem odpadami.</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Kompostowalne biologiczne tworzywa sztuczne mogą być poddawane przetwarzaniu wyłącznie w ramach kompostowania na miejscu.</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 xml:space="preserve"> (1) Przepisy techniczne dotyczące kompostowania na miejscu, stabilizacji i produkcji biogazu, a także warunki techniczne i eksploatacyjne niezbędne do kompostowania na miejscu określono w załączniku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Odpady ulegające biodegradacji, w tym biologiczne tworzywa sztuczne, które można przetwarzać w ramach kompostowania na miejscu, składuje się oddzielnie od wszelkich innych odpadów i materiałów w obszarze przetwarzania wstępnego do czasu rozpoczęcia kompostowania.</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Przygotowanie do kompostowania odpadów ulegających biodegradacji, w tym biologicznych tworzyw sztucznych, które można przetwarzać w ramach kompostowania na miejscu, należy rozpoczynać w obszarze przetwarzania wstępnego. Odpady należy następnie przenieść na obszar kompostowania w celu przeprowadzenia dalszego przetwarzania.</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Kompostowanie na miejscu na obszarze kompostowania odbywa się:</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w otwartym systemie kompostowania,</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w zamkniętym systemie kompostowania lub</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w połączeniu systemów, o których mowa w lit a) oraz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Z odpadów ulegających biodegradacji, w tym biologicznych tworzyw sztucznych, które mogą być przetwarzane w ramach kompostowania na miejscu, należy uformować w obszarze kompostowania wkład do kompostowania, w zależności od wybranego systemu kompostowania.</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Zebrane przez organ kontroli łańcucha żywnościowego (zgodnie z rozporządzeniem ministerialnym ustanawiającym przepisy dotyczące zdrowia zwierząt w odniesieniu do produktów ubocznych pochodzenia zwierzęcego nieprzeznaczonych do spożycia przez ludzi) dane dotyczące ilości odpadów gastronomicznych – które można zaklasyfikować jako produkt uboczny pochodzenia zwierzęcego przekazany lub otrzymany do przetworzenia – mogą zostać uwzględnione w ramach wartości docelowej dla recyklingu, w przypadku przetwarzania, przy sprawdzaniu stopnia realizacji celu.</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Przepisy dotyczące stabilizacji</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xml:space="preserve"> (1) Rodzaje odpadów i substancje pomocnicze w przetwórstwie, które mogą być wykorzystywane do przetwarzania biologicznego i stabilizacji, a także rodzaje odpadów, które mogą być wykorzystywane jako substancja pomocnicza w przetwórstwie, określono w załączniku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Do stabilizacji można wykorzystywać wyłącznie odpady wymienione w załączniku 1, których przetwarzanie biologiczne może zostać przeprowadzone na podstawie zezwolenia na gospodarowanie odpadami, z zastrzeżeniem zasad określonych w rozporządzeniu Rządu w sprawie rejestracji i urzędowych zezwoleń na działalność związaną z gospodarowaniem odpadami.</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Odpady stabilizowane powstałe w wyniku stabilizacji stosuje się wyłącznie do operacji odzysku lub unieszkodliwiania określonych przez organ odpowiedzialny za gospodarkę odpadami.</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Stabilizację przeprowadza się na obszarze o utwardzonej powierzchni.</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Podczas eksploatacji składowiska odpady stabilizowane mogą być wykorzystywane jako warstwa okrywowa lub mogą zostać wykorzystane do jego rekultywacji jako warstwa wyrównawcza lub okrywowa stanowiąca część górnej warstwy końcowej, zgodnie z rozporządzeniem ministerialnym w sprawie niektórych zasad i warunków dotyczących składowania odpadów i ich składowisk, przy czym odpady stabilizowane mogą być wykorzystywane w zakresie opisanym w wytycznych dotyczących ochrony technicznej i technologii, z uwzględnieniem najlepszych dostępnych rozwiązań z zakresu zapobiegania zanieczyszczeniom środowiska i ich ograniczania, zgodnie z zapisami zezwolenia na gospodarowanie odpadami obejmującego ich unieszkodliwianie. W szerszym zakresie bioodpady stabilizowane nie mogą być wykorzystywane do celów odzysku podczas eksploatacji składowiska.</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Ilość odpadów stabilizowanych, które mogą zostać wykorzystane do rekultywacji składowiska, nie może przekraczać 500 ton suchej masy na hektar.</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Warunki techniczne niezbędne do stabilizacji określono w załączniku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Przepisy dotyczące produkcji biogazu</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12. §</w:t>
      </w:r>
      <w:r>
        <w:rPr>
          <w:rFonts w:ascii="Times New Roman" w:hAnsi="Times New Roman"/>
          <w:sz w:val="24"/>
        </w:rPr>
        <w:t xml:space="preserve"> (1) Jeżeli odpady ulegające biodegradacji są transportowane do biogazowni, produkcja biogazu na podstawie zezwolenia na gospodarowanie odpadami może być realizowana w drodze procesu odzysku R3 przewidzianego w rozporządzeniu ministerialnym określającym procesy unieszkodliwiania i odzysku związane z gospodarowaniem odpadami.</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Budowa, uzyskanie zezwoleń i eksploatacja biogazowni, która przetwarza również produkty uboczne pochodzenia zwierzęcego, podlega rozporządzeniu ministerialnemu ustanawiającemu przepisy dotyczące zdrowia zwierząt w odniesieniu do produktów ubocznych pochodzenia zwierzęcego nieprzeznaczonych do spożycia przez ludzi, art. 24 rozporządzenia Parlamentu Europejskiego i Rady (WE) nr 1069/2009 z dnia 21 października 2009 r. określającego przepisy sanitarne dotyczące produktów ubocznych pochodzenia zwierzęcego, nieprzeznaczonych do spożycia przez ludzi, i uchylającego rozporządzenie (WE) nr 1774/2002 (rozporządzenie o produktach ubocznych pochodzenia zwierzęcego) oraz załącznikowi V do rozporządzenia Komisji (UE) nr 142/2011 w sprawie wykonania rozporządzenia Parlamentu Europejskiego i Rady (WE) nr 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(zwanego dalej: rozporządzeniem Komisji (UE) nr 142/2011). </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Do produkcji biogazu z odpadów ulegających biodegradacji można wykorzystywać rodzaje odpadów, o których mowa w załączniku 1, w tym biologiczne tworzywa sztuczne nadające się do kompostowania na miejscu.</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Produkcja biogazu z odpadów ulegających biodegradacji w biogazowni może być prowadzona w ramach</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mokrej lub</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suchej</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fermentacji.</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Warunki techniczne niezbędne do produkcji biogazu określono w załączniku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Zebrane przez organ kontroli łańcucha żywnościowego (zgodnie z rozporządzeniem ministerialnym ustanawiającym przepisy dotyczące zdrowia zwierząt w odniesieniu do produktów ubocznych pochodzenia zwierzęcego nieprzeznaczonych do spożycia przez ludzi) dane dotyczące ilości odpadów gastronomicznych – które można zaklasyfikować jako produkt uboczny pochodzenia zwierzęcego przekazany lub otrzymany do przetworzenia – mogą zostać uwzględnione w ramach wartości docelowej dla recyklingu, w przypadku przetwarzania, przy sprawdzaniu stopnia realizacji celu.</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Przepisy dotyczące utraty statusu odpadu</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xml:space="preserve"> (1) W przypadku zastosowania w rolnictwie odpady ulegające biodegradacji tracą status odpadu jeżeli wytworzony z nich kompost i pozostałości fermentacyjne spełniają szczególne wymagania określone w:</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rozporządzeniu ministerialnym w sprawie dopuszczenia, przechowywania, wprowadzania do obrotu i stosowania produktów zwiększających plony oraz w</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rozporządzeniu (UE) 2019/1009 ustanawiającym przepisy dotyczące udostępniania na rynku produktów nawozowych UE.</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W przypadku zastosowań pozarolniczych odpady ulegające biodegradacji tracą status odpadu jeżeli wytworzony z nich kompost i pozostałości fermentacyjne spełniają wymagania określone w załączniku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Podmiot zajmujący się eksploatacją kompostowni może przekazać kompost, a podmiot zajmujący się eksploatacją biogazowni może przekazać pozostałości fermentacyjne innej osobie do wykorzystania, jeżeli podmiot zajmujący się eksploatacją poświadczy zgodność z przepisami art. 9 ust. 1 ustawy CLXXXV z 2012 r. o odpadach w odniesieniu do statusu odpadu korzystając z deklaracji zgodności sporządzonej wg wzoru zamieszczonego w załączniku 4, z wyjątkiem sytuacji, w której kompost lub pozostałości fermentacyjne zostaną przekazane do dalszego przetwarzania zachowując status odpadów.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Deklaracja zgodności sporządzana jest indywidualnie dla każdego odbiorcy i dla każdej transakcji.</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Deklaracja zgodności stanowi poświadczenie informacji w niej zawartych do czasu sporządzenia kolejnej deklaracji zgodności.</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Podmiot zajmujący się eksploatacją, o którym mowa w ust. 1, sporządza dwa egzemplarze deklaracji zgodności i zachowuje pierwszy egzemplarz jako certyfikat, a duplikat przekazuje użytkownikowi w chwili dostawy lub dostarcza w sposób możliwy do zweryfikowania.</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Podmiot prowadzący eksploatację i użytkownik przechowują deklarację zgodności przez co najmniej 5 lat.</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xml:space="preserve"> (1) W przypadku zastosowań pozarolniczych, podmiot prowadzący kompostownię weryfikuje zgodność właściwości fizycznych, chemicznych, biologicznych i higieniczno-mikrobiologicznych kompostu z niniejszym rozporządzeniem, korzystając w tym celu z reprezentatywnej próbki kompostu. Akredytowane pobieranie i przygotowanie próbek przeprowadza się na podstawie normy.</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Próbki pobiera się z każdej partii kompostu produkowanego w kompostowni, w następujących przypadkach i z następującą częstotliwością:</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jeżeli zdolności produkcyjne kompostowni nie przekraczają 10 000 ton odpadów ulegających biodegradacji na rok referencyjny, co najmniej raz w roku z wyprodukowanego kompostu,</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jeżeli zdolności produkcyjne kompostowni są większe niż 10 000 ton odpadów ulegających biodegradacji na rok referencyjny, co najmniej dwa razy w roku z wyprodukowanego kompostu, lub</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gdy zmieni się technologia stosowana w kompostowni.</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Badania laboratoryjne próbki kompostu przeprowadza się zgodnie z normą lub przy zastosowaniu metody równoważnej, w laboratorium akredytowanym do badań. Sprawozdanie z badań laboratoryjnych zawierające wyniki badań przechowuje się przez co najmniej 5 lat.</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Badania na obecność zanieczyszczeń organicznych przeprowadza się w przypadku, gdy co najmniej jedną z użytych substancji uznaje się za substancję niebezpieczną zgodnie z załącznikiem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Jeżeli kompost nie spełnia wymagań dotyczących utraty statusu odpadu określonych w załączniku 2, przetwarza się go i klasyfikuje w dalszym ciągu jako odpad zgodnie z rozporządzeniem ministerialnym w sprawie wykazu odpadów, a następnie przekazuje podmiotowi zajmującemu się gospodarką odpadami posiadającemu ważne zezwolenie na gospodarowanie odpadami lub ujednolicone zezwolenie na korzystanie ze środowiska.</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xml:space="preserve"> (1) W przypadku zastosowań pozarolniczych, podmiot prowadzący biogazownię weryfikuje zgodność właściwości fizycznych, chemicznych, biologicznych i higieniczno-mikrobiologicznych pozostałości fermentacyjnych z niniejszym rozporządzeniem, korzystając w tym celu z reprezentatywnej próbki pozostałości fermentacyjnych.</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 pozostałości fermentacyjnych wytworzonych w biogazowni pobiera się próbki w następujących przypadkach i z następującą częstotliwością:</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jeżeli zdolności przetwórcze biogazowni nie przekraczają 10 000 ton odpadów ulegających biodegradacji na rok referencyjny, co najmniej raz w roku z otrzymanych pozostałości fermentacyjnych,</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jeżeli zdolności przetwórcze biogazowni są większe niż 10 000 ton odpadów ulegających biodegradacji na rok referencyjny, co najmniej dwa razy w roku z otrzymanych pozostałości fermentacyjnych, lub</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gdy zmieni się technologia stosowana w biogazowni.</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Badania laboratoryjne próbki pozostałości fermentacyjnych przeprowadza się zgodnie z normą w laboratorium akredytowanym do badań. Sprawozdanie z badań laboratoryjnych zawierające wyniki badań przechowuje się przez co najmniej 5 lat.</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Badania na obecność zanieczyszczeń organicznych przeprowadza się w przypadku, gdy co najmniej jedną z użytych substancji uznaje się za substancję niebezpieczną zgodnie z załącznikiem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Postanowienia końcowe</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17 </w:t>
      </w:r>
      <w:r>
        <w:rPr>
          <w:rFonts w:ascii="Times New Roman" w:hAnsi="Times New Roman"/>
          <w:sz w:val="24"/>
        </w:rPr>
        <w:t xml:space="preserve"> Niniejsze rozporządzenie wchodzi w życie w dniu 31 grudnia 2023 r.</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xml:space="preserve"> (1) Celem niniejszego rozporządzenia jest zapewnienie zgodności z następującymi przepisami:</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dyrektywą Parlamentu Europejskiego i Rady 2008/98/WE z dnia 19 listopada 2008 r. w sprawie odpadów oraz uchylającą niektóre dyrektywy.</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dyrektywą Rady 1999/31/WE z dnia 26 kwietnia 1999 r. w sprawie składowania odpadów</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Projekt rozporządzenia był przedmiotem uprzedniej notyfikacji zgodnie z dyrektywą (UE) Parlamentu Europejskiego i Rady 2015/1535 z dnia 9 września 2015 r. ustanawiającą procedurę </w:t>
      </w:r>
      <w:r>
        <w:rPr>
          <w:rFonts w:ascii="Times New Roman" w:hAnsi="Times New Roman"/>
          <w:sz w:val="24"/>
        </w:rPr>
        <w:lastRenderedPageBreak/>
        <w:t>udzielania informacji w dziedzinie przepisów technicznych oraz zasad dotyczących usług społeczeństwa informacyjnego.</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19 </w:t>
      </w:r>
      <w:r>
        <w:rPr>
          <w:rFonts w:ascii="Times New Roman" w:hAnsi="Times New Roman"/>
          <w:sz w:val="24"/>
        </w:rPr>
        <w:t xml:space="preserve"> Osoby, które przed wejściem w życie niniejszego rozporządzenia gospodarowały odpadami gastronomicznymi zgodnie z zapisami rozporządzenia ustanawiającego przepisy dotyczące zdrowia zwierząt w odniesieniu do produktów ubocznych pochodzenia zwierzęcego nieprzeznaczonych do spożycia przez ludzi (dalej: Rozporządzenie) mogą po wejściu w życie niniejszego rozporządzenia kontynuować swoją działalność zgodnie z przepisami wspomnianego Rozporządzenia.</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20 </w:t>
      </w:r>
      <w:r>
        <w:rPr>
          <w:rFonts w:ascii="Times New Roman" w:hAnsi="Times New Roman"/>
          <w:sz w:val="24"/>
        </w:rPr>
        <w:t xml:space="preserve"> Niniejszym uchyla się rozporządzenie Ministerstwa Ochrony Środowiska i Gospodarki Wodnej KvVM nr 23/2003 z dnia 29 grudnia 2003 r. w sprawie przetwarzania bioodpadów oraz wymagań technicznych dotyczących kompostowania.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Premier (podpis)</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Załącznik 1 do rozporządzenia Rządu nr 559/2023 z dnia 14 grudnia 2023 r.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Rodzaje odpadów i substancji pomocniczych w przetwórstwie, które mogą być wykorzystywane do przetwarzania biologicznego i stabilizacji oraz rodzaje odpadów, które mogą być wykorzystywane jako substancje pomocnicze w przetwórstwie</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Rodzaje odpadów, które mogą być wykorzystywane do przetwarzania biologicznego: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777"/>
        <w:gridCol w:w="1099"/>
        <w:gridCol w:w="3035"/>
        <w:gridCol w:w="2212"/>
        <w:gridCol w:w="1545"/>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Kod identyfikacyjny</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Opis rodzaju odpadów</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Uwagi</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Substancja niebezpieczna</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 grupy</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 podgrupy</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ROLNICTWA, SADOWNICTWA, UPRAW HYDROPONICZNYCH, RYBOŁÓWSTWA, LEŚNICTWA, ŁOWIECTWA ORAZ PRZETWÓRSTWA ŻYWNOŚCI</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rolnictwa, sadownictwa, upraw hydroponicznych, leśnictwa, łowiectwa i rybołówstwa</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mycia i czyszczenia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odpadowa tkanka zwierzęca</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 wyjątkiem tkanki kostnej.</w:t>
            </w:r>
            <w:r>
              <w:rPr>
                <w:rFonts w:ascii="Times New Roman" w:hAnsi="Times New Roman"/>
                <w:sz w:val="24"/>
              </w:rPr>
              <w:b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odpadowa tkanka roślinna</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odchody zwierzęce, gnojówka i obornik (łącznie z odpadami słomy), ścieki, gromadzone osobno i oczyszczane poza terenem zakładu</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Zanieczyszczona słoma oznacza ściółkę używaną do wchłaniania odchodów </w:t>
            </w:r>
            <w:r>
              <w:rPr>
                <w:rFonts w:ascii="Times New Roman" w:hAnsi="Times New Roman"/>
                <w:sz w:val="24"/>
              </w:rPr>
              <w:lastRenderedPageBreak/>
              <w:t>zwierzęcych, moczu i obornika. 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gospodarki leśnej</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drewno niepoddane obróbce.</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przygotowania i przetwórstwa mięsa, ryb i innych środków spożywczych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mycia i czyszczenia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odpadowa tkanka zwierzęca</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materiały nienadające się do spożycia i przetwórstwa</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r>
              <w:rPr>
                <w:rFonts w:ascii="Times New Roman" w:hAnsi="Times New Roman"/>
                <w:sz w:val="24"/>
              </w:rPr>
              <w:br/>
              <w:t xml:space="preserve">Bez uszczerbku dla przepisów krajowych i unijnych </w:t>
            </w:r>
            <w:r>
              <w:rPr>
                <w:rFonts w:ascii="Times New Roman" w:hAnsi="Times New Roman"/>
                <w:sz w:val="24"/>
              </w:rPr>
              <w:lastRenderedPageBreak/>
              <w:t>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przygotowywania i przetwórstwa owoców, warzyw, zbóż, olejów jadalnych, kakao, kawy, herbaty i tytoniu; produkcji konserw; produkcji drożdży i ekstraktu drożdżowego, produkcji i fermentacji melasy</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szlamy z mycia, oczyszczania, obierania, odwirowywania i oddzielania</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materiały nienadające się do spożycia i przetwórstwa</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Nie użyto żadnych środków ługujących.</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cukrowniczego</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mleczarskiego</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materiały nienadające się do spożycia i przetwórstwa</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Bez uszczerbku dla przepisów krajowych </w:t>
            </w:r>
            <w:r>
              <w:rPr>
                <w:rFonts w:ascii="Times New Roman" w:hAnsi="Times New Roman"/>
                <w:sz w:val="24"/>
              </w:rPr>
              <w:lastRenderedPageBreak/>
              <w:t>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r>
              <w:rPr>
                <w:rFonts w:ascii="Times New Roman" w:hAnsi="Times New Roman"/>
                <w:sz w:val="24"/>
              </w:rPr>
              <w:b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piekarniczego i cukierniczego</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materiały nienadające się do spożycia i przetwórstwa</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produkcji napojów alkoholowych i bezalkoholowych (z wyłączeniem kawy, herbaty i kakao)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mycia, czyszczenia i mechanicznego rozdrabniania surowców</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destylacji spirytualiów</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materiały nienadające się do spożycia i przetwórstwa</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PRZETWÓRSTWA DREWNA ORAZ PRODUKCJI PŁYT I MEBLI, MASY CELULOZOWEJ, PAPIERU I TEKTURY</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przetwórstwa drewna oraz z produkcji płyt i mebli</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kory i korka</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drewno niepoddane obróbce.</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trociny, zrębki, ścinki, drewno, płyta wiórowa i fornir inne niż wymienione w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drewno niepoddane obróbce.</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produkcji i przetwórstwa masy celulozowej, papieru i tektury</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kora i odpady drewna</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mechanicznie wydzielone odrzuty z przeróbki makulatury i tektury</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pozostałości niezawierające środków do obróbki chemicznej.</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sortowania papieru i tektury przeznaczone do recyklingu</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pozostałości niezawierające środków do obróbki chemicznej.</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włókna, szlamy z włókien, wypełniaczy i powłok pochodzące z mechanicznej separacji</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Wyłącznie osady niezawierające chemicznych środków czyszczących, </w:t>
            </w:r>
            <w:r>
              <w:rPr>
                <w:rFonts w:ascii="Times New Roman" w:hAnsi="Times New Roman"/>
                <w:sz w:val="24"/>
              </w:rPr>
              <w:lastRenderedPageBreak/>
              <w:t>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 inne niż wymienione w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SKÓRZANEGO, FUTRZARSKIEGO I WŁÓKIENNICZEGO</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skórzanego i futrzarskiego</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niezawierające chromu, zwłaszcza z zakładowych oczyszczalni ścieków</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Wyłącznie osady niezawierające chemicznych środków czyszczących, koagulacyjnych lub ługujących.</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przemysłu włókienniczego</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substancje organiczne z produktów naturalnych (na przykład tłuszcze, woski)</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zakładowych oczyszczalni ścieków inne niż wymienione w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nieprzetworzonych włókien tekstylnych</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naturalne.</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przetworzonych włókien tekstylnych</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wolne od zanieczyszczeń chemicznych.</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ODPADY OPAKOWANIOWE; SORBENTY, TKANINY DO WYCIERANIA, MATERIAŁY FILTRACYJNE I </w:t>
            </w:r>
            <w:r>
              <w:rPr>
                <w:rFonts w:ascii="Times New Roman" w:hAnsi="Times New Roman"/>
                <w:b/>
                <w:sz w:val="24"/>
              </w:rPr>
              <w:lastRenderedPageBreak/>
              <w:t>UBRANIA OCHRONNE NIEUJĘTE W INNYCH GRUPACH</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opakowaniowe (włączając w to oddzielnie gromadzone komunalne odpady opakowaniowe ulegające biodegradacji)</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opakowaniowe z papieru i tektury</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przypadku gdy recykling w przemyśle papierniczym nie jest możliwy lub jeśli jest to konieczne ze względu na stosunek węgla do azotu w odpadach ulegających biodegradacji przygotowanych do przetwarzania.</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opakowaniowe z drewna</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NIEUJĘTE W INNYCH GRUPACH W WYKAZIE ODPADÓW</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produkty nieodpowiadające wymaganiom i produkty nieprzydatne do użytku</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organiczne inne niż wymienione w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URZĄDZEŃ DO GOSPODAROWANIA ODPADAMI ORAZ Z POZAZAKŁADOWYCH OCZYSZCZALNI ŚCIEKÓW I INSTALACJI UZDATNIANIA WODY PRZEZNACZONEJ DO SPOŻYCIA PRZEZ LUDZI ORAZ WODY DO CELÓW PRZEMYSŁOWYCH</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nieodpowiadający wymaganiom</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Część przetworzonego materiału pochodząca z końcowego przesiewu w ramach mechaniczno-biologicznego przetwarzania odpadów, którą można ponownie wprowadzić do przetwarzania w celu przeprowadzenia eksperymentów dotyczących ponownej stabilizacji lub wykorzystania w charakterze biologicznego „modyfikatora”</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beztlenowego rozkładu odpadów</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przefermentowane odpady z beztlenowego rozkładu odpadów komunalnych</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przefermentowane odpady z beztlenowego rozkładu odpadów zwierzęcych i roślinnych</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oczyszczalni ścieków niewymienione gdzie indziej</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Tak</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komunalne osady ściekowe</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szlamy z biologicznego oczyszczania ścieków przemysłowych inne niż wymienione w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szlamy z innego niż biologiczne oczyszczania ścieków przemysłowych inne niż wymienione w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odpady z uzdatniania wody przeznaczonej do spożycia </w:t>
            </w:r>
            <w:r>
              <w:rPr>
                <w:rFonts w:ascii="Times New Roman" w:hAnsi="Times New Roman"/>
                <w:b/>
                <w:sz w:val="24"/>
              </w:rPr>
              <w:lastRenderedPageBreak/>
              <w:t>przez ludzi lub wody przeznaczonej do celów przemysłowych</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stałe ze wstępnej filtracji i skratki</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klarowania wody</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osady z dekarbonizacji</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KOMUNALNE (ODPADY Z GOSPODARSTW DOMOWYCH ORAZ PODOBNE ODPADY HANDLOWE, PRZEMYSŁOWE I INSTYTUCJONALNE), ŁĄCZNIE Z FRAKCJAMI GROMADZONYMI SELEKTYWNIE</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Tylko wtedy, gdy pochodzą z systemu selektywnego gromadzenia.</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frakcje gromadzone selektywnie (z wyjątkiem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papier i tektura</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kuchenne i odpady ze stołówek ulegające biodegradacji</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oleje i tłuszcze jadalne</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Bez uszczerbku dla przepisów krajowych i unijnych dotyczących produktów ubocznych pochodzenia zwierzęcego.</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drewno inne niż wymienione w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Tylko gdy nie zostało poddane przetwarzaniu z wykorzystaniem substancji </w:t>
            </w:r>
            <w:r>
              <w:rPr>
                <w:rFonts w:ascii="Times New Roman" w:hAnsi="Times New Roman"/>
                <w:sz w:val="24"/>
              </w:rPr>
              <w:lastRenderedPageBreak/>
              <w:t>chemicznych (w tym barwieniu, obróbce powierzchniowej).</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ogrodów i parków (w tym z cmentarzy)</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ulegające biodegradacji</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przypadku kory, tylko drewno niepoddane obróbce. W przypadku selektywnie zbieranych odpadów z cmentarzy, tylko w przypadku bezpośredniego odbioru, pod warunkiem że na cmentarzu istnieje system selektywnej zbiórki i można w sposób wiarygodny sprawdzić czy odpady są wolne od materiałów obcych (np. folii, drutów z wiązanek kwiatów i wieńców, kwiatów z tworzyw sztucznych i ich elementów składowych).</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inne odpady komunalne</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pozostałe odpady komunalne, w tym zmieszane odpady komunalne</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 przetworzeniu wstępnym.</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Tak</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targowisk</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przypadku gdy na targowisku działa system selektywnej zbiórki.</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szlamy ze zbiorników bezodpływowych służących do gromadzenia nieczystości</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Substancje pomocnicze w przetwórstwie, które mogą być wykorzystane do produkcji kompostu i rodzaje odpadów, które mogą być wykorzystywane jako substancje pomocnicze w przetwórstwie: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2461"/>
        <w:gridCol w:w="2598"/>
        <w:gridCol w:w="3609"/>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Nazwa rodzaju substancji pomocniczych w przetwórstwie</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Normy jakości oraz</w:t>
            </w:r>
            <w:r>
              <w:rPr>
                <w:rFonts w:ascii="Times New Roman" w:hAnsi="Times New Roman"/>
                <w:b/>
                <w:sz w:val="24"/>
              </w:rPr>
              <w:br/>
              <w:t>uwagi</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Granulat skalny</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granulat bazaltowy,</w:t>
            </w:r>
            <w:r>
              <w:rPr>
                <w:rFonts w:ascii="Times New Roman" w:hAnsi="Times New Roman"/>
                <w:sz w:val="24"/>
              </w:rPr>
              <w:br/>
              <w:t>b) granulat alginitowy,</w:t>
            </w:r>
            <w:r>
              <w:rPr>
                <w:rFonts w:ascii="Times New Roman" w:hAnsi="Times New Roman"/>
                <w:sz w:val="24"/>
              </w:rPr>
              <w:br/>
              <w:t>c) granulaty innych skał</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Szlamy, osady</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naturalne szlamy i osady bez dodatku gleby i zanieczyszczeń, w tym niezanieczyszczone szlamy i osady z oczyszczania kanałów i pogłębiania</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Minerały ilaste</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czyste minerały ilaste</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Wapno (kamień wapienny)</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granulat wapienny,</w:t>
            </w:r>
            <w:r>
              <w:rPr>
                <w:rFonts w:ascii="Times New Roman" w:hAnsi="Times New Roman"/>
                <w:sz w:val="24"/>
              </w:rPr>
              <w:br/>
              <w:t>b) granulat dolomitowy,</w:t>
            </w:r>
            <w:r>
              <w:rPr>
                <w:rFonts w:ascii="Times New Roman" w:hAnsi="Times New Roman"/>
                <w:sz w:val="24"/>
              </w:rPr>
              <w:br/>
              <w:t>c) osad wapienny z cukrowni,</w:t>
            </w:r>
            <w:r>
              <w:rPr>
                <w:rFonts w:ascii="Times New Roman" w:hAnsi="Times New Roman"/>
                <w:sz w:val="24"/>
              </w:rPr>
              <w:br/>
              <w:t>d) węglan wapnia niespełniający norm,</w:t>
            </w:r>
            <w:r>
              <w:rPr>
                <w:rFonts w:ascii="Times New Roman" w:hAnsi="Times New Roman"/>
                <w:sz w:val="24"/>
              </w:rPr>
              <w:br/>
              <w:t>odpady osadu wapiennego</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Popiół ze spalania biomasy</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popiół roślinny</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2 m/m%.</w:t>
            </w:r>
            <w:r>
              <w:rPr>
                <w:rFonts w:ascii="Times New Roman" w:hAnsi="Times New Roman"/>
                <w:sz w:val="24"/>
              </w:rPr>
              <w:br/>
              <w:t>Niezawierający popiołu lotnego, o maksymalnej zawartości zanieczyszczeń (mg/kg w suchej masie)</w:t>
            </w:r>
            <w:r>
              <w:rPr>
                <w:rFonts w:ascii="Times New Roman" w:hAnsi="Times New Roman"/>
                <w:sz w:val="24"/>
              </w:rPr>
              <w:br/>
              <w:t>a) cynku (Zn): 1500,</w:t>
            </w:r>
            <w:r>
              <w:rPr>
                <w:rFonts w:ascii="Times New Roman" w:hAnsi="Times New Roman"/>
                <w:sz w:val="24"/>
              </w:rPr>
              <w:br/>
              <w:t>b) miedzi (Cu): 250,</w:t>
            </w:r>
            <w:r>
              <w:rPr>
                <w:rFonts w:ascii="Times New Roman" w:hAnsi="Times New Roman"/>
                <w:sz w:val="24"/>
              </w:rPr>
              <w:br/>
              <w:t>c) chromu (Cr): 250,</w:t>
            </w:r>
            <w:r>
              <w:rPr>
                <w:rFonts w:ascii="Times New Roman" w:hAnsi="Times New Roman"/>
                <w:sz w:val="24"/>
              </w:rPr>
              <w:br/>
              <w:t>d) ołowiu (Pb): 100,</w:t>
            </w:r>
            <w:r>
              <w:rPr>
                <w:rFonts w:ascii="Times New Roman" w:hAnsi="Times New Roman"/>
                <w:sz w:val="24"/>
              </w:rPr>
              <w:br/>
              <w:t>e) wanadu (V): 100,</w:t>
            </w:r>
            <w:r>
              <w:rPr>
                <w:rFonts w:ascii="Times New Roman" w:hAnsi="Times New Roman"/>
                <w:sz w:val="24"/>
              </w:rPr>
              <w:br/>
              <w:t>f) kobaltu (Co): 100,</w:t>
            </w:r>
            <w:r>
              <w:rPr>
                <w:rFonts w:ascii="Times New Roman" w:hAnsi="Times New Roman"/>
                <w:sz w:val="24"/>
              </w:rPr>
              <w:br/>
              <w:t>g) niklu (Ni): 100,</w:t>
            </w:r>
            <w:r>
              <w:rPr>
                <w:rFonts w:ascii="Times New Roman" w:hAnsi="Times New Roman"/>
                <w:sz w:val="24"/>
              </w:rPr>
              <w:br/>
              <w:t>h) molibdenu (Mo): 20,</w:t>
            </w:r>
            <w:r>
              <w:rPr>
                <w:rFonts w:ascii="Times New Roman" w:hAnsi="Times New Roman"/>
                <w:sz w:val="24"/>
              </w:rPr>
              <w:br/>
              <w:t>i) arsenu (As): 20,</w:t>
            </w:r>
            <w:r>
              <w:rPr>
                <w:rFonts w:ascii="Times New Roman" w:hAnsi="Times New Roman"/>
                <w:sz w:val="24"/>
              </w:rPr>
              <w:br/>
              <w:t>j) kadmu (Cd): 8,</w:t>
            </w:r>
            <w:r>
              <w:rPr>
                <w:rFonts w:ascii="Times New Roman" w:hAnsi="Times New Roman"/>
                <w:sz w:val="24"/>
              </w:rPr>
              <w:br/>
              <w:t>Nie może zawierać popiołu lotnego</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Gleba (wykopana lub wypłukana)</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niezanieczyszczona naturalna gleba z placów budowy lub rozbiórek, osad z mycia roślin korzeniowych</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15 m/m%.</w:t>
            </w:r>
            <w:r>
              <w:rPr>
                <w:rFonts w:ascii="Times New Roman" w:hAnsi="Times New Roman"/>
                <w:sz w:val="24"/>
              </w:rPr>
              <w:br/>
              <w:t>Maksymalna zawartość zanieczyszczeń (mg/kg suchej masy):</w:t>
            </w:r>
            <w:r>
              <w:rPr>
                <w:rFonts w:ascii="Times New Roman" w:hAnsi="Times New Roman"/>
                <w:sz w:val="24"/>
              </w:rPr>
              <w:br/>
              <w:t>a) arsenu (As): 30,</w:t>
            </w:r>
            <w:r>
              <w:rPr>
                <w:rFonts w:ascii="Times New Roman" w:hAnsi="Times New Roman"/>
                <w:sz w:val="24"/>
              </w:rPr>
              <w:br/>
              <w:t>b) ołowiu (Pb): 100,</w:t>
            </w:r>
            <w:r>
              <w:rPr>
                <w:rFonts w:ascii="Times New Roman" w:hAnsi="Times New Roman"/>
                <w:sz w:val="24"/>
              </w:rPr>
              <w:br/>
              <w:t>c) kadmu (Cd): 1,1,</w:t>
            </w:r>
            <w:r>
              <w:rPr>
                <w:rFonts w:ascii="Times New Roman" w:hAnsi="Times New Roman"/>
                <w:sz w:val="24"/>
              </w:rPr>
              <w:br/>
              <w:t>d) chromu (Cr): 90,</w:t>
            </w:r>
            <w:r>
              <w:rPr>
                <w:rFonts w:ascii="Times New Roman" w:hAnsi="Times New Roman"/>
                <w:sz w:val="24"/>
              </w:rPr>
              <w:br/>
              <w:t>e) miedzi (Cu): 90;</w:t>
            </w:r>
            <w:r>
              <w:rPr>
                <w:rFonts w:ascii="Times New Roman" w:hAnsi="Times New Roman"/>
                <w:sz w:val="24"/>
              </w:rPr>
              <w:br/>
              <w:t>f) niklu (Ni): 55,</w:t>
            </w:r>
            <w:r>
              <w:rPr>
                <w:rFonts w:ascii="Times New Roman" w:hAnsi="Times New Roman"/>
                <w:sz w:val="24"/>
              </w:rPr>
              <w:br/>
              <w:t>g) rtęci (Hg): 0,7,</w:t>
            </w:r>
            <w:r>
              <w:rPr>
                <w:rFonts w:ascii="Times New Roman" w:hAnsi="Times New Roman"/>
                <w:sz w:val="24"/>
              </w:rPr>
              <w:br/>
              <w:t>h) cynku (Zn): 450,</w:t>
            </w:r>
            <w:r>
              <w:rPr>
                <w:rFonts w:ascii="Times New Roman" w:hAnsi="Times New Roman"/>
                <w:sz w:val="24"/>
              </w:rPr>
              <w:br/>
            </w:r>
            <w:r>
              <w:rPr>
                <w:rFonts w:ascii="Times New Roman" w:hAnsi="Times New Roman"/>
                <w:sz w:val="24"/>
              </w:rPr>
              <w:lastRenderedPageBreak/>
              <w:t>i) wielopierścieniowych węglowodorów aromatycznych (WWA16: naftalenu, fluorenu, fenantrenu, antracenu, fluorantenu, pirenu, benzo(a)antracenu, chryzenu, benzo(b)fluorantenu, benzo(k)fluorantenu, benzo(a)pirenu, indeno(1,2,3-c,d)pirenu, dibenzo(a, h)antracenu, benzo(g, h, i)perylenu): 2,</w:t>
            </w:r>
            <w:r>
              <w:rPr>
                <w:rFonts w:ascii="Times New Roman" w:hAnsi="Times New Roman"/>
                <w:sz w:val="24"/>
              </w:rPr>
              <w:br/>
              <w:t xml:space="preserve">całkowita zawartość węglowodorów: 200, którą bada się tylko wtedy, gdy istnieje podejrzenie wcześniejszego zanieczyszczenia węglowodorami lub brak informacji na temat powstawania osadu z mycia i istnieje podejrzenie obecności jakiegoś rozpuszczalnika, środka koagulacyjnego lub ługującego.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Lignoceluloza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rolnicze produkty uboczne pochodzenia roślinnego,</w:t>
            </w:r>
            <w:r>
              <w:rPr>
                <w:rFonts w:ascii="Times New Roman" w:hAnsi="Times New Roman"/>
                <w:sz w:val="24"/>
              </w:rPr>
              <w:br/>
              <w:t>b) puste kłosy roślin zbożowych,</w:t>
            </w:r>
            <w:r>
              <w:rPr>
                <w:rFonts w:ascii="Times New Roman" w:hAnsi="Times New Roman"/>
                <w:sz w:val="24"/>
              </w:rPr>
              <w:br/>
              <w:t>c) obornik ze słomy,</w:t>
            </w:r>
            <w:r>
              <w:rPr>
                <w:rFonts w:ascii="Times New Roman" w:hAnsi="Times New Roman"/>
                <w:sz w:val="24"/>
              </w:rPr>
              <w:br/>
              <w:t>d) odpady z przycinania roślin zielonych,</w:t>
            </w:r>
            <w:r>
              <w:rPr>
                <w:rFonts w:ascii="Times New Roman" w:hAnsi="Times New Roman"/>
                <w:sz w:val="24"/>
              </w:rPr>
              <w:br/>
              <w:t>odpady zielone</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Produkty wspomagające proces kompostowania</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preparaty mikrobiologiczne, biologiczne kultury starterowe</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 dopuszczony do obrotu i stosowania.</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Odpady z zakładów przetwarzania odpadów, z oczyszczalni ścieków, które oczyszczają ścieki poza terenem zakładu, a także odpady z zaopatrzenia w wodę pitną i w wodę przemysłową</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odpady stałe z wstępnej filtracji i skratki,</w:t>
            </w:r>
            <w:r>
              <w:rPr>
                <w:rFonts w:ascii="Times New Roman" w:hAnsi="Times New Roman"/>
                <w:sz w:val="24"/>
              </w:rPr>
              <w:br/>
              <w:t>b) osady z klarowania wody,</w:t>
            </w:r>
            <w:r>
              <w:rPr>
                <w:rFonts w:ascii="Times New Roman" w:hAnsi="Times New Roman"/>
                <w:sz w:val="24"/>
              </w:rPr>
              <w:br/>
              <w:t>osady z dekarbonizacji</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Załącznik 2 do rozporządzenia Rządu nr 559/2023 z dnia 14 grudnia 2023 r.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Wymagania fizyczne, chemiczne i biologiczne dotyczące kompostów do użytku pozarolniczego</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Kompost wytworzony z odpadów ulegających biodegradacji traci status odpadu z chwilą osiągnięcia wartości dopuszczalnych dla następujących kategorii zastosowań: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66"/>
        <w:gridCol w:w="2873"/>
        <w:gridCol w:w="2950"/>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Jeżeli kompost wytwarzany z odpadów ulegających biodegradacji jest wykorzystywany na obszarze, na którym może on stanowić bezpośrednie zagrożenie dla zdrowia ludzi (zwłaszcza na terenach zielonych stanowiących część terenów zabudowy mieszkaniowej i terenów rekreacyjnych, placów zabaw, parków, przydrożnych klombów, obszarów zalesionych, publicznych promenad, miejsc do wyprowadzania psów, publicznych kwietników, terenów należących do obiektów sportowych, plaż i terenów należących do instytucji publicznych), kompost ten musi również spełniać wymogi określone w punkcie 4 załącznika 3 do rozporządzenia Ministra Rolnictwa i Rozwoju Wsi FVM nr 36/2006 z dnia 18 maja 2006 r. w sprawie dopuszczenia, przechowywania, wprowadzania do obrotu i stosowania produktów zwiększających plony.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Jeżeli kompost wytwarzany z odpadów ulegających biodegradacji jest wykorzystywany na terenie objętym ustawą o lasach, ochronie lasów i gospodarce leśnej, w sposób w niej uregulowany, lub na innych zewnętrznych terenach zalesionych, kompost ten musi również spełniać wymagania określone w pkt 1.1 </w:t>
            </w:r>
            <w:r>
              <w:rPr>
                <w:rFonts w:ascii="Times New Roman" w:hAnsi="Times New Roman"/>
                <w:i/>
                <w:sz w:val="24"/>
              </w:rPr>
              <w:t>i</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Jeżeli kompost wytwarzany z odpadów ulegających biodegradacji jest wykorzystywany do rekultywacji, usuwania szkód w krajobrazie lub jest stosowany w zamkniętych składowiskach odpadów przeróbczych zgodnie z rozporządzeniem Ministerstwa Ochrony Środowiska i Gospodarki Wodnej KvVM nr 20/2006 z dnia 5 kwietnia 2006 r. w sprawie niektórych zasad i warunków dotyczących składowania odpadów i ich składowisk, kompost ten musi również spełniać wymogi określone w pkt 1.1 i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Właściwości fizyczne i biologiczne: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2044"/>
        <w:gridCol w:w="2303"/>
        <w:gridCol w:w="1725"/>
        <w:gridCol w:w="2716"/>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Właściwości</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Uwagi</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Zawartość materii organicznej</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Zawartość materii organicznej w kompoście wynosi co najmniej 15 % zawartości suchej masy.</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Zawartość materii organicznej w kompoście wynosi co najmniej 15 % zawartości suchej masy.</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Minimalna zawartość materii organicznej odnosi się do produktu w końcowej fazie kompostowania, przed zmieszaniem z innymi substancjami. Celem jest zapobieganie rozcieńczaniu składników (np. piaskiem, glebą).</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Dojrzałość kompostu</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Maksymalna temperatura uzyskana podczas badania samonagrzewania nie może przekraczać 30°C.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Patogeny:</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ujemne,</w:t>
            </w:r>
            <w:r>
              <w:rPr>
                <w:rFonts w:ascii="Times New Roman" w:hAnsi="Times New Roman"/>
                <w:sz w:val="24"/>
              </w:rPr>
              <w:br/>
              <w:t>b) Liczba pałeczek okrężnicy 500/g,</w:t>
            </w:r>
            <w:r>
              <w:rPr>
                <w:rFonts w:ascii="Times New Roman" w:hAnsi="Times New Roman"/>
                <w:sz w:val="24"/>
              </w:rPr>
              <w:br/>
              <w:t>c) Liczba paciorkowców kałowych 500/g,</w:t>
            </w:r>
            <w:r>
              <w:rPr>
                <w:rFonts w:ascii="Times New Roman" w:hAnsi="Times New Roman"/>
                <w:sz w:val="24"/>
              </w:rPr>
              <w:br/>
              <w:t>d) Jaja ludzkich robaków pasożytniczych 25 g ujemne</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Pomiarowi tego parametru muszą towarzyszyć regularne pomiary temperatury.</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Żywotne nasiona chwastów i substancje wspomagające wzrost roślin</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kompoście nie mogą znajdować się więcej niż 2 żywotne nasiona chwastów na litr.</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Pomiarowi tego parametru muszą towarzyszyć regularne pomiary temperatury.</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Zanieczyszczenia makroskopowe</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zakresie cząstek większych niż 2 mm kompost może zawierać szkło, metale i tworzywa sztuczne w ilości nie większej niż 0,5 % zawartości suchej masy.</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 zakresie cząstek większych niż 2 mm kompost może zawierać szkło, metale i tworzywa sztuczne w ilości nie większej niż 0,5 % zawartości suchej masy.</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Należy dokonać rozróżnienia między kamieniami a zanieczyszczeniami sztucznymi.</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Właściwości chemiczne:</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1.2.1 Zawartość metali ciężkich: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391"/>
        <w:gridCol w:w="1905"/>
        <w:gridCol w:w="1929"/>
        <w:gridCol w:w="3444"/>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Metale ciężkie</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Ilość (mg/kg w suchej masie) kategoria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Ilość (mg/kg w suchej masie) kategoria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Uwagi</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Cynk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Rtęć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Chrom ogółem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Gotowy produkt, przed zmieszaniem z innymi substancjami. W przypadku chromu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Nikiel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Ołów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Miedź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Zanieczyszczenia organiczne: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712"/>
        <w:gridCol w:w="1138"/>
        <w:gridCol w:w="1145"/>
        <w:gridCol w:w="1794"/>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Zanieczyszczenia organiczne</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Ilość</w:t>
            </w:r>
            <w:r>
              <w:rPr>
                <w:rFonts w:ascii="Times New Roman" w:hAnsi="Times New Roman"/>
                <w:b/>
                <w:sz w:val="24"/>
              </w:rPr>
              <w:br/>
              <w:t>Kategoria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Ilość</w:t>
            </w:r>
            <w:r>
              <w:rPr>
                <w:rFonts w:ascii="Times New Roman" w:hAnsi="Times New Roman"/>
                <w:b/>
                <w:sz w:val="24"/>
              </w:rPr>
              <w:br/>
              <w:t>Kategoria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Uwagi</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Wskaźnik całkowitej zawartości polichlorowanych bifenyli (PCB7: PCB 28, 52, 101, 118, 138, 153, 180) (mg/kg w suchej masie)</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Całkowita zawartość wielopierścieniowych węglowodorów aromatycznych (WWA16: naftalenu, fluorenu, fenantrenu, antracenu, fluorantenu, pirenu, benzo(a)antracenu, chryzenu, benzo(b)fluorantenu, benzo(k)fluorantenu, benzo(a)pirenu, indeno(1,2,3-c,d)pirenu, dibenzo(a, h)antracenu, benzo(g, h, i)perylenu) (zawartość mg/kg w suchej masie)</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Gotowy produkt, przed zmieszaniem z innymi substancjami.</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Całkowita zawartość węglowodorów alifatycznych (TPH) (mg/kg w suchej masie)</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2. Odprowadzane do oczyszczalni ścieków pozostałości fermentacyjne powstałe w biogazowni tracą status odpadu z chwilą osiągnięcia wartości dopuszczalnych określonych w załącznikach 4 i 5 do rozporządzenia ministerialnego w sprawie dopuszczalnych wartości zanieczyszczeń wód i niektórych zasad ich stosowania.</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Załącznik 3 do rozporządzenia Rządu nr 559/2023 z dnia 14 grudnia 2023 r.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Przepisy techniczne dotyczące kompostowania na miejscu, stabilizacji i produkcji biogazu</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Kompostowanie na miejscu:</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W przypadku systemów kompostowania w rozumieniu art. 10 ust. 3, z wyjątkiem przypadków, gdy do kompostowania na miejscu wykorzystywane są produkty uboczne pochodzenia zwierzęcego, w kompostowni należy zapewnić co najmniej następujące temperatury oraz częstotliwość mieszania lub przewracania: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w kompostowni działającej w systemie otwartym temperaturę 55°C utrzymywaną przez co najmniej 14 dni w celu zapewnienia higienizacji, przy czym mieszanie lub przewracanie należy wykonać co najmniej 5-krotnie;</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w kompostowni działającej w systemie otwartym temperaturę 65°C utrzymywaną przez co najmniej 7 dni w celu zapewnienia higienizacji, przy czym mieszanie lub przewracanie należy wykonać co najmniej 2-krotnie;</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w kompostowni działającej w systemie zamkniętym temperaturę 60°C utrzymywaną przez co najmniej 7 dni.</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W celu osiągnięcia wysokiego poziomu aktywności biologicznej podczas kompostowania należy zapewnić co najmniej następujące warunki:</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najlepszą dostępną strukturę i napowietrzanie;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odpowiednie zaopatrzenie w tlen;</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odpowiednią wilgotność i zawartość składników odżywczych;</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stosunek węgla do azotu wynoszący 25-35:1, oraz</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pH w zakresie od 4 do 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Po zakończeniu intensywnego kompostowania, podmiot prowadzący kompostownię poddaje kompost dojrzewaniu w obszarze przetwarzania wtórnego do momentu, gdy jego temperatura podczas badania samonagrzewania przekroczy 30°C. Proces dojrzewania można poprzedzić przesiewaniem lub frakcjonowaniem.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W przypadku kompostowania produktów ubocznych pochodzenia zwierzęcego lub produktów pochodnych należy przestrzegać parametrów przekształcania i parametrów mikrobiologicznych określonych w sekcjach 1 i 3 rozdziału III załącznika V do rozporządzenia Komisji (UE) nr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Stabilizacja:</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Stabilizację można przeprowadzać wyłącznie w zakładzie gospodarki odpadami posiadającym wodoszczelną komorę.</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Stabilizacja musi zapewniać co najmniej następujące warunki:</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a) etapy w zależności od zapotrzebowania na temperaturę mikroorganizmów psychrofilnych, mezofilnych i termofilnych,</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wysoki poziom aktywności biologicznej i odpowiednia zawartość wilgoci dla odpadów ulegających biodegradacji, rozwój odpowiednich warunków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na potrzeby higienizacji, najlepsza dostępna struktura, napowietrzanie i homogenizacja.</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Odpady zmieszane należy stabilizować, aż intensywność oddechowa (AT4) spadnie poniżej 10 mg O</w:t>
      </w:r>
      <w:r>
        <w:rPr>
          <w:rFonts w:ascii="Times New Roman" w:hAnsi="Times New Roman"/>
          <w:sz w:val="24"/>
          <w:vertAlign w:val="subscript"/>
        </w:rPr>
        <w:t>2</w:t>
      </w:r>
      <w:r>
        <w:rPr>
          <w:rFonts w:ascii="Times New Roman" w:hAnsi="Times New Roman"/>
          <w:sz w:val="24"/>
        </w:rPr>
        <w:t>/g suchej masy.</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Produkcja biogazu:</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W przypadku procedur, o których mowa w art. 12 ust. 3, należy zapewnić minimalne wartości temperatury i czasy ich utrzymywania, zgodnie z poniższą tabelą: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343"/>
        <w:gridCol w:w="2026"/>
        <w:gridCol w:w="3420"/>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System, w jakim funkcjonuje biogazownia</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Wartości temperatury</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Czas utrzymywania wartości temperatury</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fermentacji mokrej</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co najmniej 25-35 dni</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fermentacji suchej</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co najmniej 20-30 dni</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Optymalny stosunek węgla do azotu: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Odpowiedni zakres pH: pH=7-9.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W przypadku wykorzystania w biogazowni produktów ubocznych pochodzenia zwierzęcego lub produktów pochodnych należy przestrzegać parametrów przekształcania i parametrów mikrobiologicznych określonych w sekcjach 1 i 3 rozdziału III załącznika V do rozporządzenia Komisji (UE) nr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Załącznik 4 do rozporządzenia Rządu nr 559/2023 z dnia 14 grudnia 2023 r.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Deklaracja zgodności i jej treść</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Dla partii kompostu sporządza się deklarację zgodności zgodnie z poniższą tabelą:</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DEKLARACJA ZGODNOŚCI</w:t>
            </w:r>
          </w:p>
        </w:tc>
        <w:tc>
          <w:tcPr>
            <w:tcW w:w="4549" w:type="dxa"/>
          </w:tcPr>
          <w:p w14:paraId="386EEDDB" w14:textId="77777777" w:rsidR="00D75B38" w:rsidRDefault="00D75B38" w:rsidP="00D75B38">
            <w:pPr>
              <w:pStyle w:val="TableParagraph"/>
              <w:spacing w:line="195" w:lineRule="exact"/>
              <w:ind w:left="106"/>
              <w:rPr>
                <w:sz w:val="17"/>
              </w:rPr>
            </w:pPr>
            <w:r>
              <w:rPr>
                <w:sz w:val="17"/>
              </w:rPr>
              <w:t>1. Nazwa podmiotu prowadzącego kompostownię:</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 siedziby podmiotu prowadzącego kompostownię:</w:t>
            </w:r>
          </w:p>
        </w:tc>
        <w:tc>
          <w:tcPr>
            <w:tcW w:w="4549" w:type="dxa"/>
          </w:tcPr>
          <w:p w14:paraId="6FBDFC63" w14:textId="77777777" w:rsidR="00D75B38" w:rsidRDefault="00D75B38" w:rsidP="00D75B38">
            <w:pPr>
              <w:pStyle w:val="TableParagraph"/>
              <w:spacing w:line="195" w:lineRule="exact"/>
              <w:ind w:left="106"/>
              <w:rPr>
                <w:sz w:val="17"/>
              </w:rPr>
            </w:pPr>
            <w:r>
              <w:rPr>
                <w:sz w:val="17"/>
              </w:rPr>
              <w:t>3. Adres zakładu produkcyjnego:</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Identyfikator KÜJ (środowiskowy identyfikator klienta):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Identyfikator KTJ (środowiskowy identyfikator terytorialny):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Numer statystyczny nadany przez HCSO (Węgierski Główny Urząd Statystyczny):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Numer zezwolenia na gospodarowanie odpadami:</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Zezwolenie na wprowadzanie do obrotu i stosowanie kompostu (jeżeli dotyczy):</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Liczba protokołów pobierania próbek i sprawozdań z badań laboratoryjnych potwierdzających utratę statusu odpadu (znak identyfikacyjny próbki odpadów):</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Działanie realizowane w ramach przetwarzania:</w:t>
            </w:r>
          </w:p>
        </w:tc>
        <w:tc>
          <w:tcPr>
            <w:tcW w:w="4549" w:type="dxa"/>
          </w:tcPr>
          <w:p w14:paraId="65F30F63" w14:textId="77777777" w:rsidR="00D75B38" w:rsidRDefault="00D75B38" w:rsidP="00D75B38">
            <w:pPr>
              <w:pStyle w:val="TableParagraph"/>
              <w:spacing w:line="195" w:lineRule="exact"/>
              <w:ind w:left="97"/>
              <w:rPr>
                <w:sz w:val="17"/>
              </w:rPr>
            </w:pPr>
            <w:r>
              <w:rPr>
                <w:sz w:val="17"/>
              </w:rPr>
              <w:t>13. Technologia przetwarzania: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Odpady wykorzystane do produkcji kompostu:</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Rodzaj:</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Ilość:</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Substancje pomocnicze w przetwórstwie wykorzystane do produkcji kompostu (jeżeli dotyczy):</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Rodzaj:</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Ilość:</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zastosowana do produkcji kompostu (jeżeli dotyczy):</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Kategoria zastosowania kompostu:</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Partia kompostu dostarczona z kompostowni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Wewnętrzne wskaźniki zawartości kompostu:</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reakcja:</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masa objętościowa:</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zawartość suchej masy:</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zawartość materii organicznej:</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całkowita zawartość soli rozpuszczalnych w wodzie:</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uziarnienie:</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zawartość substancji czynnej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Właściwości fizyczne i biologiczne kompostu:</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zawartość materii organicznej:</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dojrzałość kompostu:</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patogeny:</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żywotne nasiona chwastów i substancje wspomagające wzrost roślin</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zanieczyszczenia makroskopowe:</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właściwości chemiczne kompostu:</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Zawartość metali ciężkich:</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Zanieczyszczenia organiczne:</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WWA16: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Nazwa, adres, siedziba użytkownika, któremu przekazano kompost:</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Adres dostawy:</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Oświadczam, że kompost spełnia warunki utraty statusu odpadu określone w rozporządzeniu Rządu nr 559/2023 z dnia 14 grudnia 2023 r. w sprawie działań mających na celu zapobieganie wytwarzaniu odpadów ulegających biodegradacji, szczegółowych przepisów dotyczących działalności w zakresie gospodarowania odpadami związanych z odpadami ulegającymi biodegradacji oraz przepisów dotyczących klasyfikacji kompostu wytwarzanego z bioodpadów, jak również w art. 9 ust. 1 ustawy CLXXXV z 2012 r. o odpadach:</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Data i podpis: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Dla pozostałości fermentacyjnych sporządza się deklarację zgodności zgodnie z poniższą tabelą:</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POZOSTAŁOŚCI FERMENTACYJNE</w:t>
            </w:r>
            <w:r>
              <w:rPr>
                <w:b/>
                <w:sz w:val="17"/>
              </w:rPr>
              <w:br/>
              <w:t>DEKLARACJA ZGODNOŚCI</w:t>
            </w:r>
          </w:p>
        </w:tc>
        <w:tc>
          <w:tcPr>
            <w:tcW w:w="4546" w:type="dxa"/>
          </w:tcPr>
          <w:p w14:paraId="16F7218D" w14:textId="77777777" w:rsidR="00D75B38" w:rsidRDefault="00D75B38" w:rsidP="00D75B38">
            <w:pPr>
              <w:pStyle w:val="TableParagraph"/>
              <w:spacing w:line="195" w:lineRule="exact"/>
              <w:rPr>
                <w:sz w:val="17"/>
              </w:rPr>
            </w:pPr>
            <w:r>
              <w:rPr>
                <w:sz w:val="17"/>
              </w:rPr>
              <w:t>1. Nazwa podmiotu prowadzącego biogazownię:</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 siedziby podmiotu:</w:t>
            </w:r>
          </w:p>
        </w:tc>
        <w:tc>
          <w:tcPr>
            <w:tcW w:w="4546" w:type="dxa"/>
          </w:tcPr>
          <w:p w14:paraId="61677E8E" w14:textId="77777777" w:rsidR="00D75B38" w:rsidRDefault="00D75B38" w:rsidP="00D75B38">
            <w:pPr>
              <w:pStyle w:val="TableParagraph"/>
              <w:spacing w:line="195" w:lineRule="exact"/>
              <w:rPr>
                <w:sz w:val="17"/>
              </w:rPr>
            </w:pPr>
            <w:r>
              <w:rPr>
                <w:sz w:val="17"/>
              </w:rPr>
              <w:t>3. Adres zakładu produkcyjnego:</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pozostałości fermentacyjnych,</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pozostałości fermentacyjnych,</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Identyfikator KÜJ (środowiskowy identyfikator klienta):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Identyfikator KTJ (środowiskowy identyfikator terytorialny):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Numer statystyczny nadany przez HCSO (Węgierski Główny Urząd Statystyczny):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Numer zezwolenia na gospodarowanie odpadami:</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Zezwolenie na wprowadzanie do obrotu i stosowanie pozostałości fermentacyjnych (jeżeli dotyczy):</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Działanie realizowane w ramach przetwarzania:</w:t>
            </w:r>
          </w:p>
        </w:tc>
        <w:tc>
          <w:tcPr>
            <w:tcW w:w="4549" w:type="dxa"/>
          </w:tcPr>
          <w:p w14:paraId="12765214" w14:textId="77777777" w:rsidR="00D75B38" w:rsidRDefault="00D75B38" w:rsidP="00D75B38">
            <w:pPr>
              <w:pStyle w:val="TableParagraph"/>
              <w:spacing w:line="195" w:lineRule="exact"/>
              <w:ind w:left="97"/>
              <w:rPr>
                <w:sz w:val="17"/>
              </w:rPr>
            </w:pPr>
            <w:r>
              <w:rPr>
                <w:sz w:val="17"/>
              </w:rPr>
              <w:t>12. Technologia przetwarzania: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Odpady wykorzystane do uzyskania pozostałości fermentacyjnych:</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Rodzaj:</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Ilość:</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Substancje pomocnicze w przetwórstwie (ewentualnie) wykorzystane do uzyskania pozostałości fermentacyjnych:</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Rodzaj:</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Ilość:</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zastosowana do produkcji biogazu (jeżeli dotyczy):</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Ilość powstałych pozostałości fermentacyjnych (kg lub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Właściwości chemiczne pozostałości fermentacyjnych:</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Charakterystyka chemiczna:</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reakcja:</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zawartość materii organicznej:</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całkowita zawartość azotu:</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całkowita zawartość fosforu:</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Pierwiastki niebezpieczne:</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Dla zawartości suchej masy poniżej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Dla zawartości suchej masy powyżej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Zanieczyszczenia organiczne:</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Dla zawartości suchej masy poniżej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tłuszcze zwierzęce i roślinne:</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anionowy środek powierzchniowo czynny:</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Dla zawartości suchej masy powyżej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Biologiczne właściwości pozostałości fermentacyjnych:</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Zanieczyszczenia mikrobiologiczne:</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Liczba pałeczek okrężnicy:</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Liczba jaj ludzkich robaków pasożytniczych:</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Liczba paciorkowców kałowych:</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Liczba pałeczek ropy błękitnej:</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Wynik badania na obecność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Nazwa, adres, miejsce prowadzenia działalności użytkownika, któremu przekazano pozostałości fermentacyjne: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Adres dostawy:</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Oświadczam, że pozostałości fermentacyjne spełniają warunki utraty statusu odpadu określone w rozporządzeniu Rządu nr 559/2023 z dnia 14 grudnia 2023 r. w sprawie działań mających na celu zapobieganie wytwarzaniu odpadów ulegających biodegradacji, szczegółowych przepisów działalności w zakresie gospodarowania odpadami związanych z odpadami ulegającymi biodegradacji oraz przepisów dotyczących klasyfikacji kompostu wytwarzanego z bioodpadów, jak również w art. 9 ust. 1</w:t>
            </w:r>
          </w:p>
          <w:p w14:paraId="15E63BCD" w14:textId="77777777" w:rsidR="00D75B38" w:rsidRDefault="00D75B38" w:rsidP="00D75B38">
            <w:pPr>
              <w:pStyle w:val="TableParagraph"/>
              <w:spacing w:before="2"/>
              <w:rPr>
                <w:sz w:val="17"/>
              </w:rPr>
            </w:pPr>
            <w:r>
              <w:rPr>
                <w:sz w:val="17"/>
              </w:rPr>
              <w:t>ustawy CLXXXV z 2012 r. o odpadach:</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Data i podpis: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B913" w14:textId="77777777" w:rsidR="00301E6E" w:rsidRDefault="00301E6E" w:rsidP="00D75B38">
      <w:pPr>
        <w:spacing w:after="0" w:line="240" w:lineRule="auto"/>
      </w:pPr>
      <w:r>
        <w:separator/>
      </w:r>
    </w:p>
  </w:endnote>
  <w:endnote w:type="continuationSeparator" w:id="0">
    <w:p w14:paraId="0EE2F256" w14:textId="77777777" w:rsidR="00301E6E" w:rsidRDefault="00301E6E"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9A56" w14:textId="77777777" w:rsidR="00301E6E" w:rsidRDefault="00301E6E" w:rsidP="00D75B38">
      <w:pPr>
        <w:spacing w:after="0" w:line="240" w:lineRule="auto"/>
      </w:pPr>
      <w:r>
        <w:separator/>
      </w:r>
    </w:p>
  </w:footnote>
  <w:footnote w:type="continuationSeparator" w:id="0">
    <w:p w14:paraId="2309ECB4" w14:textId="77777777" w:rsidR="00301E6E" w:rsidRDefault="00301E6E"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301E6E"/>
    <w:rsid w:val="004B077F"/>
    <w:rsid w:val="009478CF"/>
    <w:rsid w:val="009D57B8"/>
    <w:rsid w:val="00A321C1"/>
    <w:rsid w:val="00AA287C"/>
    <w:rsid w:val="00C34BDC"/>
    <w:rsid w:val="00C82FFE"/>
    <w:rsid w:val="00CA6219"/>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7824</Words>
  <Characters>52346</Characters>
  <Application>Microsoft Office Word</Application>
  <DocSecurity>0</DocSecurity>
  <Lines>2093</Lines>
  <Paragraphs>925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2024-07-24T13:57:00Z</dcterms:created>
  <dcterms:modified xsi:type="dcterms:W3CDTF">2024-07-24T13:57:00Z</dcterms:modified>
</cp:coreProperties>
</file>