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0B1F" w14:textId="77777777" w:rsidR="00D21EA2" w:rsidRPr="003A3CEF" w:rsidRDefault="00D21EA2">
      <w:pPr>
        <w:pStyle w:val="BodyText"/>
        <w:spacing w:before="61"/>
        <w:ind w:left="0"/>
        <w:rPr>
          <w:sz w:val="28"/>
        </w:rPr>
      </w:pPr>
    </w:p>
    <w:p w14:paraId="495570D7" w14:textId="77777777" w:rsidR="00D21EA2" w:rsidRPr="003A3CEF" w:rsidRDefault="00952699">
      <w:pPr>
        <w:spacing w:before="1"/>
        <w:ind w:left="1691" w:right="1686"/>
        <w:jc w:val="center"/>
        <w:rPr>
          <w:b/>
          <w:sz w:val="28"/>
        </w:rPr>
      </w:pPr>
      <w:r>
        <w:rPr>
          <w:b/>
          <w:sz w:val="28"/>
        </w:rPr>
        <w:t>Saksamaa Keskkonnaamet</w:t>
      </w:r>
    </w:p>
    <w:p w14:paraId="6DD6B401" w14:textId="77777777" w:rsidR="00D21EA2" w:rsidRPr="003A3CEF" w:rsidRDefault="00D21EA2">
      <w:pPr>
        <w:pStyle w:val="BodyText"/>
        <w:spacing w:before="107"/>
        <w:ind w:left="0"/>
        <w:rPr>
          <w:b/>
          <w:sz w:val="28"/>
        </w:rPr>
      </w:pPr>
    </w:p>
    <w:p w14:paraId="6F078E37" w14:textId="4BD687E2" w:rsidR="00D21EA2" w:rsidRPr="003A3CEF" w:rsidRDefault="00952699" w:rsidP="00C752E8">
      <w:pPr>
        <w:spacing w:before="1" w:line="225" w:lineRule="exact"/>
        <w:ind w:left="1691" w:right="1687"/>
        <w:jc w:val="center"/>
        <w:rPr>
          <w:b/>
          <w:bCs/>
          <w:sz w:val="20"/>
        </w:rPr>
      </w:pPr>
      <w:r>
        <w:rPr>
          <w:b/>
          <w:sz w:val="20"/>
        </w:rPr>
        <w:t>Joogiveega kokkupuutuvate</w:t>
      </w:r>
      <w:r>
        <w:rPr>
          <w:b/>
          <w:sz w:val="20"/>
        </w:rPr>
        <w:br/>
        <w:t>metalliliste materjalide</w:t>
      </w:r>
      <w:r>
        <w:rPr>
          <w:b/>
          <w:sz w:val="20"/>
        </w:rPr>
        <w:br/>
        <w:t>hindamisbaasi käsitleva</w:t>
      </w:r>
      <w:r>
        <w:rPr>
          <w:b/>
          <w:sz w:val="20"/>
        </w:rPr>
        <w:br/>
        <w:t>uuesti sõnastatud teatise</w:t>
      </w:r>
      <w:r>
        <w:rPr>
          <w:b/>
          <w:sz w:val="20"/>
        </w:rPr>
        <w:br/>
        <w:t>neljas muudatus</w:t>
      </w:r>
    </w:p>
    <w:p w14:paraId="0FE7CF9E" w14:textId="3A56FB14" w:rsidR="00D21EA2" w:rsidRPr="003A3CEF" w:rsidRDefault="00952699">
      <w:pPr>
        <w:spacing w:line="221" w:lineRule="exact"/>
        <w:ind w:left="1691" w:right="1685"/>
        <w:jc w:val="center"/>
        <w:rPr>
          <w:b/>
          <w:bCs/>
          <w:sz w:val="20"/>
        </w:rPr>
      </w:pPr>
      <w:r>
        <w:rPr>
          <w:b/>
          <w:sz w:val="20"/>
        </w:rPr>
        <w:t>(Metalli hindamise alus)</w:t>
      </w:r>
      <w:r w:rsidR="00C752E8" w:rsidRPr="003A3CEF">
        <w:rPr>
          <w:rStyle w:val="FootnoteReference"/>
          <w:b/>
          <w:bCs/>
          <w:sz w:val="20"/>
        </w:rPr>
        <w:footnoteReference w:id="1"/>
      </w:r>
      <w:r>
        <w:rPr>
          <w:b/>
          <w:sz w:val="20"/>
          <w:vertAlign w:val="superscript"/>
        </w:rPr>
        <w:t xml:space="preserve"> </w:t>
      </w:r>
      <w:r w:rsidR="00C752E8" w:rsidRPr="003A3CEF">
        <w:rPr>
          <w:rStyle w:val="FootnoteReference"/>
          <w:b/>
          <w:bCs/>
          <w:sz w:val="20"/>
        </w:rPr>
        <w:footnoteReference w:id="2"/>
      </w:r>
    </w:p>
    <w:p w14:paraId="4B1488C9" w14:textId="77777777" w:rsidR="00D21EA2" w:rsidRPr="003A3CEF" w:rsidRDefault="00952699">
      <w:pPr>
        <w:pStyle w:val="BodyText"/>
        <w:spacing w:before="221"/>
        <w:ind w:left="1691" w:right="1686"/>
        <w:jc w:val="center"/>
      </w:pPr>
      <w:r>
        <w:t>Kuupäev: 10. juuni 2024. a.</w:t>
      </w:r>
    </w:p>
    <w:p w14:paraId="6DD05D2F" w14:textId="77777777" w:rsidR="00D21EA2" w:rsidRPr="003A3CEF" w:rsidRDefault="00D21EA2">
      <w:pPr>
        <w:pStyle w:val="BodyText"/>
        <w:spacing w:before="17"/>
        <w:ind w:left="0"/>
      </w:pPr>
    </w:p>
    <w:p w14:paraId="6D93CFEE" w14:textId="77777777" w:rsidR="00D21EA2" w:rsidRPr="003A3CEF" w:rsidRDefault="00952699">
      <w:pPr>
        <w:pStyle w:val="BodyText"/>
        <w:spacing w:before="0"/>
        <w:ind w:left="1691" w:right="1687"/>
        <w:jc w:val="center"/>
      </w:pPr>
      <w:r>
        <w:t>I.</w:t>
      </w:r>
    </w:p>
    <w:p w14:paraId="5A9CC10A" w14:textId="77777777" w:rsidR="00D21EA2" w:rsidRPr="003A3CEF" w:rsidRDefault="00952699">
      <w:pPr>
        <w:pStyle w:val="BodyText"/>
        <w:ind w:left="4433"/>
      </w:pPr>
      <w:r>
        <w:t>Muudatused</w:t>
      </w:r>
    </w:p>
    <w:p w14:paraId="4AA685E8" w14:textId="77777777" w:rsidR="00D21EA2" w:rsidRPr="003A3CEF" w:rsidRDefault="00952699">
      <w:pPr>
        <w:pStyle w:val="ListParagraph"/>
        <w:numPr>
          <w:ilvl w:val="0"/>
          <w:numId w:val="4"/>
        </w:numPr>
        <w:tabs>
          <w:tab w:val="left" w:pos="435"/>
        </w:tabs>
        <w:spacing w:before="75"/>
        <w:ind w:hanging="216"/>
        <w:jc w:val="left"/>
        <w:rPr>
          <w:sz w:val="18"/>
        </w:rPr>
      </w:pPr>
      <w:r>
        <w:rPr>
          <w:sz w:val="18"/>
        </w:rPr>
        <w:t>Punkti 1 esimene lõik asendatakse järgmisega.</w:t>
      </w:r>
    </w:p>
    <w:p w14:paraId="55EF1C5A" w14:textId="7C931817" w:rsidR="00D21EA2" w:rsidRPr="003A3CEF" w:rsidRDefault="00952699" w:rsidP="003A3CEF">
      <w:pPr>
        <w:pStyle w:val="BodyText"/>
        <w:spacing w:line="252" w:lineRule="auto"/>
      </w:pPr>
      <w:r>
        <w:t>Joogiveega kokkupuutuvate joogivee tootmise, töötlemise või jaotamise seadmete renoveerimiseks või hooldamiseks kasutatavad ained ja materjalid ei tohi vastavalt joogiveemääruse (joogiveemääruse) §-le 14:</w:t>
      </w:r>
    </w:p>
    <w:p w14:paraId="511F9DCF" w14:textId="77777777" w:rsidR="00D21EA2" w:rsidRPr="003A3CEF" w:rsidRDefault="00952699">
      <w:pPr>
        <w:pStyle w:val="ListParagraph"/>
        <w:numPr>
          <w:ilvl w:val="1"/>
          <w:numId w:val="4"/>
        </w:numPr>
        <w:tabs>
          <w:tab w:val="left" w:pos="675"/>
        </w:tabs>
        <w:spacing w:before="75"/>
        <w:ind w:left="675" w:hanging="209"/>
        <w:rPr>
          <w:sz w:val="18"/>
        </w:rPr>
      </w:pPr>
      <w:r>
        <w:rPr>
          <w:sz w:val="18"/>
        </w:rPr>
        <w:t>otses</w:t>
      </w:r>
      <w:r>
        <w:rPr>
          <w:sz w:val="18"/>
        </w:rPr>
        <w:t>elt ega kaudselt vähendada inimeste tervise kavandatud kaitset;</w:t>
      </w:r>
    </w:p>
    <w:p w14:paraId="44F5E45E" w14:textId="77777777" w:rsidR="00D21EA2" w:rsidRPr="003A3CEF" w:rsidRDefault="00952699">
      <w:pPr>
        <w:pStyle w:val="ListParagraph"/>
        <w:numPr>
          <w:ilvl w:val="1"/>
          <w:numId w:val="4"/>
        </w:numPr>
        <w:tabs>
          <w:tab w:val="left" w:pos="675"/>
        </w:tabs>
        <w:spacing w:before="75"/>
        <w:ind w:left="675" w:hanging="219"/>
        <w:rPr>
          <w:sz w:val="18"/>
        </w:rPr>
      </w:pPr>
      <w:r>
        <w:rPr>
          <w:sz w:val="18"/>
        </w:rPr>
        <w:t>halvendada vee värvust, lõhna või maitset;</w:t>
      </w:r>
    </w:p>
    <w:p w14:paraId="2846BFA5" w14:textId="77777777" w:rsidR="00D21EA2" w:rsidRPr="003A3CEF" w:rsidRDefault="00952699">
      <w:pPr>
        <w:pStyle w:val="ListParagraph"/>
        <w:numPr>
          <w:ilvl w:val="1"/>
          <w:numId w:val="4"/>
        </w:numPr>
        <w:tabs>
          <w:tab w:val="left" w:pos="675"/>
        </w:tabs>
        <w:spacing w:before="76"/>
        <w:ind w:left="675" w:hanging="209"/>
        <w:rPr>
          <w:sz w:val="18"/>
        </w:rPr>
      </w:pPr>
      <w:r>
        <w:rPr>
          <w:sz w:val="18"/>
        </w:rPr>
        <w:t>soodustada mikroorganismide paljunemist; või</w:t>
      </w:r>
    </w:p>
    <w:p w14:paraId="3D32DA15" w14:textId="77777777" w:rsidR="00D21EA2" w:rsidRPr="003A3CEF" w:rsidRDefault="00952699">
      <w:pPr>
        <w:pStyle w:val="ListParagraph"/>
        <w:numPr>
          <w:ilvl w:val="1"/>
          <w:numId w:val="4"/>
        </w:numPr>
        <w:tabs>
          <w:tab w:val="left" w:pos="676"/>
        </w:tabs>
        <w:spacing w:before="75" w:line="249" w:lineRule="auto"/>
        <w:ind w:right="106" w:hanging="220"/>
        <w:rPr>
          <w:sz w:val="18"/>
        </w:rPr>
      </w:pPr>
      <w:r>
        <w:rPr>
          <w:sz w:val="18"/>
        </w:rPr>
        <w:t>eritada vette aineid suuremates kogustes kui vältimatult vajalik, kui need vastavad üldtunnustatud tehno</w:t>
      </w:r>
      <w:r>
        <w:rPr>
          <w:sz w:val="18"/>
        </w:rPr>
        <w:t>loogiareeglitele.</w:t>
      </w:r>
    </w:p>
    <w:p w14:paraId="62E539DC" w14:textId="77777777" w:rsidR="00D21EA2" w:rsidRPr="003A3CEF" w:rsidRDefault="00952699">
      <w:pPr>
        <w:pStyle w:val="ListParagraph"/>
        <w:numPr>
          <w:ilvl w:val="0"/>
          <w:numId w:val="4"/>
        </w:numPr>
        <w:tabs>
          <w:tab w:val="left" w:pos="435"/>
        </w:tabs>
        <w:spacing w:before="67"/>
        <w:ind w:hanging="216"/>
        <w:jc w:val="left"/>
        <w:rPr>
          <w:sz w:val="18"/>
        </w:rPr>
      </w:pPr>
      <w:r>
        <w:rPr>
          <w:sz w:val="18"/>
        </w:rPr>
        <w:t>Punkti 1 esimene lõik asendatakse järgmisega.</w:t>
      </w:r>
    </w:p>
    <w:p w14:paraId="0EE98BC9" w14:textId="77777777" w:rsidR="00D21EA2" w:rsidRPr="003A3CEF" w:rsidRDefault="00952699">
      <w:pPr>
        <w:pStyle w:val="BodyText"/>
        <w:spacing w:before="76" w:line="249" w:lineRule="auto"/>
      </w:pPr>
      <w:r>
        <w:t>Käesolev hindamisalus vastavalt joogiveemääruse § 15 lõikele 1 täpsustab eespool nimetatud üldised hügieeninõuded kohaldamisalas loetletud metalsetele materjalidele.</w:t>
      </w:r>
    </w:p>
    <w:p w14:paraId="30A44FD9" w14:textId="77777777" w:rsidR="00D21EA2" w:rsidRPr="003A3CEF" w:rsidRDefault="00952699">
      <w:pPr>
        <w:pStyle w:val="ListParagraph"/>
        <w:numPr>
          <w:ilvl w:val="0"/>
          <w:numId w:val="4"/>
        </w:numPr>
        <w:tabs>
          <w:tab w:val="left" w:pos="435"/>
        </w:tabs>
        <w:spacing w:before="67"/>
        <w:ind w:hanging="216"/>
        <w:jc w:val="left"/>
        <w:rPr>
          <w:sz w:val="18"/>
        </w:rPr>
      </w:pPr>
      <w:r>
        <w:rPr>
          <w:sz w:val="18"/>
        </w:rPr>
        <w:t>Punkti 1 kolmanda lõigu esimene lause asendatakse järgmise lausega:</w:t>
      </w:r>
    </w:p>
    <w:p w14:paraId="2A9809A8" w14:textId="77777777" w:rsidR="00D21EA2" w:rsidRPr="003A3CEF" w:rsidRDefault="00952699">
      <w:pPr>
        <w:pStyle w:val="BodyText"/>
        <w:spacing w:line="249" w:lineRule="auto"/>
      </w:pPr>
      <w:r>
        <w:t xml:space="preserve">Hindamisalus sisaldab </w:t>
      </w:r>
      <w:r>
        <w:t>lisana metalsete materjalide lõplikku positiivset loetelu (joogiveemääruse § 15 lõike 3 punkt 3).</w:t>
      </w:r>
    </w:p>
    <w:p w14:paraId="25B732FF" w14:textId="77777777" w:rsidR="00D21EA2" w:rsidRPr="003A3CEF" w:rsidRDefault="00952699">
      <w:pPr>
        <w:pStyle w:val="ListParagraph"/>
        <w:numPr>
          <w:ilvl w:val="0"/>
          <w:numId w:val="4"/>
        </w:numPr>
        <w:tabs>
          <w:tab w:val="left" w:pos="435"/>
        </w:tabs>
        <w:spacing w:before="67"/>
        <w:ind w:hanging="216"/>
        <w:jc w:val="left"/>
        <w:rPr>
          <w:sz w:val="18"/>
        </w:rPr>
      </w:pPr>
      <w:r>
        <w:rPr>
          <w:sz w:val="18"/>
        </w:rPr>
        <w:t>Punkti 1 neljanda lõigu esimene lause asendatakse järgmise lausega:</w:t>
      </w:r>
    </w:p>
    <w:p w14:paraId="002C26A0" w14:textId="5F4C4828" w:rsidR="00D21EA2" w:rsidRPr="003A3CEF" w:rsidRDefault="00952699">
      <w:pPr>
        <w:pStyle w:val="BodyText"/>
        <w:spacing w:before="76" w:line="252" w:lineRule="auto"/>
      </w:pPr>
      <w:r>
        <w:t>Joogiveega kokkupuutuvate toodete tootjad peavad teatama, kas nende tooted vastavad joogiv</w:t>
      </w:r>
      <w:r>
        <w:t>eemääruse §-s 15 sätestatud hindamispõhimõtete nõuetele.</w:t>
      </w:r>
    </w:p>
    <w:p w14:paraId="38D26E44" w14:textId="77777777" w:rsidR="00D21EA2" w:rsidRPr="003A3CEF" w:rsidRDefault="00952699">
      <w:pPr>
        <w:pStyle w:val="ListParagraph"/>
        <w:numPr>
          <w:ilvl w:val="0"/>
          <w:numId w:val="4"/>
        </w:numPr>
        <w:tabs>
          <w:tab w:val="left" w:pos="435"/>
        </w:tabs>
        <w:spacing w:before="63"/>
        <w:ind w:hanging="216"/>
        <w:jc w:val="left"/>
        <w:rPr>
          <w:sz w:val="18"/>
        </w:rPr>
      </w:pPr>
      <w:r>
        <w:rPr>
          <w:sz w:val="18"/>
        </w:rPr>
        <w:t>Punkti 1 kuuenda lõigu esimene lause asendatakse järgmise lausega:</w:t>
      </w:r>
    </w:p>
    <w:p w14:paraId="7BDCEBA3" w14:textId="77777777" w:rsidR="00D21EA2" w:rsidRPr="003A3CEF" w:rsidRDefault="00952699">
      <w:pPr>
        <w:pStyle w:val="BodyText"/>
        <w:spacing w:line="252" w:lineRule="auto"/>
        <w:ind w:right="124"/>
      </w:pPr>
      <w:r>
        <w:t>Joogiveemääruse § 15 lõike 2 punkti 2 kohaselt kohaldatakse hindamisalust kaks aastat pärast selle avaldamist (s.t alates 10. aprill</w:t>
      </w:r>
      <w:r>
        <w:t>ist 2017).</w:t>
      </w:r>
    </w:p>
    <w:p w14:paraId="6548B8A2" w14:textId="77777777" w:rsidR="00D21EA2" w:rsidRPr="003A3CEF" w:rsidRDefault="00952699">
      <w:pPr>
        <w:pStyle w:val="ListParagraph"/>
        <w:numPr>
          <w:ilvl w:val="0"/>
          <w:numId w:val="4"/>
        </w:numPr>
        <w:tabs>
          <w:tab w:val="left" w:pos="435"/>
        </w:tabs>
        <w:spacing w:before="65"/>
        <w:ind w:hanging="216"/>
        <w:jc w:val="left"/>
        <w:rPr>
          <w:sz w:val="18"/>
        </w:rPr>
      </w:pPr>
      <w:r>
        <w:rPr>
          <w:sz w:val="18"/>
        </w:rPr>
        <w:t>Punkti 1 kuuenda lõigu neljas lause asendatakse järgmise lausega:</w:t>
      </w:r>
    </w:p>
    <w:p w14:paraId="31E018C3" w14:textId="1CCA6340" w:rsidR="00D21EA2" w:rsidRPr="003A3CEF" w:rsidRDefault="00952699">
      <w:pPr>
        <w:pStyle w:val="BodyText"/>
        <w:spacing w:before="74" w:line="249" w:lineRule="auto"/>
        <w:ind w:right="106"/>
        <w:jc w:val="both"/>
      </w:pPr>
      <w:r>
        <w:t>Alates sellest kuupäevast tagavad veevarustusettevõtjad, et joogiveemääruse § 13 lõike 2 kohaselt kasutatakse joogivee ehitamiseks või hooldamiseks üksnes joogivee hügieeniks sobi</w:t>
      </w:r>
      <w:r>
        <w:t>vate metalsete materjalide positiivses loetelus loetletud metalseid materjale, võttes arvesse käesolevas hindamisaluses sisalduvaid piiranguid (tooterühmad või kasutamine teatava joogiveega).</w:t>
      </w:r>
    </w:p>
    <w:p w14:paraId="7D22B89E" w14:textId="77777777" w:rsidR="00D21EA2" w:rsidRPr="003A3CEF" w:rsidRDefault="00952699">
      <w:pPr>
        <w:pStyle w:val="ListParagraph"/>
        <w:numPr>
          <w:ilvl w:val="0"/>
          <w:numId w:val="4"/>
        </w:numPr>
        <w:tabs>
          <w:tab w:val="left" w:pos="435"/>
        </w:tabs>
        <w:spacing w:before="71"/>
        <w:ind w:hanging="216"/>
        <w:jc w:val="both"/>
        <w:rPr>
          <w:sz w:val="18"/>
        </w:rPr>
      </w:pPr>
      <w:r>
        <w:rPr>
          <w:sz w:val="18"/>
        </w:rPr>
        <w:t>Punkti 1 kaheksas lõik asendatakse järgmisega.</w:t>
      </w:r>
    </w:p>
    <w:p w14:paraId="3811860D" w14:textId="77777777" w:rsidR="00D21EA2" w:rsidRPr="003A3CEF" w:rsidRDefault="00952699">
      <w:pPr>
        <w:pStyle w:val="BodyText"/>
        <w:spacing w:line="249" w:lineRule="auto"/>
        <w:ind w:right="106"/>
        <w:jc w:val="both"/>
      </w:pPr>
      <w:r>
        <w:t>Muudetud joogivee</w:t>
      </w:r>
      <w:r>
        <w:t>direktiivi (direktiiv (EL) 2020/2184) kohaselt kehtestatakse tulevikus joogiveega kokkupuutuvate materjalide suhtes kogu Euroopas ühtsed nõuded. Need eeskirjad vahetavad välja praeguse hindamisaluse.</w:t>
      </w:r>
    </w:p>
    <w:p w14:paraId="135075EB" w14:textId="77777777" w:rsidR="00D21EA2" w:rsidRPr="003A3CEF" w:rsidRDefault="00952699">
      <w:pPr>
        <w:pStyle w:val="ListParagraph"/>
        <w:numPr>
          <w:ilvl w:val="0"/>
          <w:numId w:val="4"/>
        </w:numPr>
        <w:tabs>
          <w:tab w:val="left" w:pos="435"/>
        </w:tabs>
        <w:spacing w:before="68"/>
        <w:ind w:hanging="216"/>
        <w:jc w:val="both"/>
        <w:rPr>
          <w:sz w:val="18"/>
        </w:rPr>
      </w:pPr>
      <w:r>
        <w:rPr>
          <w:sz w:val="18"/>
        </w:rPr>
        <w:t>Punktis 3.2.1 asendatakse eelviimane lause järgmise lausega:</w:t>
      </w:r>
    </w:p>
    <w:p w14:paraId="10C88001" w14:textId="77777777" w:rsidR="00D21EA2" w:rsidRPr="003A3CEF" w:rsidRDefault="00952699">
      <w:pPr>
        <w:pStyle w:val="BodyText"/>
        <w:spacing w:line="252" w:lineRule="auto"/>
        <w:ind w:right="106"/>
        <w:jc w:val="both"/>
      </w:pPr>
      <w:r>
        <w:t>Nõuetekohaselt hinnatud pinnakattevahendid on loetletud joogivee hügieeniks sobivate metalsete materjalide positiivses loetelus (vt lisa 3 (Katted)).</w:t>
      </w:r>
    </w:p>
    <w:p w14:paraId="76E372B6" w14:textId="77777777" w:rsidR="00D21EA2" w:rsidRPr="003A3CEF" w:rsidRDefault="00952699">
      <w:pPr>
        <w:pStyle w:val="ListParagraph"/>
        <w:numPr>
          <w:ilvl w:val="0"/>
          <w:numId w:val="4"/>
        </w:numPr>
        <w:tabs>
          <w:tab w:val="left" w:pos="435"/>
        </w:tabs>
        <w:spacing w:before="64"/>
        <w:ind w:hanging="216"/>
        <w:jc w:val="both"/>
        <w:rPr>
          <w:sz w:val="18"/>
        </w:rPr>
      </w:pPr>
      <w:r>
        <w:rPr>
          <w:sz w:val="18"/>
        </w:rPr>
        <w:t>Punkti 5.1 esimese lõigu esimene lause asendatakse järgmise lausega:</w:t>
      </w:r>
    </w:p>
    <w:p w14:paraId="0EB4B3D8" w14:textId="77777777" w:rsidR="00D21EA2" w:rsidRPr="003A3CEF" w:rsidRDefault="00952699">
      <w:pPr>
        <w:pStyle w:val="BodyText"/>
        <w:spacing w:line="252" w:lineRule="auto"/>
        <w:ind w:right="106"/>
        <w:jc w:val="both"/>
      </w:pPr>
      <w:r>
        <w:t>UBA hindab metalsete materjale tootja või ühenduse (edaspidi „taotleja“) taotluse alusel (joogiveemääruse § 15 lõige 5).</w:t>
      </w:r>
    </w:p>
    <w:p w14:paraId="45642588" w14:textId="77777777" w:rsidR="00D21EA2" w:rsidRPr="003A3CEF" w:rsidRDefault="00952699">
      <w:pPr>
        <w:pStyle w:val="ListParagraph"/>
        <w:numPr>
          <w:ilvl w:val="0"/>
          <w:numId w:val="4"/>
        </w:numPr>
        <w:tabs>
          <w:tab w:val="left" w:pos="435"/>
        </w:tabs>
        <w:spacing w:before="64"/>
        <w:ind w:hanging="318"/>
        <w:jc w:val="both"/>
        <w:rPr>
          <w:sz w:val="18"/>
        </w:rPr>
      </w:pPr>
      <w:r>
        <w:rPr>
          <w:sz w:val="18"/>
        </w:rPr>
        <w:t>Kogu dokumendis asendatakse mõiste „joogiveekäitis“ mõistega „joog</w:t>
      </w:r>
      <w:r>
        <w:rPr>
          <w:sz w:val="18"/>
        </w:rPr>
        <w:t>iveekäitis“.</w:t>
      </w:r>
    </w:p>
    <w:p w14:paraId="016FC2DD" w14:textId="52B8DD9F" w:rsidR="00D21EA2" w:rsidRPr="003A3CEF" w:rsidRDefault="00952699" w:rsidP="007B018D">
      <w:pPr>
        <w:pStyle w:val="ListParagraph"/>
        <w:numPr>
          <w:ilvl w:val="0"/>
          <w:numId w:val="4"/>
        </w:numPr>
        <w:tabs>
          <w:tab w:val="left" w:pos="435"/>
        </w:tabs>
        <w:spacing w:before="64"/>
        <w:ind w:hanging="318"/>
        <w:jc w:val="both"/>
        <w:rPr>
          <w:sz w:val="18"/>
        </w:rPr>
      </w:pPr>
      <w:r>
        <w:rPr>
          <w:sz w:val="18"/>
        </w:rPr>
        <w:t>Kogu dokumendis asendatakse mõiste „ettevõtja ja muu valdaja“ sõnaga „operaator“.</w:t>
      </w:r>
    </w:p>
    <w:p w14:paraId="37933A14" w14:textId="1B4E4E2B" w:rsidR="00D21EA2" w:rsidRPr="003A3CEF" w:rsidRDefault="00952699">
      <w:pPr>
        <w:pStyle w:val="ListParagraph"/>
        <w:numPr>
          <w:ilvl w:val="0"/>
          <w:numId w:val="4"/>
        </w:numPr>
        <w:tabs>
          <w:tab w:val="left" w:pos="435"/>
        </w:tabs>
        <w:spacing w:line="249" w:lineRule="auto"/>
        <w:ind w:right="107" w:hanging="319"/>
        <w:jc w:val="both"/>
        <w:rPr>
          <w:sz w:val="18"/>
        </w:rPr>
      </w:pPr>
      <w:r>
        <w:rPr>
          <w:sz w:val="18"/>
        </w:rPr>
        <w:lastRenderedPageBreak/>
        <w:t>Lisas „Joogivee hügieeninõuetele vastavate metalsete materjalide positiivne loetelu“ tehakse olemasolevatesse loendikirjetesse järgmised muudatused:</w:t>
      </w:r>
    </w:p>
    <w:p w14:paraId="2627E809" w14:textId="77777777" w:rsidR="00D21EA2" w:rsidRPr="003A3CEF" w:rsidRDefault="00952699">
      <w:pPr>
        <w:pStyle w:val="ListParagraph"/>
        <w:numPr>
          <w:ilvl w:val="0"/>
          <w:numId w:val="3"/>
        </w:numPr>
        <w:tabs>
          <w:tab w:val="left" w:pos="635"/>
        </w:tabs>
        <w:spacing w:before="74"/>
        <w:ind w:hanging="170"/>
        <w:rPr>
          <w:sz w:val="18"/>
        </w:rPr>
      </w:pPr>
      <w:r>
        <w:rPr>
          <w:sz w:val="18"/>
        </w:rPr>
        <w:t>2.1.3.4 CW50</w:t>
      </w:r>
      <w:r>
        <w:rPr>
          <w:sz w:val="18"/>
        </w:rPr>
        <w:t xml:space="preserve">6L-DW (CuZn33) Täienduse „-DW“ väljajätmine </w:t>
      </w:r>
    </w:p>
    <w:p w14:paraId="63FD6D3F" w14:textId="77777777" w:rsidR="00D21EA2" w:rsidRPr="003A3CEF" w:rsidRDefault="00952699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rPr>
          <w:sz w:val="18"/>
        </w:rPr>
      </w:pPr>
      <w:r>
        <w:rPr>
          <w:sz w:val="18"/>
        </w:rPr>
        <w:t>2.1.3.5 CW507L-DW (CuZn36): vältimatu kaasnev element Pb: *-märgi lisand</w:t>
      </w:r>
    </w:p>
    <w:p w14:paraId="0C54EAC6" w14:textId="77777777" w:rsidR="00D21EA2" w:rsidRPr="003A3CEF" w:rsidRDefault="00952699">
      <w:pPr>
        <w:pStyle w:val="ListParagraph"/>
        <w:numPr>
          <w:ilvl w:val="0"/>
          <w:numId w:val="3"/>
        </w:numPr>
        <w:tabs>
          <w:tab w:val="left" w:pos="635"/>
        </w:tabs>
        <w:spacing w:line="249" w:lineRule="auto"/>
        <w:ind w:right="106"/>
        <w:rPr>
          <w:sz w:val="18"/>
        </w:rPr>
      </w:pPr>
      <w:r>
        <w:rPr>
          <w:sz w:val="18"/>
        </w:rPr>
        <w:t>2.1.3.7 CW509L-DW (CuZn40) Parim sulami Cu proportsioon:  Alampiiri muutmine 59,5 %-lt (m/m) 59,0 %-le (m/m)</w:t>
      </w:r>
    </w:p>
    <w:p w14:paraId="30BF5C16" w14:textId="77777777" w:rsidR="00D21EA2" w:rsidRPr="003A3CEF" w:rsidRDefault="00952699">
      <w:pPr>
        <w:pStyle w:val="ListParagraph"/>
        <w:numPr>
          <w:ilvl w:val="0"/>
          <w:numId w:val="3"/>
        </w:numPr>
        <w:tabs>
          <w:tab w:val="left" w:pos="635"/>
        </w:tabs>
        <w:spacing w:before="74"/>
        <w:ind w:hanging="170"/>
        <w:rPr>
          <w:sz w:val="18"/>
        </w:rPr>
      </w:pPr>
      <w:r>
        <w:rPr>
          <w:sz w:val="18"/>
        </w:rPr>
        <w:t>2.2.3.1 CuZn42Al: Standardnim</w:t>
      </w:r>
      <w:r>
        <w:rPr>
          <w:sz w:val="18"/>
        </w:rPr>
        <w:t>etuse „CC773S“ lisand</w:t>
      </w:r>
    </w:p>
    <w:p w14:paraId="383C8DA3" w14:textId="3A3B23C3" w:rsidR="00D21EA2" w:rsidRPr="003A3CEF" w:rsidRDefault="00952699">
      <w:pPr>
        <w:pStyle w:val="ListParagraph"/>
        <w:numPr>
          <w:ilvl w:val="0"/>
          <w:numId w:val="3"/>
        </w:numPr>
        <w:tabs>
          <w:tab w:val="left" w:pos="635"/>
        </w:tabs>
        <w:spacing w:before="83" w:line="249" w:lineRule="auto"/>
        <w:ind w:right="106"/>
        <w:rPr>
          <w:sz w:val="18"/>
        </w:rPr>
      </w:pPr>
      <w:r>
        <w:rPr>
          <w:sz w:val="18"/>
        </w:rPr>
        <w:t xml:space="preserve">2.5.3.1 CW511L (CuZn38As) *-märgi selgitava märkuse lisand:  </w:t>
      </w:r>
      <w:r>
        <w:rPr>
          <w:sz w:val="18"/>
        </w:rPr>
        <w:t>„* koostise täiendavad piirangud (vt allpool) võrreldes Euroopa standardkoostisega CW511L“, nimetuse CW511L *-märgi lisand ja standardnimetusele lisatud lisand „-DW“</w:t>
      </w:r>
    </w:p>
    <w:p w14:paraId="0612714C" w14:textId="77777777" w:rsidR="00D21EA2" w:rsidRPr="003A3CEF" w:rsidRDefault="00952699">
      <w:pPr>
        <w:pStyle w:val="ListParagraph"/>
        <w:numPr>
          <w:ilvl w:val="0"/>
          <w:numId w:val="3"/>
        </w:numPr>
        <w:tabs>
          <w:tab w:val="left" w:pos="635"/>
        </w:tabs>
        <w:spacing w:before="75"/>
        <w:ind w:hanging="170"/>
        <w:rPr>
          <w:sz w:val="18"/>
        </w:rPr>
      </w:pPr>
      <w:r>
        <w:rPr>
          <w:sz w:val="18"/>
        </w:rPr>
        <w:t>2.7.3.1 CC771S: Keemilise nimetuse „CuZn36AlAsSb-C“ lisand „-C“</w:t>
      </w:r>
    </w:p>
    <w:p w14:paraId="0C91243D" w14:textId="09D7D5E5" w:rsidR="00D21EA2" w:rsidRPr="003A3CEF" w:rsidRDefault="00952699">
      <w:pPr>
        <w:pStyle w:val="ListParagraph"/>
        <w:numPr>
          <w:ilvl w:val="0"/>
          <w:numId w:val="3"/>
        </w:numPr>
        <w:tabs>
          <w:tab w:val="left" w:pos="635"/>
        </w:tabs>
        <w:spacing w:line="249" w:lineRule="auto"/>
        <w:ind w:right="106"/>
        <w:rPr>
          <w:sz w:val="18"/>
        </w:rPr>
      </w:pPr>
      <w:r>
        <w:rPr>
          <w:sz w:val="18"/>
        </w:rPr>
        <w:t>2.9.3.1 (uus numeratsioon!</w:t>
      </w:r>
      <w:r>
        <w:rPr>
          <w:sz w:val="18"/>
        </w:rPr>
        <w:t>) CW617N (CuZn40Pb2)/CW612N (CuZn39Pb2) ja 2.9.3.2 CW614N (CuZn39Pb3)/CW603N (CuZn36Pb3): Standardnimetustele ja vältimatule lisaelemendile Si lisatud „-DW“ lisand: *-märgi lisand</w:t>
      </w:r>
    </w:p>
    <w:p w14:paraId="3727F168" w14:textId="383574CE" w:rsidR="00D21EA2" w:rsidRPr="003A3CEF" w:rsidRDefault="00952699">
      <w:pPr>
        <w:pStyle w:val="ListParagraph"/>
        <w:numPr>
          <w:ilvl w:val="0"/>
          <w:numId w:val="3"/>
        </w:numPr>
        <w:tabs>
          <w:tab w:val="left" w:pos="635"/>
        </w:tabs>
        <w:spacing w:before="75" w:line="249" w:lineRule="auto"/>
        <w:ind w:right="106"/>
        <w:rPr>
          <w:sz w:val="18"/>
        </w:rPr>
      </w:pPr>
      <w:r>
        <w:rPr>
          <w:sz w:val="18"/>
        </w:rPr>
        <w:t xml:space="preserve">2.11.3.2 (uus numeratsioon!) CW626N ja 2.11.3.3 CW626N: Standardnimetustele </w:t>
      </w:r>
      <w:r>
        <w:rPr>
          <w:sz w:val="18"/>
        </w:rPr>
        <w:t>lisatud lisa „-DW“ lisand</w:t>
      </w:r>
    </w:p>
    <w:p w14:paraId="1264F3EF" w14:textId="77777777" w:rsidR="00D21EA2" w:rsidRPr="003A3CEF" w:rsidRDefault="00952699">
      <w:pPr>
        <w:pStyle w:val="ListParagraph"/>
        <w:numPr>
          <w:ilvl w:val="0"/>
          <w:numId w:val="3"/>
        </w:numPr>
        <w:tabs>
          <w:tab w:val="left" w:pos="635"/>
        </w:tabs>
        <w:spacing w:before="74"/>
        <w:ind w:hanging="170"/>
        <w:rPr>
          <w:sz w:val="18"/>
        </w:rPr>
      </w:pPr>
      <w:r>
        <w:rPr>
          <w:sz w:val="18"/>
        </w:rPr>
        <w:t>2.12.3.1 (uus numeratsioon!) CC772S: „-C“ lisand keemilises nimetuses: „CuZn36Pb1.5AsSbAl-C“.</w:t>
      </w:r>
    </w:p>
    <w:p w14:paraId="73594D65" w14:textId="67193422" w:rsidR="00D21EA2" w:rsidRPr="003A3CEF" w:rsidRDefault="00952699" w:rsidP="00693F62">
      <w:pPr>
        <w:pStyle w:val="ListParagraph"/>
        <w:numPr>
          <w:ilvl w:val="0"/>
          <w:numId w:val="3"/>
        </w:numPr>
        <w:tabs>
          <w:tab w:val="left" w:pos="635"/>
        </w:tabs>
        <w:spacing w:before="8"/>
        <w:ind w:hanging="170"/>
      </w:pPr>
      <w:r>
        <w:rPr>
          <w:sz w:val="18"/>
        </w:rPr>
        <w:t>2.13.3.1 (uus numeratsioon!) CW725R (CuZn33Pb1AlSiAs) Legeerimiskomponent As:  *-tähise ja standardnimetusele lisatud tähise „-DW“ lisam</w:t>
      </w:r>
      <w:r>
        <w:rPr>
          <w:sz w:val="18"/>
        </w:rPr>
        <w:t>ine</w:t>
      </w:r>
    </w:p>
    <w:p w14:paraId="10E8EEB5" w14:textId="64942B27" w:rsidR="00D21EA2" w:rsidRPr="00693F62" w:rsidRDefault="00952699" w:rsidP="00693F62">
      <w:pPr>
        <w:pStyle w:val="ListParagraph"/>
        <w:numPr>
          <w:ilvl w:val="0"/>
          <w:numId w:val="3"/>
        </w:numPr>
        <w:tabs>
          <w:tab w:val="left" w:pos="635"/>
        </w:tabs>
        <w:spacing w:before="10"/>
        <w:ind w:hanging="170"/>
        <w:rPr>
          <w:sz w:val="18"/>
          <w:szCs w:val="18"/>
        </w:rPr>
      </w:pPr>
      <w:r>
        <w:rPr>
          <w:sz w:val="18"/>
        </w:rPr>
        <w:t>2.14.3.1 (uus numeratsioon!) CC499K* (CuSn5Zn5Pb2-C): Sulamikomponendid Pb ja Ni: *-märgi kustutamine</w:t>
      </w:r>
    </w:p>
    <w:p w14:paraId="531A470E" w14:textId="77777777" w:rsidR="00D21EA2" w:rsidRPr="003A3CEF" w:rsidRDefault="00952699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jc w:val="left"/>
        <w:rPr>
          <w:sz w:val="18"/>
        </w:rPr>
      </w:pPr>
      <w:r>
        <w:rPr>
          <w:sz w:val="18"/>
        </w:rPr>
        <w:t>2.16.3.1 (uus numeratsioon!) CW724R: Standardnimetusele lisatud lisa „-DW“ lisand</w:t>
      </w:r>
    </w:p>
    <w:p w14:paraId="3224D1DB" w14:textId="77777777" w:rsidR="00D21EA2" w:rsidRPr="003A3CEF" w:rsidRDefault="00952699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jc w:val="left"/>
        <w:rPr>
          <w:sz w:val="18"/>
        </w:rPr>
      </w:pPr>
      <w:r>
        <w:rPr>
          <w:sz w:val="18"/>
        </w:rPr>
        <w:t>2.16.3.2 (uus numeratsioon!) CC768S: Keemilisse nimetusse „CuZn21Si3</w:t>
      </w:r>
      <w:r>
        <w:rPr>
          <w:sz w:val="18"/>
        </w:rPr>
        <w:t>P-C“ „-C“ lisamine.</w:t>
      </w:r>
    </w:p>
    <w:p w14:paraId="3EE2ABDF" w14:textId="3FAF457D" w:rsidR="00D21EA2" w:rsidRPr="003A3CEF" w:rsidRDefault="00952699" w:rsidP="001D7495">
      <w:pPr>
        <w:pStyle w:val="ListParagraph"/>
        <w:numPr>
          <w:ilvl w:val="0"/>
          <w:numId w:val="3"/>
        </w:numPr>
        <w:tabs>
          <w:tab w:val="left" w:pos="635"/>
        </w:tabs>
        <w:spacing w:before="3" w:line="249" w:lineRule="auto"/>
        <w:ind w:right="105"/>
      </w:pPr>
      <w:r>
        <w:rPr>
          <w:sz w:val="18"/>
        </w:rPr>
        <w:t>2.19.3.1 (uus numeratsioon!): CW453K (CuSn8) *-märgi selgitava märkuse lisand:  „* täiendavad koostise piirangud (vt allpool) võrreldes Euroopa standardkoostisega CW453K.“, tähise CW453K *-märgi lisand ja sulamikomponent P: *-märgi lisa</w:t>
      </w:r>
      <w:r>
        <w:rPr>
          <w:sz w:val="18"/>
        </w:rPr>
        <w:t>nd</w:t>
      </w:r>
    </w:p>
    <w:p w14:paraId="18E86F2B" w14:textId="77777777" w:rsidR="00D21EA2" w:rsidRPr="003A3CEF" w:rsidRDefault="00952699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jc w:val="left"/>
        <w:rPr>
          <w:sz w:val="18"/>
        </w:rPr>
      </w:pPr>
      <w:r>
        <w:rPr>
          <w:sz w:val="18"/>
        </w:rPr>
        <w:t>2.20.3.1 (uus numeratsioon!) CuSn10-C: Sulamikomponendid Pb ja P: *-märgi lisand</w:t>
      </w:r>
    </w:p>
    <w:p w14:paraId="27FD8057" w14:textId="77777777" w:rsidR="00D21EA2" w:rsidRPr="003A3CEF" w:rsidRDefault="00952699">
      <w:pPr>
        <w:pStyle w:val="ListParagraph"/>
        <w:numPr>
          <w:ilvl w:val="0"/>
          <w:numId w:val="4"/>
        </w:numPr>
        <w:tabs>
          <w:tab w:val="left" w:pos="435"/>
        </w:tabs>
        <w:spacing w:line="249" w:lineRule="auto"/>
        <w:ind w:right="106" w:hanging="319"/>
        <w:jc w:val="both"/>
        <w:rPr>
          <w:sz w:val="18"/>
        </w:rPr>
      </w:pPr>
      <w:r>
        <w:rPr>
          <w:sz w:val="18"/>
        </w:rPr>
        <w:t>Lisasse (Joogivee hügieeniks sobivate metallmaterjalide positiivne loetelu) lisatakse punkti 2 kategooria 2.8 „Vask-tsink-tina-fosforisulamid”, sealhulgas materjal „CW727R-DW (CuZn35Sn1P)”.</w:t>
      </w:r>
    </w:p>
    <w:p w14:paraId="43315A87" w14:textId="77777777" w:rsidR="00D21EA2" w:rsidRPr="003A3CEF" w:rsidRDefault="00952699">
      <w:pPr>
        <w:pStyle w:val="ListParagraph"/>
        <w:numPr>
          <w:ilvl w:val="1"/>
          <w:numId w:val="2"/>
        </w:numPr>
        <w:tabs>
          <w:tab w:val="left" w:pos="871"/>
        </w:tabs>
        <w:spacing w:before="74"/>
        <w:ind w:left="871" w:hanging="436"/>
        <w:rPr>
          <w:sz w:val="18"/>
        </w:rPr>
      </w:pPr>
      <w:r>
        <w:rPr>
          <w:sz w:val="18"/>
        </w:rPr>
        <w:t>Vase-tsingi-tina-fosfori sulamid</w:t>
      </w:r>
    </w:p>
    <w:p w14:paraId="5E4220D1" w14:textId="77777777" w:rsidR="001D7495" w:rsidRPr="001D7495" w:rsidRDefault="00952699" w:rsidP="001D7495">
      <w:pPr>
        <w:pStyle w:val="ListParagraph"/>
        <w:numPr>
          <w:ilvl w:val="2"/>
          <w:numId w:val="2"/>
        </w:numPr>
        <w:tabs>
          <w:tab w:val="left" w:pos="1025"/>
        </w:tabs>
        <w:spacing w:before="83" w:line="336" w:lineRule="auto"/>
        <w:ind w:right="79" w:firstLine="0"/>
        <w:rPr>
          <w:sz w:val="18"/>
        </w:rPr>
      </w:pPr>
      <w:r>
        <w:rPr>
          <w:sz w:val="18"/>
        </w:rPr>
        <w:t>Sulamikomponendid</w:t>
      </w:r>
    </w:p>
    <w:p w14:paraId="576ACD79" w14:textId="04983551" w:rsidR="00D21EA2" w:rsidRPr="003A3CEF" w:rsidRDefault="00952699" w:rsidP="001D7495">
      <w:pPr>
        <w:pStyle w:val="ListParagraph"/>
        <w:tabs>
          <w:tab w:val="left" w:pos="1025"/>
        </w:tabs>
        <w:spacing w:before="0" w:line="336" w:lineRule="auto"/>
        <w:ind w:left="437" w:right="79" w:firstLine="0"/>
        <w:rPr>
          <w:sz w:val="18"/>
        </w:rPr>
      </w:pPr>
      <w:r>
        <w:rPr>
          <w:sz w:val="18"/>
        </w:rPr>
        <w:t>Sulamikomponend</w:t>
      </w:r>
      <w:r>
        <w:rPr>
          <w:sz w:val="18"/>
        </w:rPr>
        <w:t>id (massiprotsent):</w:t>
      </w: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621"/>
        <w:gridCol w:w="1621"/>
        <w:gridCol w:w="1627"/>
      </w:tblGrid>
      <w:tr w:rsidR="00D21EA2" w:rsidRPr="003A3CEF" w14:paraId="28072301" w14:textId="77777777">
        <w:trPr>
          <w:trHeight w:val="216"/>
        </w:trPr>
        <w:tc>
          <w:tcPr>
            <w:tcW w:w="1615" w:type="dxa"/>
            <w:tcBorders>
              <w:left w:val="nil"/>
            </w:tcBorders>
          </w:tcPr>
          <w:p w14:paraId="37599265" w14:textId="77777777" w:rsidR="00D21EA2" w:rsidRPr="003A3CEF" w:rsidRDefault="00952699">
            <w:pPr>
              <w:pStyle w:val="TableParagraph"/>
              <w:spacing w:before="0" w:line="181" w:lineRule="exact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1621" w:type="dxa"/>
          </w:tcPr>
          <w:p w14:paraId="0251F4B4" w14:textId="77777777" w:rsidR="00D21EA2" w:rsidRPr="003A3CEF" w:rsidRDefault="00952699">
            <w:pPr>
              <w:pStyle w:val="TableParagraph"/>
              <w:spacing w:before="0" w:line="181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Zn</w:t>
            </w:r>
          </w:p>
        </w:tc>
        <w:tc>
          <w:tcPr>
            <w:tcW w:w="1621" w:type="dxa"/>
          </w:tcPr>
          <w:p w14:paraId="1D253FDC" w14:textId="77777777" w:rsidR="00D21EA2" w:rsidRPr="003A3CEF" w:rsidRDefault="00952699">
            <w:pPr>
              <w:pStyle w:val="TableParagraph"/>
              <w:spacing w:before="0" w:line="181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Sn</w:t>
            </w:r>
          </w:p>
        </w:tc>
        <w:tc>
          <w:tcPr>
            <w:tcW w:w="1627" w:type="dxa"/>
            <w:tcBorders>
              <w:right w:val="nil"/>
            </w:tcBorders>
          </w:tcPr>
          <w:p w14:paraId="390FA3AE" w14:textId="77777777" w:rsidR="00D21EA2" w:rsidRPr="003A3CEF" w:rsidRDefault="00952699">
            <w:pPr>
              <w:pStyle w:val="TableParagraph"/>
              <w:spacing w:before="0" w:line="181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</w:tr>
      <w:tr w:rsidR="00D21EA2" w:rsidRPr="003A3CEF" w14:paraId="02B0385B" w14:textId="77777777">
        <w:trPr>
          <w:trHeight w:val="329"/>
        </w:trPr>
        <w:tc>
          <w:tcPr>
            <w:tcW w:w="1615" w:type="dxa"/>
            <w:tcBorders>
              <w:left w:val="nil"/>
            </w:tcBorders>
          </w:tcPr>
          <w:p w14:paraId="34D69A35" w14:textId="77777777" w:rsidR="00D21EA2" w:rsidRPr="003A3CEF" w:rsidRDefault="009526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≥ 63,0%</w:t>
            </w:r>
          </w:p>
        </w:tc>
        <w:tc>
          <w:tcPr>
            <w:tcW w:w="1621" w:type="dxa"/>
          </w:tcPr>
          <w:p w14:paraId="27E6A99D" w14:textId="77777777" w:rsidR="00D21EA2" w:rsidRPr="003A3CEF" w:rsidRDefault="00952699">
            <w:pPr>
              <w:pStyle w:val="TableParagraph"/>
              <w:spacing w:before="69"/>
              <w:ind w:left="37"/>
              <w:rPr>
                <w:sz w:val="18"/>
              </w:rPr>
            </w:pPr>
            <w:r>
              <w:rPr>
                <w:sz w:val="18"/>
              </w:rPr>
              <w:t>Jääk</w:t>
            </w:r>
          </w:p>
        </w:tc>
        <w:tc>
          <w:tcPr>
            <w:tcW w:w="1621" w:type="dxa"/>
          </w:tcPr>
          <w:p w14:paraId="5705B504" w14:textId="77777777" w:rsidR="00D21EA2" w:rsidRPr="003A3CEF" w:rsidRDefault="00952699">
            <w:pPr>
              <w:pStyle w:val="TableParagraph"/>
              <w:spacing w:before="69"/>
              <w:ind w:left="36"/>
              <w:rPr>
                <w:sz w:val="18"/>
              </w:rPr>
            </w:pPr>
            <w:r>
              <w:rPr>
                <w:sz w:val="18"/>
              </w:rPr>
              <w:t>0,5% – 1,0%</w:t>
            </w:r>
          </w:p>
        </w:tc>
        <w:tc>
          <w:tcPr>
            <w:tcW w:w="1627" w:type="dxa"/>
            <w:tcBorders>
              <w:right w:val="nil"/>
            </w:tcBorders>
          </w:tcPr>
          <w:p w14:paraId="10FE3126" w14:textId="77777777" w:rsidR="00D21EA2" w:rsidRPr="003A3CEF" w:rsidRDefault="00952699">
            <w:pPr>
              <w:pStyle w:val="TableParagraph"/>
              <w:spacing w:before="69"/>
              <w:ind w:left="36"/>
              <w:rPr>
                <w:sz w:val="18"/>
              </w:rPr>
            </w:pPr>
            <w:r>
              <w:rPr>
                <w:sz w:val="18"/>
              </w:rPr>
              <w:t>0,05% – 0,2%</w:t>
            </w:r>
          </w:p>
        </w:tc>
      </w:tr>
    </w:tbl>
    <w:p w14:paraId="3D6E9B5A" w14:textId="77777777" w:rsidR="00D21EA2" w:rsidRPr="003A3CEF" w:rsidRDefault="00952699">
      <w:pPr>
        <w:pStyle w:val="BodyText"/>
        <w:spacing w:before="115"/>
      </w:pPr>
      <w:r>
        <w:t>Vältimatud kaaselemendid (massiprotsent):</w:t>
      </w:r>
    </w:p>
    <w:p w14:paraId="574AB08D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7"/>
        <w:gridCol w:w="1637"/>
        <w:gridCol w:w="1637"/>
        <w:gridCol w:w="1643"/>
      </w:tblGrid>
      <w:tr w:rsidR="00D21EA2" w:rsidRPr="003A3CEF" w14:paraId="60E2E989" w14:textId="77777777">
        <w:trPr>
          <w:trHeight w:val="216"/>
        </w:trPr>
        <w:tc>
          <w:tcPr>
            <w:tcW w:w="1631" w:type="dxa"/>
            <w:tcBorders>
              <w:left w:val="nil"/>
            </w:tcBorders>
          </w:tcPr>
          <w:p w14:paraId="6763EE6E" w14:textId="77777777" w:rsidR="00D21EA2" w:rsidRPr="003A3CEF" w:rsidRDefault="00952699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1637" w:type="dxa"/>
          </w:tcPr>
          <w:p w14:paraId="7FBEF0A9" w14:textId="77777777" w:rsidR="00D21EA2" w:rsidRPr="003A3CEF" w:rsidRDefault="00952699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1637" w:type="dxa"/>
          </w:tcPr>
          <w:p w14:paraId="5B238984" w14:textId="77777777" w:rsidR="00D21EA2" w:rsidRPr="003A3CEF" w:rsidRDefault="00952699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1637" w:type="dxa"/>
          </w:tcPr>
          <w:p w14:paraId="7D5F6C2F" w14:textId="77777777" w:rsidR="00D21EA2" w:rsidRPr="003A3CEF" w:rsidRDefault="00952699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Pb</w:t>
            </w:r>
          </w:p>
        </w:tc>
        <w:tc>
          <w:tcPr>
            <w:tcW w:w="1643" w:type="dxa"/>
            <w:tcBorders>
              <w:right w:val="nil"/>
            </w:tcBorders>
          </w:tcPr>
          <w:p w14:paraId="50C6421B" w14:textId="77777777" w:rsidR="00D21EA2" w:rsidRPr="003A3CEF" w:rsidRDefault="00952699">
            <w:pPr>
              <w:pStyle w:val="TableParagraph"/>
              <w:ind w:left="69" w:right="3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D21EA2" w:rsidRPr="003A3CEF" w14:paraId="6AEF240C" w14:textId="77777777">
        <w:trPr>
          <w:trHeight w:val="329"/>
        </w:trPr>
        <w:tc>
          <w:tcPr>
            <w:tcW w:w="1631" w:type="dxa"/>
            <w:tcBorders>
              <w:left w:val="nil"/>
            </w:tcBorders>
          </w:tcPr>
          <w:p w14:paraId="7C2623E7" w14:textId="77777777" w:rsidR="00D21EA2" w:rsidRPr="003A3CEF" w:rsidRDefault="00952699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≤ 0,1%</w:t>
            </w:r>
          </w:p>
        </w:tc>
        <w:tc>
          <w:tcPr>
            <w:tcW w:w="1637" w:type="dxa"/>
          </w:tcPr>
          <w:p w14:paraId="5E3C4DC7" w14:textId="77777777" w:rsidR="00D21EA2" w:rsidRPr="003A3CEF" w:rsidRDefault="00952699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≤ 0,1%</w:t>
            </w:r>
          </w:p>
        </w:tc>
        <w:tc>
          <w:tcPr>
            <w:tcW w:w="1637" w:type="dxa"/>
          </w:tcPr>
          <w:p w14:paraId="4A80A4AF" w14:textId="77777777" w:rsidR="00D21EA2" w:rsidRPr="003A3CEF" w:rsidRDefault="00952699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≤ 0,1%</w:t>
            </w:r>
          </w:p>
        </w:tc>
        <w:tc>
          <w:tcPr>
            <w:tcW w:w="1637" w:type="dxa"/>
          </w:tcPr>
          <w:p w14:paraId="443A9BCD" w14:textId="77777777" w:rsidR="00D21EA2" w:rsidRPr="003A3CEF" w:rsidRDefault="00952699">
            <w:pPr>
              <w:pStyle w:val="TableParagraph"/>
              <w:spacing w:before="80"/>
              <w:ind w:left="36"/>
              <w:rPr>
                <w:sz w:val="18"/>
              </w:rPr>
            </w:pPr>
            <w:r>
              <w:rPr>
                <w:sz w:val="18"/>
              </w:rPr>
              <w:t>≤ 0,1%</w:t>
            </w:r>
          </w:p>
        </w:tc>
        <w:tc>
          <w:tcPr>
            <w:tcW w:w="1643" w:type="dxa"/>
            <w:tcBorders>
              <w:right w:val="nil"/>
            </w:tcBorders>
          </w:tcPr>
          <w:p w14:paraId="1777D33A" w14:textId="77777777" w:rsidR="00D21EA2" w:rsidRPr="003A3CEF" w:rsidRDefault="00952699">
            <w:pPr>
              <w:pStyle w:val="TableParagraph"/>
              <w:spacing w:before="80"/>
              <w:ind w:left="35"/>
              <w:rPr>
                <w:sz w:val="18"/>
              </w:rPr>
            </w:pPr>
            <w:r>
              <w:rPr>
                <w:sz w:val="18"/>
              </w:rPr>
              <w:t>≤ 0,10%</w:t>
            </w:r>
          </w:p>
        </w:tc>
      </w:tr>
    </w:tbl>
    <w:p w14:paraId="46CEFC27" w14:textId="77777777" w:rsidR="001D7495" w:rsidRPr="001D7495" w:rsidRDefault="00952699">
      <w:pPr>
        <w:pStyle w:val="ListParagraph"/>
        <w:numPr>
          <w:ilvl w:val="2"/>
          <w:numId w:val="2"/>
        </w:numPr>
        <w:tabs>
          <w:tab w:val="left" w:pos="1025"/>
        </w:tabs>
        <w:spacing w:before="126" w:line="336" w:lineRule="auto"/>
        <w:ind w:right="6586" w:firstLine="0"/>
        <w:rPr>
          <w:sz w:val="18"/>
        </w:rPr>
      </w:pPr>
      <w:r>
        <w:rPr>
          <w:sz w:val="18"/>
        </w:rPr>
        <w:t>Võrdlusmaterjal</w:t>
      </w:r>
    </w:p>
    <w:p w14:paraId="7346C13D" w14:textId="7456F3AC" w:rsidR="00D21EA2" w:rsidRPr="003A3CEF" w:rsidRDefault="00952699" w:rsidP="001D7495">
      <w:pPr>
        <w:pStyle w:val="ListParagraph"/>
        <w:tabs>
          <w:tab w:val="left" w:pos="1025"/>
        </w:tabs>
        <w:spacing w:before="0" w:line="336" w:lineRule="auto"/>
        <w:ind w:left="437" w:right="79" w:firstLine="0"/>
        <w:rPr>
          <w:sz w:val="18"/>
        </w:rPr>
      </w:pPr>
      <w:r>
        <w:rPr>
          <w:sz w:val="18"/>
        </w:rPr>
        <w:t>Sulamikomponendid (massiprotsent):</w:t>
      </w: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621"/>
        <w:gridCol w:w="1621"/>
        <w:gridCol w:w="1627"/>
      </w:tblGrid>
      <w:tr w:rsidR="00D21EA2" w:rsidRPr="003A3CEF" w14:paraId="1600CCC3" w14:textId="77777777">
        <w:trPr>
          <w:trHeight w:val="216"/>
        </w:trPr>
        <w:tc>
          <w:tcPr>
            <w:tcW w:w="1615" w:type="dxa"/>
            <w:tcBorders>
              <w:left w:val="nil"/>
            </w:tcBorders>
          </w:tcPr>
          <w:p w14:paraId="7C703C1D" w14:textId="77777777" w:rsidR="00D21EA2" w:rsidRPr="003A3CEF" w:rsidRDefault="00952699">
            <w:pPr>
              <w:pStyle w:val="TableParagraph"/>
              <w:spacing w:before="0" w:line="182" w:lineRule="exact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1621" w:type="dxa"/>
          </w:tcPr>
          <w:p w14:paraId="78BF2795" w14:textId="77777777" w:rsidR="00D21EA2" w:rsidRPr="003A3CEF" w:rsidRDefault="00952699">
            <w:pPr>
              <w:pStyle w:val="TableParagraph"/>
              <w:spacing w:before="0" w:line="182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Zn</w:t>
            </w:r>
          </w:p>
        </w:tc>
        <w:tc>
          <w:tcPr>
            <w:tcW w:w="1621" w:type="dxa"/>
          </w:tcPr>
          <w:p w14:paraId="585E737E" w14:textId="77777777" w:rsidR="00D21EA2" w:rsidRPr="003A3CEF" w:rsidRDefault="00952699">
            <w:pPr>
              <w:pStyle w:val="TableParagraph"/>
              <w:spacing w:before="0" w:line="182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Sn</w:t>
            </w:r>
          </w:p>
        </w:tc>
        <w:tc>
          <w:tcPr>
            <w:tcW w:w="1627" w:type="dxa"/>
            <w:tcBorders>
              <w:right w:val="nil"/>
            </w:tcBorders>
          </w:tcPr>
          <w:p w14:paraId="3A81860F" w14:textId="77777777" w:rsidR="00D21EA2" w:rsidRPr="003A3CEF" w:rsidRDefault="00952699">
            <w:pPr>
              <w:pStyle w:val="TableParagraph"/>
              <w:spacing w:before="0" w:line="182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</w:tr>
      <w:tr w:rsidR="00D21EA2" w:rsidRPr="003A3CEF" w14:paraId="31E3E0AF" w14:textId="77777777">
        <w:trPr>
          <w:trHeight w:val="329"/>
        </w:trPr>
        <w:tc>
          <w:tcPr>
            <w:tcW w:w="1615" w:type="dxa"/>
            <w:tcBorders>
              <w:left w:val="nil"/>
            </w:tcBorders>
          </w:tcPr>
          <w:p w14:paraId="37BC0A1D" w14:textId="77777777" w:rsidR="00D21EA2" w:rsidRPr="003A3CEF" w:rsidRDefault="00952699">
            <w:pPr>
              <w:pStyle w:val="TableParagraph"/>
              <w:spacing w:before="70"/>
              <w:rPr>
                <w:sz w:val="18"/>
              </w:rPr>
            </w:pPr>
            <w:r>
              <w:rPr>
                <w:sz w:val="18"/>
              </w:rPr>
              <w:t>63,5% – 65,0%</w:t>
            </w:r>
          </w:p>
        </w:tc>
        <w:tc>
          <w:tcPr>
            <w:tcW w:w="1621" w:type="dxa"/>
          </w:tcPr>
          <w:p w14:paraId="43DCD9FE" w14:textId="77777777" w:rsidR="00D21EA2" w:rsidRPr="003A3CEF" w:rsidRDefault="00952699">
            <w:pPr>
              <w:pStyle w:val="TableParagraph"/>
              <w:spacing w:before="70"/>
              <w:ind w:left="37"/>
              <w:rPr>
                <w:sz w:val="18"/>
              </w:rPr>
            </w:pPr>
            <w:r>
              <w:rPr>
                <w:sz w:val="18"/>
              </w:rPr>
              <w:t>Jääk</w:t>
            </w:r>
          </w:p>
        </w:tc>
        <w:tc>
          <w:tcPr>
            <w:tcW w:w="1621" w:type="dxa"/>
          </w:tcPr>
          <w:p w14:paraId="0AA3CEDA" w14:textId="77777777" w:rsidR="00D21EA2" w:rsidRPr="003A3CEF" w:rsidRDefault="00952699">
            <w:pPr>
              <w:pStyle w:val="TableParagraph"/>
              <w:spacing w:before="70"/>
              <w:ind w:left="36"/>
              <w:rPr>
                <w:sz w:val="18"/>
              </w:rPr>
            </w:pPr>
            <w:r>
              <w:rPr>
                <w:sz w:val="18"/>
              </w:rPr>
              <w:t>0,5% – 1,0%</w:t>
            </w:r>
          </w:p>
        </w:tc>
        <w:tc>
          <w:tcPr>
            <w:tcW w:w="1627" w:type="dxa"/>
            <w:tcBorders>
              <w:right w:val="nil"/>
            </w:tcBorders>
          </w:tcPr>
          <w:p w14:paraId="4943320C" w14:textId="77777777" w:rsidR="00D21EA2" w:rsidRPr="003A3CEF" w:rsidRDefault="00952699">
            <w:pPr>
              <w:pStyle w:val="TableParagraph"/>
              <w:spacing w:before="70"/>
              <w:ind w:left="36"/>
              <w:rPr>
                <w:sz w:val="18"/>
              </w:rPr>
            </w:pPr>
            <w:r>
              <w:rPr>
                <w:sz w:val="18"/>
              </w:rPr>
              <w:t>0,05% – 0,10%</w:t>
            </w:r>
          </w:p>
        </w:tc>
      </w:tr>
    </w:tbl>
    <w:p w14:paraId="0E2F69C0" w14:textId="77777777" w:rsidR="00D21EA2" w:rsidRPr="003A3CEF" w:rsidRDefault="00952699">
      <w:pPr>
        <w:pStyle w:val="BodyText"/>
        <w:spacing w:before="115"/>
      </w:pPr>
      <w:r>
        <w:t>Vältimatud kaaselemendid (massiprotsent):</w:t>
      </w:r>
    </w:p>
    <w:p w14:paraId="4BF8ABDD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7"/>
        <w:gridCol w:w="1637"/>
        <w:gridCol w:w="1637"/>
        <w:gridCol w:w="1643"/>
      </w:tblGrid>
      <w:tr w:rsidR="00D21EA2" w:rsidRPr="003A3CEF" w14:paraId="048C3806" w14:textId="77777777">
        <w:trPr>
          <w:trHeight w:val="216"/>
        </w:trPr>
        <w:tc>
          <w:tcPr>
            <w:tcW w:w="1631" w:type="dxa"/>
            <w:tcBorders>
              <w:left w:val="nil"/>
            </w:tcBorders>
          </w:tcPr>
          <w:p w14:paraId="1DE61135" w14:textId="77777777" w:rsidR="00D21EA2" w:rsidRPr="003A3CEF" w:rsidRDefault="00952699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1637" w:type="dxa"/>
          </w:tcPr>
          <w:p w14:paraId="1E2EE284" w14:textId="77777777" w:rsidR="00D21EA2" w:rsidRPr="003A3CEF" w:rsidRDefault="00952699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1637" w:type="dxa"/>
          </w:tcPr>
          <w:p w14:paraId="07B4A7A4" w14:textId="77777777" w:rsidR="00D21EA2" w:rsidRPr="003A3CEF" w:rsidRDefault="00952699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1637" w:type="dxa"/>
          </w:tcPr>
          <w:p w14:paraId="388FEF35" w14:textId="77777777" w:rsidR="00D21EA2" w:rsidRPr="003A3CEF" w:rsidRDefault="00952699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Pb</w:t>
            </w:r>
          </w:p>
        </w:tc>
        <w:tc>
          <w:tcPr>
            <w:tcW w:w="1643" w:type="dxa"/>
            <w:tcBorders>
              <w:right w:val="nil"/>
            </w:tcBorders>
          </w:tcPr>
          <w:p w14:paraId="04D899AD" w14:textId="77777777" w:rsidR="00D21EA2" w:rsidRPr="003A3CEF" w:rsidRDefault="00952699">
            <w:pPr>
              <w:pStyle w:val="TableParagraph"/>
              <w:ind w:left="69" w:right="3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D21EA2" w:rsidRPr="003A3CEF" w14:paraId="2FE1B2EA" w14:textId="77777777">
        <w:trPr>
          <w:trHeight w:val="329"/>
        </w:trPr>
        <w:tc>
          <w:tcPr>
            <w:tcW w:w="1631" w:type="dxa"/>
            <w:tcBorders>
              <w:left w:val="nil"/>
            </w:tcBorders>
          </w:tcPr>
          <w:p w14:paraId="124DFE2C" w14:textId="77777777" w:rsidR="00D21EA2" w:rsidRPr="003A3CEF" w:rsidRDefault="00952699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≤ 0,05%</w:t>
            </w:r>
          </w:p>
        </w:tc>
        <w:tc>
          <w:tcPr>
            <w:tcW w:w="1637" w:type="dxa"/>
          </w:tcPr>
          <w:p w14:paraId="551C961B" w14:textId="77777777" w:rsidR="00D21EA2" w:rsidRPr="003A3CEF" w:rsidRDefault="00952699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≤ 0,10%</w:t>
            </w:r>
          </w:p>
        </w:tc>
        <w:tc>
          <w:tcPr>
            <w:tcW w:w="1637" w:type="dxa"/>
          </w:tcPr>
          <w:p w14:paraId="44B76585" w14:textId="77777777" w:rsidR="00D21EA2" w:rsidRPr="003A3CEF" w:rsidRDefault="00952699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0,06% – 0,10%</w:t>
            </w:r>
          </w:p>
        </w:tc>
        <w:tc>
          <w:tcPr>
            <w:tcW w:w="1637" w:type="dxa"/>
          </w:tcPr>
          <w:p w14:paraId="4ABE85BE" w14:textId="77777777" w:rsidR="00D21EA2" w:rsidRPr="003A3CEF" w:rsidRDefault="00952699">
            <w:pPr>
              <w:pStyle w:val="TableParagraph"/>
              <w:spacing w:before="80"/>
              <w:ind w:left="36"/>
              <w:rPr>
                <w:sz w:val="18"/>
              </w:rPr>
            </w:pPr>
            <w:r>
              <w:rPr>
                <w:sz w:val="18"/>
              </w:rPr>
              <w:t>0,06% – 0,10%</w:t>
            </w:r>
          </w:p>
        </w:tc>
        <w:tc>
          <w:tcPr>
            <w:tcW w:w="1643" w:type="dxa"/>
            <w:tcBorders>
              <w:right w:val="nil"/>
            </w:tcBorders>
          </w:tcPr>
          <w:p w14:paraId="0A1DAF7B" w14:textId="77777777" w:rsidR="00D21EA2" w:rsidRPr="003A3CEF" w:rsidRDefault="00952699">
            <w:pPr>
              <w:pStyle w:val="TableParagraph"/>
              <w:spacing w:before="80"/>
              <w:ind w:left="35"/>
              <w:rPr>
                <w:sz w:val="18"/>
              </w:rPr>
            </w:pPr>
            <w:r>
              <w:rPr>
                <w:sz w:val="18"/>
              </w:rPr>
              <w:t>≤ 0,10%</w:t>
            </w:r>
          </w:p>
        </w:tc>
      </w:tr>
    </w:tbl>
    <w:p w14:paraId="00997B73" w14:textId="77777777" w:rsidR="00D21EA2" w:rsidRPr="003A3CEF" w:rsidRDefault="00952699">
      <w:pPr>
        <w:pStyle w:val="BodyText"/>
        <w:spacing w:before="127" w:line="249" w:lineRule="auto"/>
      </w:pPr>
      <w:r>
        <w:t>Elemendid, mis määratakse kindlaks võrdluskatsetes vastavalt standardile DIN EN 15664–1 kontaktvees: Plii, vask, nikkel, tsink</w:t>
      </w:r>
    </w:p>
    <w:p w14:paraId="2256FA56" w14:textId="77777777" w:rsidR="001D7495" w:rsidRDefault="00952699">
      <w:pPr>
        <w:pStyle w:val="BodyText"/>
        <w:spacing w:before="74" w:line="336" w:lineRule="auto"/>
        <w:ind w:right="6536"/>
      </w:pPr>
      <w:r>
        <w:t xml:space="preserve">Kriitiline katsevesi: </w:t>
      </w:r>
    </w:p>
    <w:p w14:paraId="1B21A659" w14:textId="5A9507BE" w:rsidR="00D21EA2" w:rsidRPr="003A3CEF" w:rsidRDefault="00952699" w:rsidP="001D7495">
      <w:pPr>
        <w:pStyle w:val="BodyText"/>
        <w:spacing w:before="0" w:line="336" w:lineRule="auto"/>
        <w:ind w:left="437" w:right="6538"/>
      </w:pPr>
      <w:r>
        <w:t>Katsevesi 1 standardi DIN EN 15664-2 kohaselt</w:t>
      </w:r>
    </w:p>
    <w:p w14:paraId="5243829A" w14:textId="77777777" w:rsidR="00D21EA2" w:rsidRPr="003A3CEF" w:rsidRDefault="00952699">
      <w:pPr>
        <w:pStyle w:val="ListParagraph"/>
        <w:numPr>
          <w:ilvl w:val="2"/>
          <w:numId w:val="2"/>
        </w:numPr>
        <w:tabs>
          <w:tab w:val="left" w:pos="1025"/>
        </w:tabs>
        <w:spacing w:before="101"/>
        <w:ind w:left="1025" w:hanging="590"/>
        <w:rPr>
          <w:sz w:val="18"/>
        </w:rPr>
      </w:pPr>
      <w:r>
        <w:rPr>
          <w:sz w:val="18"/>
        </w:rPr>
        <w:t>Joogiveesüsteemides kasutamiseks sobivad materjalid</w:t>
      </w:r>
    </w:p>
    <w:p w14:paraId="02F62D09" w14:textId="77777777" w:rsidR="00D21EA2" w:rsidRPr="003A3CEF" w:rsidRDefault="00952699">
      <w:pPr>
        <w:pStyle w:val="ListParagraph"/>
        <w:numPr>
          <w:ilvl w:val="3"/>
          <w:numId w:val="2"/>
        </w:numPr>
        <w:tabs>
          <w:tab w:val="left" w:pos="1179"/>
        </w:tabs>
        <w:spacing w:before="77"/>
        <w:ind w:left="1179" w:hanging="744"/>
        <w:rPr>
          <w:sz w:val="18"/>
        </w:rPr>
      </w:pPr>
      <w:r>
        <w:rPr>
          <w:sz w:val="18"/>
        </w:rPr>
        <w:t>CW727R-D</w:t>
      </w:r>
      <w:r>
        <w:rPr>
          <w:sz w:val="18"/>
        </w:rPr>
        <w:t>W (CuZn35Sn1P)</w:t>
      </w:r>
    </w:p>
    <w:p w14:paraId="392A52A4" w14:textId="77777777" w:rsidR="00D21EA2" w:rsidRPr="003A3CEF" w:rsidRDefault="00D21EA2">
      <w:pPr>
        <w:pStyle w:val="BodyText"/>
        <w:spacing w:before="4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1E5A04ED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27B1230A" w14:textId="77777777" w:rsidR="00D21EA2" w:rsidRPr="003A3CEF" w:rsidRDefault="00952699">
            <w:pPr>
              <w:pStyle w:val="TableParagraph"/>
              <w:ind w:left="846"/>
              <w:rPr>
                <w:sz w:val="16"/>
              </w:rPr>
            </w:pPr>
            <w:r>
              <w:rPr>
                <w:sz w:val="16"/>
              </w:rPr>
              <w:t>Nimetus</w:t>
            </w:r>
          </w:p>
        </w:tc>
        <w:tc>
          <w:tcPr>
            <w:tcW w:w="2679" w:type="dxa"/>
            <w:tcBorders>
              <w:right w:val="nil"/>
            </w:tcBorders>
          </w:tcPr>
          <w:p w14:paraId="519A0FB9" w14:textId="77777777" w:rsidR="00D21EA2" w:rsidRPr="003A3CEF" w:rsidRDefault="00952699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Tooterühm</w:t>
            </w:r>
          </w:p>
        </w:tc>
      </w:tr>
      <w:tr w:rsidR="00D21EA2" w:rsidRPr="003A3CEF" w14:paraId="1D1406F2" w14:textId="77777777">
        <w:trPr>
          <w:trHeight w:val="316"/>
        </w:trPr>
        <w:tc>
          <w:tcPr>
            <w:tcW w:w="2668" w:type="dxa"/>
            <w:tcBorders>
              <w:left w:val="nil"/>
            </w:tcBorders>
          </w:tcPr>
          <w:p w14:paraId="7E7BADF8" w14:textId="77777777" w:rsidR="00D21EA2" w:rsidRPr="003A3CEF" w:rsidRDefault="0095269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lastRenderedPageBreak/>
              <w:t>CW727R-DW (CuZn35Sn1P)</w:t>
            </w:r>
          </w:p>
        </w:tc>
        <w:tc>
          <w:tcPr>
            <w:tcW w:w="2679" w:type="dxa"/>
            <w:tcBorders>
              <w:right w:val="nil"/>
            </w:tcBorders>
          </w:tcPr>
          <w:p w14:paraId="69CDF3EF" w14:textId="77777777" w:rsidR="00D21EA2" w:rsidRPr="003A3CEF" w:rsidRDefault="00952699">
            <w:pPr>
              <w:pStyle w:val="TableParagraph"/>
              <w:spacing w:before="76"/>
              <w:ind w:left="37"/>
              <w:rPr>
                <w:sz w:val="18"/>
              </w:rPr>
            </w:pPr>
            <w:r>
              <w:rPr>
                <w:sz w:val="18"/>
              </w:rPr>
              <w:t>B–D</w:t>
            </w:r>
          </w:p>
        </w:tc>
      </w:tr>
    </w:tbl>
    <w:p w14:paraId="245B33B4" w14:textId="77777777" w:rsidR="00D21EA2" w:rsidRPr="003A3CEF" w:rsidRDefault="00952699">
      <w:pPr>
        <w:pStyle w:val="BodyText"/>
        <w:spacing w:before="117"/>
      </w:pPr>
      <w:r>
        <w:t>Sulamikomponendid (massiprotsent):</w:t>
      </w:r>
    </w:p>
    <w:p w14:paraId="59DB464C" w14:textId="77777777" w:rsidR="00D21EA2" w:rsidRPr="003A3CEF" w:rsidRDefault="00D21EA2">
      <w:pPr>
        <w:pStyle w:val="BodyText"/>
        <w:spacing w:before="4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1649"/>
        <w:gridCol w:w="1649"/>
        <w:gridCol w:w="1655"/>
      </w:tblGrid>
      <w:tr w:rsidR="00D21EA2" w:rsidRPr="003A3CEF" w14:paraId="388A4C83" w14:textId="77777777">
        <w:trPr>
          <w:trHeight w:val="216"/>
        </w:trPr>
        <w:tc>
          <w:tcPr>
            <w:tcW w:w="1643" w:type="dxa"/>
            <w:tcBorders>
              <w:left w:val="nil"/>
            </w:tcBorders>
          </w:tcPr>
          <w:p w14:paraId="4C24BD81" w14:textId="77777777" w:rsidR="00D21EA2" w:rsidRPr="003A3CEF" w:rsidRDefault="00952699">
            <w:pPr>
              <w:pStyle w:val="TableParagraph"/>
              <w:ind w:left="33" w:right="69"/>
              <w:jc w:val="center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1649" w:type="dxa"/>
          </w:tcPr>
          <w:p w14:paraId="3886ED48" w14:textId="77777777" w:rsidR="00D21EA2" w:rsidRPr="003A3CEF" w:rsidRDefault="00952699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Zn</w:t>
            </w:r>
          </w:p>
        </w:tc>
        <w:tc>
          <w:tcPr>
            <w:tcW w:w="1649" w:type="dxa"/>
          </w:tcPr>
          <w:p w14:paraId="2B49C0D1" w14:textId="77777777" w:rsidR="00D21EA2" w:rsidRPr="003A3CEF" w:rsidRDefault="00952699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Sn</w:t>
            </w:r>
          </w:p>
        </w:tc>
        <w:tc>
          <w:tcPr>
            <w:tcW w:w="1655" w:type="dxa"/>
            <w:tcBorders>
              <w:right w:val="nil"/>
            </w:tcBorders>
          </w:tcPr>
          <w:p w14:paraId="4776EDB6" w14:textId="77777777" w:rsidR="00D21EA2" w:rsidRPr="003A3CEF" w:rsidRDefault="00952699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</w:tr>
      <w:tr w:rsidR="00D21EA2" w:rsidRPr="003A3CEF" w14:paraId="72F1B245" w14:textId="77777777">
        <w:trPr>
          <w:trHeight w:val="316"/>
        </w:trPr>
        <w:tc>
          <w:tcPr>
            <w:tcW w:w="1643" w:type="dxa"/>
            <w:tcBorders>
              <w:left w:val="nil"/>
            </w:tcBorders>
          </w:tcPr>
          <w:p w14:paraId="2CA61EEC" w14:textId="77777777" w:rsidR="00D21EA2" w:rsidRPr="003A3CEF" w:rsidRDefault="00952699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63,5% – 65,0%</w:t>
            </w:r>
          </w:p>
        </w:tc>
        <w:tc>
          <w:tcPr>
            <w:tcW w:w="1649" w:type="dxa"/>
          </w:tcPr>
          <w:p w14:paraId="7BFD1BB2" w14:textId="77777777" w:rsidR="00D21EA2" w:rsidRPr="003A3CEF" w:rsidRDefault="00952699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Jääk</w:t>
            </w:r>
          </w:p>
        </w:tc>
        <w:tc>
          <w:tcPr>
            <w:tcW w:w="1649" w:type="dxa"/>
          </w:tcPr>
          <w:p w14:paraId="381C854F" w14:textId="77777777" w:rsidR="00D21EA2" w:rsidRPr="003A3CEF" w:rsidRDefault="00952699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0,5 % - 1,0 %</w:t>
            </w:r>
          </w:p>
        </w:tc>
        <w:tc>
          <w:tcPr>
            <w:tcW w:w="1655" w:type="dxa"/>
            <w:tcBorders>
              <w:right w:val="nil"/>
            </w:tcBorders>
          </w:tcPr>
          <w:p w14:paraId="3932F51A" w14:textId="77777777" w:rsidR="00D21EA2" w:rsidRPr="003A3CEF" w:rsidRDefault="00952699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0,05 % - 0,15 %</w:t>
            </w:r>
          </w:p>
        </w:tc>
      </w:tr>
    </w:tbl>
    <w:p w14:paraId="3D50FA60" w14:textId="77777777" w:rsidR="00D21EA2" w:rsidRPr="003A3CEF" w:rsidRDefault="00952699">
      <w:pPr>
        <w:pStyle w:val="BodyText"/>
        <w:spacing w:before="117"/>
      </w:pPr>
      <w:r>
        <w:t>Vältimatud kaaselemendid (massiprotsent):</w:t>
      </w:r>
    </w:p>
    <w:p w14:paraId="66A211B6" w14:textId="77777777" w:rsidR="00D21EA2" w:rsidRPr="003A3CEF" w:rsidRDefault="00D21EA2">
      <w:pPr>
        <w:pStyle w:val="BodyText"/>
        <w:spacing w:before="4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7"/>
        <w:gridCol w:w="1637"/>
        <w:gridCol w:w="1637"/>
        <w:gridCol w:w="1643"/>
      </w:tblGrid>
      <w:tr w:rsidR="00D21EA2" w:rsidRPr="003A3CEF" w14:paraId="15387E81" w14:textId="77777777">
        <w:trPr>
          <w:trHeight w:val="216"/>
        </w:trPr>
        <w:tc>
          <w:tcPr>
            <w:tcW w:w="1631" w:type="dxa"/>
            <w:tcBorders>
              <w:left w:val="nil"/>
            </w:tcBorders>
          </w:tcPr>
          <w:p w14:paraId="728E4EFA" w14:textId="77777777" w:rsidR="00D21EA2" w:rsidRPr="003A3CEF" w:rsidRDefault="00952699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1637" w:type="dxa"/>
          </w:tcPr>
          <w:p w14:paraId="5878C12F" w14:textId="77777777" w:rsidR="00D21EA2" w:rsidRPr="003A3CEF" w:rsidRDefault="00952699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1637" w:type="dxa"/>
          </w:tcPr>
          <w:p w14:paraId="2B98055D" w14:textId="77777777" w:rsidR="00D21EA2" w:rsidRPr="003A3CEF" w:rsidRDefault="00952699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1637" w:type="dxa"/>
          </w:tcPr>
          <w:p w14:paraId="021279BC" w14:textId="77777777" w:rsidR="00D21EA2" w:rsidRPr="003A3CEF" w:rsidRDefault="00952699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Pb</w:t>
            </w:r>
          </w:p>
        </w:tc>
        <w:tc>
          <w:tcPr>
            <w:tcW w:w="1643" w:type="dxa"/>
            <w:tcBorders>
              <w:right w:val="nil"/>
            </w:tcBorders>
          </w:tcPr>
          <w:p w14:paraId="19D4D693" w14:textId="77777777" w:rsidR="00D21EA2" w:rsidRPr="003A3CEF" w:rsidRDefault="00952699">
            <w:pPr>
              <w:pStyle w:val="TableParagraph"/>
              <w:ind w:left="69" w:right="3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D21EA2" w:rsidRPr="003A3CEF" w14:paraId="1B292E15" w14:textId="77777777">
        <w:trPr>
          <w:trHeight w:val="316"/>
        </w:trPr>
        <w:tc>
          <w:tcPr>
            <w:tcW w:w="1631" w:type="dxa"/>
            <w:tcBorders>
              <w:left w:val="nil"/>
            </w:tcBorders>
          </w:tcPr>
          <w:p w14:paraId="3359CEB7" w14:textId="77777777" w:rsidR="00D21EA2" w:rsidRPr="003A3CEF" w:rsidRDefault="00952699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≤ 0,05%</w:t>
            </w:r>
          </w:p>
        </w:tc>
        <w:tc>
          <w:tcPr>
            <w:tcW w:w="1637" w:type="dxa"/>
          </w:tcPr>
          <w:p w14:paraId="175C10A2" w14:textId="77777777" w:rsidR="00D21EA2" w:rsidRPr="003A3CEF" w:rsidRDefault="00952699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≤ 0,10%</w:t>
            </w:r>
          </w:p>
        </w:tc>
        <w:tc>
          <w:tcPr>
            <w:tcW w:w="1637" w:type="dxa"/>
          </w:tcPr>
          <w:p w14:paraId="41F6DBA3" w14:textId="77777777" w:rsidR="00D21EA2" w:rsidRPr="003A3CEF" w:rsidRDefault="00952699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≤ 0,10%</w:t>
            </w:r>
          </w:p>
        </w:tc>
        <w:tc>
          <w:tcPr>
            <w:tcW w:w="1637" w:type="dxa"/>
          </w:tcPr>
          <w:p w14:paraId="3654CC50" w14:textId="77777777" w:rsidR="00D21EA2" w:rsidRPr="003A3CEF" w:rsidRDefault="00952699">
            <w:pPr>
              <w:pStyle w:val="TableParagraph"/>
              <w:spacing w:before="75"/>
              <w:ind w:left="36"/>
              <w:rPr>
                <w:sz w:val="18"/>
              </w:rPr>
            </w:pPr>
            <w:r>
              <w:rPr>
                <w:sz w:val="18"/>
              </w:rPr>
              <w:t>≤ 0,10%</w:t>
            </w:r>
          </w:p>
        </w:tc>
        <w:tc>
          <w:tcPr>
            <w:tcW w:w="1643" w:type="dxa"/>
            <w:tcBorders>
              <w:right w:val="nil"/>
            </w:tcBorders>
          </w:tcPr>
          <w:p w14:paraId="6E2EF991" w14:textId="77777777" w:rsidR="00D21EA2" w:rsidRPr="003A3CEF" w:rsidRDefault="00952699">
            <w:pPr>
              <w:pStyle w:val="TableParagraph"/>
              <w:spacing w:before="75"/>
              <w:ind w:left="35"/>
              <w:rPr>
                <w:sz w:val="18"/>
              </w:rPr>
            </w:pPr>
            <w:r>
              <w:rPr>
                <w:sz w:val="18"/>
              </w:rPr>
              <w:t>≤ 0,10%</w:t>
            </w:r>
          </w:p>
        </w:tc>
      </w:tr>
    </w:tbl>
    <w:p w14:paraId="15D99F97" w14:textId="18F52D0D" w:rsidR="00D21EA2" w:rsidRPr="003A3CEF" w:rsidRDefault="00952699">
      <w:pPr>
        <w:pStyle w:val="ListParagraph"/>
        <w:numPr>
          <w:ilvl w:val="0"/>
          <w:numId w:val="4"/>
        </w:numPr>
        <w:tabs>
          <w:tab w:val="left" w:pos="435"/>
        </w:tabs>
        <w:spacing w:before="117" w:line="249" w:lineRule="auto"/>
        <w:ind w:right="106" w:hanging="319"/>
        <w:jc w:val="both"/>
        <w:rPr>
          <w:sz w:val="18"/>
        </w:rPr>
      </w:pPr>
      <w:r>
        <w:rPr>
          <w:sz w:val="18"/>
        </w:rPr>
        <w:t>Lisasse (Joogivee hügieeniks sobivate metallmaterjalide positiivne loetelu) uue kategooria 2.8 lisamine toob kaasa punkti 2 edasiste numeratsioonide nihutamise.</w:t>
      </w:r>
    </w:p>
    <w:p w14:paraId="2CF4D805" w14:textId="08C1DD69" w:rsidR="00D21EA2" w:rsidRPr="00693F62" w:rsidRDefault="00952699" w:rsidP="001D7495">
      <w:pPr>
        <w:pStyle w:val="ListParagraph"/>
        <w:numPr>
          <w:ilvl w:val="0"/>
          <w:numId w:val="4"/>
        </w:numPr>
        <w:tabs>
          <w:tab w:val="left" w:pos="435"/>
        </w:tabs>
        <w:spacing w:before="80" w:line="250" w:lineRule="auto"/>
        <w:ind w:left="431" w:right="108" w:hanging="318"/>
        <w:jc w:val="both"/>
        <w:rPr>
          <w:sz w:val="18"/>
        </w:rPr>
      </w:pPr>
      <w:r>
        <w:rPr>
          <w:sz w:val="18"/>
        </w:rPr>
        <w:t>Lisa „Joogivee hügieeniks sobivate metallmaterjalide positiivne loetelu“ punkti 3 „Välispinna g</w:t>
      </w:r>
      <w:r>
        <w:rPr>
          <w:sz w:val="18"/>
        </w:rPr>
        <w:t>alvaanilised Cu/Sn-katted“ lisatakse järgmine:</w:t>
      </w:r>
    </w:p>
    <w:p w14:paraId="48100BBC" w14:textId="77777777" w:rsidR="00D21EA2" w:rsidRPr="003A3CEF" w:rsidRDefault="00952699">
      <w:pPr>
        <w:pStyle w:val="ListParagraph"/>
        <w:numPr>
          <w:ilvl w:val="1"/>
          <w:numId w:val="1"/>
        </w:numPr>
        <w:tabs>
          <w:tab w:val="left" w:pos="871"/>
        </w:tabs>
        <w:spacing w:before="77"/>
        <w:ind w:left="871" w:hanging="436"/>
        <w:rPr>
          <w:sz w:val="18"/>
        </w:rPr>
      </w:pPr>
      <w:r>
        <w:rPr>
          <w:sz w:val="18"/>
        </w:rPr>
        <w:t>Välispinna galvaanilised Cu/Sn-katted</w:t>
      </w:r>
    </w:p>
    <w:p w14:paraId="2A9F15EC" w14:textId="77777777" w:rsidR="00D21EA2" w:rsidRPr="003A3CEF" w:rsidRDefault="00952699">
      <w:pPr>
        <w:pStyle w:val="BodyText"/>
        <w:spacing w:before="78" w:line="249" w:lineRule="auto"/>
        <w:ind w:right="106"/>
        <w:jc w:val="both"/>
      </w:pPr>
      <w:r>
        <w:t xml:space="preserve">Komponendid, mis on valmistatud kõigist metalsetest materjalidest vastavalt punktile 2. Selles positiivses loetelus nimetatud armatuuride, liitmike, aparaatide ja pumpade </w:t>
      </w:r>
      <w:r>
        <w:t>(B), ning armatuuride, liitmike, aparaatide ja pumpade komponentide materjalid (C) võib katta galvaaniliselt Cu/Sn-kattega.</w:t>
      </w:r>
    </w:p>
    <w:p w14:paraId="3418C46B" w14:textId="77777777" w:rsidR="00D21EA2" w:rsidRPr="003A3CEF" w:rsidRDefault="00952699">
      <w:pPr>
        <w:pStyle w:val="BodyText"/>
        <w:spacing w:before="71"/>
      </w:pPr>
      <w:r>
        <w:t>Piirangud:</w:t>
      </w:r>
    </w:p>
    <w:p w14:paraId="353413DD" w14:textId="77777777" w:rsidR="00D21EA2" w:rsidRPr="003A3CEF" w:rsidRDefault="00952699">
      <w:pPr>
        <w:pStyle w:val="ListParagraph"/>
        <w:numPr>
          <w:ilvl w:val="2"/>
          <w:numId w:val="1"/>
        </w:numPr>
        <w:tabs>
          <w:tab w:val="left" w:pos="635"/>
        </w:tabs>
        <w:spacing w:before="77"/>
        <w:ind w:left="635" w:hanging="170"/>
        <w:jc w:val="left"/>
        <w:rPr>
          <w:sz w:val="18"/>
        </w:rPr>
      </w:pPr>
      <w:r>
        <w:rPr>
          <w:sz w:val="18"/>
        </w:rPr>
        <w:t xml:space="preserve">Cu/Sn-katte komponendid: Cu 62 (± 1) % ja Sn 38 (± 1) % (moolisuhe 1:1) </w:t>
      </w:r>
    </w:p>
    <w:p w14:paraId="29EADAB5" w14:textId="77777777" w:rsidR="00D21EA2" w:rsidRPr="003A3CEF" w:rsidRDefault="00952699">
      <w:pPr>
        <w:pStyle w:val="ListParagraph"/>
        <w:numPr>
          <w:ilvl w:val="2"/>
          <w:numId w:val="1"/>
        </w:numPr>
        <w:tabs>
          <w:tab w:val="left" w:pos="635"/>
        </w:tabs>
        <w:spacing w:before="78"/>
        <w:ind w:left="635" w:hanging="170"/>
        <w:jc w:val="left"/>
        <w:rPr>
          <w:sz w:val="18"/>
        </w:rPr>
      </w:pPr>
      <w:r>
        <w:rPr>
          <w:sz w:val="18"/>
        </w:rPr>
        <w:t>Kasutatavate anoodide puhtus: ≥ 99,90%</w:t>
      </w:r>
    </w:p>
    <w:p w14:paraId="06C76EB2" w14:textId="77777777" w:rsidR="001D7495" w:rsidRPr="001D7495" w:rsidRDefault="00952699">
      <w:pPr>
        <w:pStyle w:val="ListParagraph"/>
        <w:numPr>
          <w:ilvl w:val="2"/>
          <w:numId w:val="1"/>
        </w:numPr>
        <w:tabs>
          <w:tab w:val="left" w:pos="634"/>
        </w:tabs>
        <w:spacing w:before="77" w:line="328" w:lineRule="auto"/>
        <w:ind w:right="5492" w:firstLine="29"/>
        <w:jc w:val="left"/>
        <w:rPr>
          <w:sz w:val="18"/>
        </w:rPr>
      </w:pPr>
      <w:r>
        <w:rPr>
          <w:sz w:val="18"/>
        </w:rPr>
        <w:t>Pinnakatete tootmismeetod; galvaaniline tasandamine</w:t>
      </w:r>
    </w:p>
    <w:p w14:paraId="31D507EE" w14:textId="400479F4" w:rsidR="00D21EA2" w:rsidRPr="003A3CEF" w:rsidRDefault="00952699" w:rsidP="001D7495">
      <w:pPr>
        <w:pStyle w:val="ListParagraph"/>
        <w:tabs>
          <w:tab w:val="left" w:pos="634"/>
        </w:tabs>
        <w:spacing w:before="0" w:line="329" w:lineRule="auto"/>
        <w:ind w:left="465" w:right="79" w:firstLine="0"/>
        <w:jc w:val="left"/>
        <w:rPr>
          <w:sz w:val="18"/>
        </w:rPr>
      </w:pPr>
      <w:r>
        <w:rPr>
          <w:sz w:val="18"/>
        </w:rPr>
        <w:t>Lisanõuded</w:t>
      </w:r>
    </w:p>
    <w:p w14:paraId="549DF573" w14:textId="77777777" w:rsidR="00D21EA2" w:rsidRPr="003A3CEF" w:rsidRDefault="00952699">
      <w:pPr>
        <w:pStyle w:val="BodyText"/>
        <w:spacing w:before="3" w:line="249" w:lineRule="auto"/>
        <w:ind w:right="106"/>
        <w:jc w:val="both"/>
      </w:pPr>
      <w:r>
        <w:t>Kõnealuse tootmisprotsessi puhul tuleb tõendada, et valmistooted ei ole saastunud galvaanilisse vanni lisatud orgaaniliste ja anorgaaniliste ainetega. Sed</w:t>
      </w:r>
      <w:r>
        <w:t>a saab tõendada DIN EN 12873-1 kohase migratsioonitestiga.</w:t>
      </w:r>
    </w:p>
    <w:p w14:paraId="4ADE1B43" w14:textId="4DA0ECB6" w:rsidR="00D21EA2" w:rsidRPr="003A3CEF" w:rsidRDefault="00952699">
      <w:pPr>
        <w:pStyle w:val="BodyText"/>
        <w:spacing w:before="70" w:line="249" w:lineRule="auto"/>
        <w:ind w:right="106"/>
        <w:jc w:val="both"/>
      </w:pPr>
      <w:r>
        <w:t>Tõendi võib esitada heakskiitmis- või sertifitseerimismenetluse raames. Sellisel menetlusel ei ole metalli vabastamise kontroll vajalik. Lisaks on vajalik tootmisprotsessi kvaliteedikindlustamise s</w:t>
      </w:r>
      <w:r>
        <w:t>üsteem.</w:t>
      </w:r>
    </w:p>
    <w:p w14:paraId="45C8B50D" w14:textId="77777777" w:rsidR="00D21EA2" w:rsidRPr="003A3CEF" w:rsidRDefault="00952699">
      <w:pPr>
        <w:pStyle w:val="ListParagraph"/>
        <w:numPr>
          <w:ilvl w:val="0"/>
          <w:numId w:val="4"/>
        </w:numPr>
        <w:tabs>
          <w:tab w:val="left" w:pos="435"/>
        </w:tabs>
        <w:spacing w:before="72" w:line="249" w:lineRule="auto"/>
        <w:ind w:right="106" w:hanging="319"/>
        <w:jc w:val="both"/>
        <w:rPr>
          <w:sz w:val="18"/>
        </w:rPr>
      </w:pPr>
      <w:r>
        <w:rPr>
          <w:sz w:val="18"/>
        </w:rPr>
        <w:t>Lisas „Joogivee hügieeniks sobivate metallmaterjalide positiivne loetelu“ täiendatakse materjale „NiCr8020“ ja „TaCr“ punktis 4 järgnevalt:</w:t>
      </w:r>
    </w:p>
    <w:p w14:paraId="3FD69A26" w14:textId="1D18AA04" w:rsidR="00D21EA2" w:rsidRPr="003A3CEF" w:rsidRDefault="00952699">
      <w:pPr>
        <w:pStyle w:val="BodyText"/>
        <w:spacing w:before="70"/>
        <w:jc w:val="both"/>
      </w:pPr>
      <w:r>
        <w:t>4.3.2 NiCr8020</w:t>
      </w:r>
    </w:p>
    <w:p w14:paraId="26E48942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65002740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28728092" w14:textId="77777777" w:rsidR="00D21EA2" w:rsidRPr="003A3CEF" w:rsidRDefault="00952699">
            <w:pPr>
              <w:pStyle w:val="TableParagraph"/>
              <w:ind w:left="846"/>
              <w:rPr>
                <w:sz w:val="16"/>
              </w:rPr>
            </w:pPr>
            <w:r>
              <w:rPr>
                <w:sz w:val="16"/>
              </w:rPr>
              <w:t>Nimetus</w:t>
            </w:r>
          </w:p>
        </w:tc>
        <w:tc>
          <w:tcPr>
            <w:tcW w:w="2679" w:type="dxa"/>
            <w:tcBorders>
              <w:right w:val="nil"/>
            </w:tcBorders>
          </w:tcPr>
          <w:p w14:paraId="4BBB217A" w14:textId="77777777" w:rsidR="00D21EA2" w:rsidRPr="003A3CEF" w:rsidRDefault="00952699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Tooterühm</w:t>
            </w:r>
          </w:p>
        </w:tc>
      </w:tr>
      <w:tr w:rsidR="00D21EA2" w:rsidRPr="003A3CEF" w14:paraId="6682B54C" w14:textId="77777777">
        <w:trPr>
          <w:trHeight w:val="317"/>
        </w:trPr>
        <w:tc>
          <w:tcPr>
            <w:tcW w:w="2668" w:type="dxa"/>
            <w:tcBorders>
              <w:left w:val="nil"/>
            </w:tcBorders>
          </w:tcPr>
          <w:p w14:paraId="51EEAB99" w14:textId="77777777" w:rsidR="00D21EA2" w:rsidRPr="003A3CEF" w:rsidRDefault="00952699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NiCr8020</w:t>
            </w:r>
          </w:p>
        </w:tc>
        <w:tc>
          <w:tcPr>
            <w:tcW w:w="2679" w:type="dxa"/>
            <w:tcBorders>
              <w:right w:val="nil"/>
            </w:tcBorders>
          </w:tcPr>
          <w:p w14:paraId="4C39F542" w14:textId="77777777" w:rsidR="00D21EA2" w:rsidRPr="003A3CEF" w:rsidRDefault="00952699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B–D</w:t>
            </w:r>
          </w:p>
        </w:tc>
      </w:tr>
    </w:tbl>
    <w:p w14:paraId="3F721A06" w14:textId="77777777" w:rsidR="00D21EA2" w:rsidRPr="003A3CEF" w:rsidRDefault="00952699">
      <w:pPr>
        <w:pStyle w:val="BodyText"/>
        <w:spacing w:before="117"/>
        <w:jc w:val="both"/>
      </w:pPr>
      <w:r>
        <w:t>Sulamikomponendid (massiprotsent):</w:t>
      </w:r>
    </w:p>
    <w:p w14:paraId="175D23DC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1594"/>
        <w:gridCol w:w="1600"/>
      </w:tblGrid>
      <w:tr w:rsidR="00D21EA2" w:rsidRPr="003A3CEF" w14:paraId="08EB271E" w14:textId="77777777">
        <w:trPr>
          <w:trHeight w:val="216"/>
        </w:trPr>
        <w:tc>
          <w:tcPr>
            <w:tcW w:w="1588" w:type="dxa"/>
            <w:tcBorders>
              <w:left w:val="nil"/>
            </w:tcBorders>
          </w:tcPr>
          <w:p w14:paraId="6B3573EE" w14:textId="77777777" w:rsidR="00D21EA2" w:rsidRPr="003A3CEF" w:rsidRDefault="00952699">
            <w:pPr>
              <w:pStyle w:val="TableParagraph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1594" w:type="dxa"/>
          </w:tcPr>
          <w:p w14:paraId="7CAD5676" w14:textId="77777777" w:rsidR="00D21EA2" w:rsidRPr="003A3CEF" w:rsidRDefault="00952699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Cr</w:t>
            </w:r>
          </w:p>
        </w:tc>
        <w:tc>
          <w:tcPr>
            <w:tcW w:w="1600" w:type="dxa"/>
            <w:tcBorders>
              <w:right w:val="nil"/>
            </w:tcBorders>
          </w:tcPr>
          <w:p w14:paraId="20DAE761" w14:textId="77777777" w:rsidR="00D21EA2" w:rsidRPr="003A3CEF" w:rsidRDefault="00952699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D21EA2" w:rsidRPr="003A3CEF" w14:paraId="4AA3A126" w14:textId="77777777">
        <w:trPr>
          <w:trHeight w:val="316"/>
        </w:trPr>
        <w:tc>
          <w:tcPr>
            <w:tcW w:w="1588" w:type="dxa"/>
            <w:tcBorders>
              <w:left w:val="nil"/>
            </w:tcBorders>
          </w:tcPr>
          <w:p w14:paraId="40486A30" w14:textId="77777777" w:rsidR="00D21EA2" w:rsidRPr="003A3CEF" w:rsidRDefault="00952699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≥ 75,0%</w:t>
            </w:r>
          </w:p>
        </w:tc>
        <w:tc>
          <w:tcPr>
            <w:tcW w:w="1594" w:type="dxa"/>
          </w:tcPr>
          <w:p w14:paraId="351E876F" w14:textId="77777777" w:rsidR="00D21EA2" w:rsidRPr="003A3CEF" w:rsidRDefault="00952699">
            <w:pPr>
              <w:pStyle w:val="TableParagraph"/>
              <w:spacing w:before="75"/>
              <w:ind w:left="38"/>
              <w:rPr>
                <w:sz w:val="18"/>
              </w:rPr>
            </w:pPr>
            <w:r>
              <w:rPr>
                <w:sz w:val="18"/>
              </w:rPr>
              <w:t>19,0 % – 21,0 %</w:t>
            </w:r>
          </w:p>
        </w:tc>
        <w:tc>
          <w:tcPr>
            <w:tcW w:w="1600" w:type="dxa"/>
            <w:tcBorders>
              <w:right w:val="nil"/>
            </w:tcBorders>
          </w:tcPr>
          <w:p w14:paraId="6F3E788D" w14:textId="77777777" w:rsidR="00D21EA2" w:rsidRPr="003A3CEF" w:rsidRDefault="00952699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0,50 % – 2,0 %</w:t>
            </w:r>
          </w:p>
        </w:tc>
      </w:tr>
    </w:tbl>
    <w:p w14:paraId="026A0640" w14:textId="77777777" w:rsidR="00D21EA2" w:rsidRPr="003A3CEF" w:rsidRDefault="00952699">
      <w:pPr>
        <w:pStyle w:val="BodyText"/>
        <w:spacing w:before="118"/>
        <w:jc w:val="both"/>
      </w:pPr>
      <w:r>
        <w:t>Vältimatud kaaselemendid (massiprotsent):</w:t>
      </w:r>
    </w:p>
    <w:p w14:paraId="387E77C1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"/>
        <w:gridCol w:w="1035"/>
        <w:gridCol w:w="1035"/>
        <w:gridCol w:w="1035"/>
        <w:gridCol w:w="1035"/>
        <w:gridCol w:w="1035"/>
        <w:gridCol w:w="1035"/>
        <w:gridCol w:w="1035"/>
        <w:gridCol w:w="1041"/>
      </w:tblGrid>
      <w:tr w:rsidR="00D21EA2" w:rsidRPr="003A3CEF" w14:paraId="73576BFA" w14:textId="77777777">
        <w:trPr>
          <w:trHeight w:val="216"/>
        </w:trPr>
        <w:tc>
          <w:tcPr>
            <w:tcW w:w="1029" w:type="dxa"/>
            <w:tcBorders>
              <w:left w:val="nil"/>
            </w:tcBorders>
          </w:tcPr>
          <w:p w14:paraId="66C4EAEC" w14:textId="77777777" w:rsidR="00D21EA2" w:rsidRPr="003A3CEF" w:rsidRDefault="00952699">
            <w:pPr>
              <w:pStyle w:val="TableParagraph"/>
              <w:ind w:right="36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1035" w:type="dxa"/>
          </w:tcPr>
          <w:p w14:paraId="2B755F57" w14:textId="77777777" w:rsidR="00D21EA2" w:rsidRPr="003A3CEF" w:rsidRDefault="00952699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035" w:type="dxa"/>
          </w:tcPr>
          <w:p w14:paraId="50D74CE5" w14:textId="77777777" w:rsidR="00D21EA2" w:rsidRPr="003A3CEF" w:rsidRDefault="00952699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Co</w:t>
            </w:r>
          </w:p>
        </w:tc>
        <w:tc>
          <w:tcPr>
            <w:tcW w:w="1035" w:type="dxa"/>
          </w:tcPr>
          <w:p w14:paraId="6EADC12F" w14:textId="77777777" w:rsidR="00D21EA2" w:rsidRPr="003A3CEF" w:rsidRDefault="00952699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1035" w:type="dxa"/>
          </w:tcPr>
          <w:p w14:paraId="1AD919AB" w14:textId="77777777" w:rsidR="00D21EA2" w:rsidRPr="003A3CEF" w:rsidRDefault="00952699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1035" w:type="dxa"/>
          </w:tcPr>
          <w:p w14:paraId="15BA76B0" w14:textId="77777777" w:rsidR="00D21EA2" w:rsidRPr="003A3CEF" w:rsidRDefault="00952699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Mn</w:t>
            </w:r>
          </w:p>
        </w:tc>
        <w:tc>
          <w:tcPr>
            <w:tcW w:w="1035" w:type="dxa"/>
          </w:tcPr>
          <w:p w14:paraId="2D67EEF1" w14:textId="77777777" w:rsidR="00D21EA2" w:rsidRPr="003A3CEF" w:rsidRDefault="00952699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035" w:type="dxa"/>
          </w:tcPr>
          <w:p w14:paraId="07466574" w14:textId="77777777" w:rsidR="00D21EA2" w:rsidRPr="003A3CEF" w:rsidRDefault="00952699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41" w:type="dxa"/>
            <w:tcBorders>
              <w:right w:val="nil"/>
            </w:tcBorders>
          </w:tcPr>
          <w:p w14:paraId="32AEB4B6" w14:textId="77777777" w:rsidR="00D21EA2" w:rsidRPr="003A3CEF" w:rsidRDefault="00952699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Ti</w:t>
            </w:r>
          </w:p>
        </w:tc>
      </w:tr>
      <w:tr w:rsidR="00D21EA2" w:rsidRPr="003A3CEF" w14:paraId="35DC2FE1" w14:textId="77777777">
        <w:trPr>
          <w:trHeight w:val="316"/>
        </w:trPr>
        <w:tc>
          <w:tcPr>
            <w:tcW w:w="1029" w:type="dxa"/>
            <w:tcBorders>
              <w:left w:val="nil"/>
            </w:tcBorders>
          </w:tcPr>
          <w:p w14:paraId="7BD6490F" w14:textId="77777777" w:rsidR="00D21EA2" w:rsidRPr="003A3CEF" w:rsidRDefault="0095269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≤ 0,30%</w:t>
            </w:r>
          </w:p>
        </w:tc>
        <w:tc>
          <w:tcPr>
            <w:tcW w:w="1035" w:type="dxa"/>
          </w:tcPr>
          <w:p w14:paraId="66BDAC5F" w14:textId="77777777" w:rsidR="00D21EA2" w:rsidRPr="003A3CEF" w:rsidRDefault="00952699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0,15%</w:t>
            </w:r>
          </w:p>
        </w:tc>
        <w:tc>
          <w:tcPr>
            <w:tcW w:w="1035" w:type="dxa"/>
          </w:tcPr>
          <w:p w14:paraId="158AB652" w14:textId="77777777" w:rsidR="00D21EA2" w:rsidRPr="003A3CEF" w:rsidRDefault="00952699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1,5%</w:t>
            </w:r>
          </w:p>
        </w:tc>
        <w:tc>
          <w:tcPr>
            <w:tcW w:w="1035" w:type="dxa"/>
          </w:tcPr>
          <w:p w14:paraId="05811A4B" w14:textId="77777777" w:rsidR="00D21EA2" w:rsidRPr="003A3CEF" w:rsidRDefault="00952699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0,50%</w:t>
            </w:r>
          </w:p>
        </w:tc>
        <w:tc>
          <w:tcPr>
            <w:tcW w:w="1035" w:type="dxa"/>
          </w:tcPr>
          <w:p w14:paraId="44DA730E" w14:textId="77777777" w:rsidR="00D21EA2" w:rsidRPr="003A3CEF" w:rsidRDefault="00952699">
            <w:pPr>
              <w:pStyle w:val="TableParagraph"/>
              <w:spacing w:before="76"/>
              <w:ind w:left="39"/>
              <w:rPr>
                <w:sz w:val="18"/>
              </w:rPr>
            </w:pPr>
            <w:r>
              <w:rPr>
                <w:sz w:val="18"/>
              </w:rPr>
              <w:t>≤ 1,0%</w:t>
            </w:r>
          </w:p>
        </w:tc>
        <w:tc>
          <w:tcPr>
            <w:tcW w:w="1035" w:type="dxa"/>
          </w:tcPr>
          <w:p w14:paraId="0B7CC8B0" w14:textId="77777777" w:rsidR="00D21EA2" w:rsidRPr="003A3CEF" w:rsidRDefault="00952699">
            <w:pPr>
              <w:pStyle w:val="TableParagraph"/>
              <w:spacing w:before="76"/>
              <w:ind w:left="39"/>
              <w:rPr>
                <w:sz w:val="18"/>
              </w:rPr>
            </w:pPr>
            <w:r>
              <w:rPr>
                <w:sz w:val="18"/>
              </w:rPr>
              <w:t>≤ 1,00%</w:t>
            </w:r>
          </w:p>
        </w:tc>
        <w:tc>
          <w:tcPr>
            <w:tcW w:w="1035" w:type="dxa"/>
          </w:tcPr>
          <w:p w14:paraId="4D2BD14B" w14:textId="77777777" w:rsidR="00D21EA2" w:rsidRPr="003A3CEF" w:rsidRDefault="00952699">
            <w:pPr>
              <w:pStyle w:val="TableParagraph"/>
              <w:spacing w:before="76"/>
              <w:ind w:left="2" w:right="86"/>
              <w:jc w:val="center"/>
              <w:rPr>
                <w:sz w:val="18"/>
              </w:rPr>
            </w:pPr>
            <w:r>
              <w:rPr>
                <w:sz w:val="18"/>
              </w:rPr>
              <w:t>≤ 0,020%</w:t>
            </w:r>
          </w:p>
        </w:tc>
        <w:tc>
          <w:tcPr>
            <w:tcW w:w="1035" w:type="dxa"/>
          </w:tcPr>
          <w:p w14:paraId="2508FD6B" w14:textId="77777777" w:rsidR="00D21EA2" w:rsidRPr="003A3CEF" w:rsidRDefault="00952699">
            <w:pPr>
              <w:pStyle w:val="TableParagraph"/>
              <w:spacing w:before="76"/>
              <w:ind w:left="2" w:right="86"/>
              <w:jc w:val="center"/>
              <w:rPr>
                <w:sz w:val="18"/>
              </w:rPr>
            </w:pPr>
            <w:r>
              <w:rPr>
                <w:sz w:val="18"/>
              </w:rPr>
              <w:t>≤ 0,015%</w:t>
            </w:r>
          </w:p>
        </w:tc>
        <w:tc>
          <w:tcPr>
            <w:tcW w:w="1041" w:type="dxa"/>
            <w:tcBorders>
              <w:right w:val="nil"/>
            </w:tcBorders>
          </w:tcPr>
          <w:p w14:paraId="64EEBD2C" w14:textId="77777777" w:rsidR="00D21EA2" w:rsidRPr="003A3CEF" w:rsidRDefault="00952699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0,1%</w:t>
            </w:r>
          </w:p>
        </w:tc>
      </w:tr>
    </w:tbl>
    <w:p w14:paraId="5B259DFB" w14:textId="70FF6A52" w:rsidR="00D21EA2" w:rsidRPr="003A3CEF" w:rsidRDefault="00952699">
      <w:pPr>
        <w:pStyle w:val="BodyText"/>
        <w:spacing w:before="118"/>
        <w:jc w:val="both"/>
      </w:pPr>
      <w:r>
        <w:t>4.3.9 TaCr</w:t>
      </w:r>
    </w:p>
    <w:p w14:paraId="4D2A9ED1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247D2F0E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771BA2B2" w14:textId="77777777" w:rsidR="00D21EA2" w:rsidRPr="003A3CEF" w:rsidRDefault="00952699">
            <w:pPr>
              <w:pStyle w:val="TableParagraph"/>
              <w:ind w:left="846"/>
              <w:rPr>
                <w:sz w:val="16"/>
              </w:rPr>
            </w:pPr>
            <w:r>
              <w:rPr>
                <w:sz w:val="16"/>
              </w:rPr>
              <w:t>Nimetus</w:t>
            </w:r>
          </w:p>
        </w:tc>
        <w:tc>
          <w:tcPr>
            <w:tcW w:w="2679" w:type="dxa"/>
            <w:tcBorders>
              <w:right w:val="nil"/>
            </w:tcBorders>
          </w:tcPr>
          <w:p w14:paraId="7A3D80A5" w14:textId="77777777" w:rsidR="00D21EA2" w:rsidRPr="003A3CEF" w:rsidRDefault="00952699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Tooterühm</w:t>
            </w:r>
          </w:p>
        </w:tc>
      </w:tr>
      <w:tr w:rsidR="00D21EA2" w:rsidRPr="003A3CEF" w14:paraId="10B3525B" w14:textId="77777777">
        <w:trPr>
          <w:trHeight w:val="316"/>
        </w:trPr>
        <w:tc>
          <w:tcPr>
            <w:tcW w:w="2668" w:type="dxa"/>
            <w:tcBorders>
              <w:left w:val="nil"/>
            </w:tcBorders>
          </w:tcPr>
          <w:p w14:paraId="71830253" w14:textId="77777777" w:rsidR="00D21EA2" w:rsidRPr="003A3CEF" w:rsidRDefault="0095269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TaCr</w:t>
            </w:r>
          </w:p>
        </w:tc>
        <w:tc>
          <w:tcPr>
            <w:tcW w:w="2679" w:type="dxa"/>
            <w:tcBorders>
              <w:right w:val="nil"/>
            </w:tcBorders>
          </w:tcPr>
          <w:p w14:paraId="49FD2CFA" w14:textId="77777777" w:rsidR="00D21EA2" w:rsidRPr="003A3CEF" w:rsidRDefault="00952699">
            <w:pPr>
              <w:pStyle w:val="TableParagraph"/>
              <w:spacing w:before="76"/>
              <w:ind w:left="37"/>
              <w:rPr>
                <w:sz w:val="18"/>
              </w:rPr>
            </w:pPr>
            <w:r>
              <w:rPr>
                <w:sz w:val="18"/>
              </w:rPr>
              <w:t>C ja D</w:t>
            </w:r>
          </w:p>
        </w:tc>
      </w:tr>
    </w:tbl>
    <w:p w14:paraId="4A6B373D" w14:textId="77777777" w:rsidR="00D21EA2" w:rsidRPr="003A3CEF" w:rsidRDefault="00952699">
      <w:pPr>
        <w:pStyle w:val="BodyText"/>
        <w:spacing w:before="118"/>
        <w:jc w:val="both"/>
      </w:pPr>
      <w:r>
        <w:t>Sulamikomponendid (massiprotsent):</w:t>
      </w:r>
    </w:p>
    <w:p w14:paraId="0E32F242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01DFE65B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5384924F" w14:textId="77777777" w:rsidR="00D21EA2" w:rsidRPr="003A3CEF" w:rsidRDefault="00952699">
            <w:pPr>
              <w:pStyle w:val="TableParagraph"/>
              <w:ind w:right="1258"/>
              <w:jc w:val="right"/>
              <w:rPr>
                <w:sz w:val="16"/>
              </w:rPr>
            </w:pPr>
            <w:r>
              <w:rPr>
                <w:sz w:val="16"/>
              </w:rPr>
              <w:t>tA</w:t>
            </w:r>
          </w:p>
        </w:tc>
        <w:tc>
          <w:tcPr>
            <w:tcW w:w="2679" w:type="dxa"/>
            <w:tcBorders>
              <w:right w:val="nil"/>
            </w:tcBorders>
          </w:tcPr>
          <w:p w14:paraId="1FEDD3B7" w14:textId="77777777" w:rsidR="00D21EA2" w:rsidRPr="003A3CEF" w:rsidRDefault="00952699">
            <w:pPr>
              <w:pStyle w:val="TableParagraph"/>
              <w:ind w:right="1230"/>
              <w:jc w:val="right"/>
              <w:rPr>
                <w:sz w:val="16"/>
              </w:rPr>
            </w:pPr>
            <w:r>
              <w:rPr>
                <w:sz w:val="16"/>
              </w:rPr>
              <w:t>Cr</w:t>
            </w:r>
          </w:p>
        </w:tc>
      </w:tr>
      <w:tr w:rsidR="00D21EA2" w:rsidRPr="003A3CEF" w14:paraId="10D1E257" w14:textId="77777777">
        <w:trPr>
          <w:trHeight w:val="316"/>
        </w:trPr>
        <w:tc>
          <w:tcPr>
            <w:tcW w:w="2668" w:type="dxa"/>
            <w:tcBorders>
              <w:left w:val="nil"/>
            </w:tcBorders>
          </w:tcPr>
          <w:p w14:paraId="0594E07E" w14:textId="77777777" w:rsidR="00D21EA2" w:rsidRPr="003A3CEF" w:rsidRDefault="00952699">
            <w:pPr>
              <w:pStyle w:val="TableParagraph"/>
              <w:spacing w:before="76"/>
              <w:ind w:right="1267"/>
              <w:jc w:val="right"/>
              <w:rPr>
                <w:sz w:val="18"/>
              </w:rPr>
            </w:pPr>
            <w:r>
              <w:rPr>
                <w:sz w:val="18"/>
              </w:rPr>
              <w:t>74,7 % – 80,7 %</w:t>
            </w:r>
          </w:p>
        </w:tc>
        <w:tc>
          <w:tcPr>
            <w:tcW w:w="2679" w:type="dxa"/>
            <w:tcBorders>
              <w:right w:val="nil"/>
            </w:tcBorders>
          </w:tcPr>
          <w:p w14:paraId="3B74F46E" w14:textId="77777777" w:rsidR="00D21EA2" w:rsidRPr="003A3CEF" w:rsidRDefault="00952699">
            <w:pPr>
              <w:pStyle w:val="TableParagraph"/>
              <w:spacing w:before="76"/>
              <w:ind w:right="1240"/>
              <w:jc w:val="right"/>
              <w:rPr>
                <w:sz w:val="18"/>
              </w:rPr>
            </w:pPr>
            <w:r>
              <w:rPr>
                <w:sz w:val="18"/>
              </w:rPr>
              <w:t>19,3 % – 25,3 %</w:t>
            </w:r>
          </w:p>
        </w:tc>
      </w:tr>
    </w:tbl>
    <w:p w14:paraId="5EE4EB9C" w14:textId="13FC0156" w:rsidR="00D21EA2" w:rsidRPr="003A3CEF" w:rsidRDefault="00952699">
      <w:pPr>
        <w:pStyle w:val="ListParagraph"/>
        <w:numPr>
          <w:ilvl w:val="0"/>
          <w:numId w:val="4"/>
        </w:numPr>
        <w:tabs>
          <w:tab w:val="left" w:pos="435"/>
        </w:tabs>
        <w:spacing w:before="118" w:line="249" w:lineRule="auto"/>
        <w:ind w:right="106" w:hanging="319"/>
        <w:jc w:val="both"/>
        <w:rPr>
          <w:sz w:val="18"/>
        </w:rPr>
      </w:pPr>
      <w:r>
        <w:rPr>
          <w:sz w:val="18"/>
        </w:rPr>
        <w:t>Lisas „Joogivee hügieeniks sobivate metalsete materjalide positiivne loetelu“ põhjustab uute materjalide lisamine punktidesse 4.3.2 ja 4.3.9 punkti 4 edasiste numeratsioonide nihutamise.</w:t>
      </w:r>
    </w:p>
    <w:p w14:paraId="33544368" w14:textId="77777777" w:rsidR="00D21EA2" w:rsidRPr="003A3CEF" w:rsidRDefault="00952699" w:rsidP="007B018D">
      <w:pPr>
        <w:pStyle w:val="BodyText"/>
        <w:keepNext/>
        <w:keepLines/>
        <w:spacing w:before="101"/>
        <w:ind w:left="1690" w:right="1684"/>
        <w:jc w:val="center"/>
      </w:pPr>
      <w:r>
        <w:t>II.</w:t>
      </w:r>
    </w:p>
    <w:p w14:paraId="42AAAE92" w14:textId="77777777" w:rsidR="00D21EA2" w:rsidRPr="003A3CEF" w:rsidRDefault="00952699" w:rsidP="007B018D">
      <w:pPr>
        <w:pStyle w:val="BodyText"/>
        <w:keepNext/>
        <w:keepLines/>
        <w:spacing w:before="73"/>
        <w:ind w:left="1690" w:right="1684"/>
        <w:jc w:val="center"/>
      </w:pPr>
      <w:r>
        <w:t>Jõustumine</w:t>
      </w:r>
    </w:p>
    <w:p w14:paraId="28F7DCF3" w14:textId="77777777" w:rsidR="00D21EA2" w:rsidRPr="003A3CEF" w:rsidRDefault="00952699">
      <w:pPr>
        <w:pStyle w:val="BodyText"/>
        <w:spacing w:before="73"/>
        <w:ind w:left="113"/>
      </w:pPr>
      <w:r>
        <w:t>Need muudatused jõustuvad järgmisel päeval pärast nende avaldamist Saksamaa Liitvabariigi ametlikus väljaandes.</w:t>
      </w:r>
    </w:p>
    <w:p w14:paraId="47E41BD0" w14:textId="77777777" w:rsidR="00D21EA2" w:rsidRPr="003A3CEF" w:rsidRDefault="00D21EA2">
      <w:pPr>
        <w:pStyle w:val="BodyText"/>
        <w:spacing w:before="14"/>
        <w:ind w:left="0"/>
      </w:pPr>
    </w:p>
    <w:p w14:paraId="150BC39F" w14:textId="77777777" w:rsidR="00D21EA2" w:rsidRPr="003A3CEF" w:rsidRDefault="00952699">
      <w:pPr>
        <w:pStyle w:val="BodyText"/>
        <w:spacing w:before="1"/>
        <w:ind w:left="113"/>
      </w:pPr>
      <w:r>
        <w:lastRenderedPageBreak/>
        <w:t>Dessau-Roßlau, 10. juuni 2024. a.</w:t>
      </w:r>
    </w:p>
    <w:p w14:paraId="698C0C34" w14:textId="77777777" w:rsidR="00634AF4" w:rsidRDefault="00952699">
      <w:pPr>
        <w:pStyle w:val="BodyText"/>
        <w:spacing w:before="2" w:line="320" w:lineRule="atLeast"/>
        <w:ind w:left="4078" w:right="4071"/>
        <w:jc w:val="center"/>
      </w:pPr>
      <w:r>
        <w:t>Saksamaa Keskkonnaamet</w:t>
      </w:r>
    </w:p>
    <w:p w14:paraId="7F5C620E" w14:textId="09C1C415" w:rsidR="00D21EA2" w:rsidRPr="003A3CEF" w:rsidRDefault="00952699">
      <w:pPr>
        <w:pStyle w:val="BodyText"/>
        <w:spacing w:before="2" w:line="320" w:lineRule="atLeast"/>
        <w:ind w:left="4078" w:right="4071"/>
        <w:jc w:val="center"/>
      </w:pPr>
      <w:r>
        <w:t>President</w:t>
      </w:r>
    </w:p>
    <w:p w14:paraId="162AB53D" w14:textId="77777777" w:rsidR="00D21EA2" w:rsidRPr="003A3CEF" w:rsidRDefault="00952699">
      <w:pPr>
        <w:pStyle w:val="BodyText"/>
        <w:spacing w:before="11"/>
        <w:ind w:left="1691" w:right="1687"/>
        <w:jc w:val="center"/>
      </w:pPr>
      <w:r>
        <w:t>Prof Dr Dirk Messner</w:t>
      </w:r>
    </w:p>
    <w:sectPr w:rsidR="00D21EA2" w:rsidRPr="003A3CEF" w:rsidSect="001D7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840" w:right="1040" w:bottom="560" w:left="1020" w:header="214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C58C" w14:textId="77777777" w:rsidR="00952699" w:rsidRDefault="00952699">
      <w:r>
        <w:separator/>
      </w:r>
    </w:p>
  </w:endnote>
  <w:endnote w:type="continuationSeparator" w:id="0">
    <w:p w14:paraId="6C850D1B" w14:textId="77777777" w:rsidR="00952699" w:rsidRDefault="0095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1DF6" w14:textId="77777777" w:rsidR="00C532D2" w:rsidRDefault="00C53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BB22" w14:textId="6C49A03A" w:rsidR="00D21EA2" w:rsidRPr="003A3CEF" w:rsidRDefault="00D21EA2" w:rsidP="003A3CEF">
    <w:pPr>
      <w:pStyle w:val="Footer"/>
      <w:pBdr>
        <w:top w:val="single" w:sz="12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5FB1" w14:textId="77777777" w:rsidR="00C532D2" w:rsidRDefault="00C53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24B88" w14:textId="77777777" w:rsidR="00952699" w:rsidRDefault="00952699">
      <w:r>
        <w:separator/>
      </w:r>
    </w:p>
  </w:footnote>
  <w:footnote w:type="continuationSeparator" w:id="0">
    <w:p w14:paraId="7245196B" w14:textId="77777777" w:rsidR="00952699" w:rsidRDefault="00952699">
      <w:r>
        <w:continuationSeparator/>
      </w:r>
    </w:p>
  </w:footnote>
  <w:footnote w:id="1">
    <w:p w14:paraId="5DCD95D2" w14:textId="4362685C" w:rsidR="00C752E8" w:rsidRPr="00C752E8" w:rsidRDefault="00C752E8" w:rsidP="001D7495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Teavitatud kooskõlas Euroopa Parlamendi ja nõukogu 9. septembri 2015. aasta direktiiviga (EL) 2015/1535, millega nähakse ette tehnilistest eeskirjadest ning infoühiskonna teenuste eeskirjadest teatamise kord (ELT L 241, 17.9.2015, lk 1).</w:t>
      </w:r>
    </w:p>
  </w:footnote>
  <w:footnote w:id="2">
    <w:p w14:paraId="3A83F447" w14:textId="314A66C4" w:rsidR="00C752E8" w:rsidRPr="00C752E8" w:rsidRDefault="00C752E8" w:rsidP="00C532D2">
      <w:pPr>
        <w:pStyle w:val="FootnoteText"/>
        <w:spacing w:after="12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 xml:space="preserve">Teatatud 2024/0103/D </w:t>
      </w:r>
      <w:r>
        <w:t>alusel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A0F4" w14:textId="77777777" w:rsidR="00C532D2" w:rsidRDefault="00C53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09" w:type="dxa"/>
      <w:tblInd w:w="-318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1"/>
      <w:gridCol w:w="5038"/>
    </w:tblGrid>
    <w:tr w:rsidR="003A3CEF" w14:paraId="6CC6DA98" w14:textId="77777777" w:rsidTr="003A3CEF">
      <w:tc>
        <w:tcPr>
          <w:tcW w:w="5671" w:type="dxa"/>
        </w:tcPr>
        <w:p w14:paraId="42A6BE2B" w14:textId="77777777" w:rsidR="003A3CEF" w:rsidRPr="00644B9C" w:rsidRDefault="003A3CEF" w:rsidP="003A3CEF">
          <w:pPr>
            <w:ind w:left="1024"/>
            <w:rPr>
              <w:b/>
              <w:bCs/>
              <w:sz w:val="48"/>
              <w:szCs w:val="48"/>
            </w:rPr>
          </w:pPr>
          <w:r>
            <w:rPr>
              <w:noProof/>
            </w:rPr>
            <w:drawing>
              <wp:anchor distT="0" distB="0" distL="0" distR="0" simplePos="0" relativeHeight="251666432" behindDoc="1" locked="0" layoutInCell="1" allowOverlap="1" wp14:anchorId="6C6AFDA4" wp14:editId="5F916AA5">
                <wp:simplePos x="0" y="0"/>
                <wp:positionH relativeFrom="page">
                  <wp:posOffset>67310</wp:posOffset>
                </wp:positionH>
                <wp:positionV relativeFrom="page">
                  <wp:posOffset>133985</wp:posOffset>
                </wp:positionV>
                <wp:extent cx="600075" cy="535305"/>
                <wp:effectExtent l="0" t="0" r="9525" b="0"/>
                <wp:wrapNone/>
                <wp:docPr id="409679989" name="Image 1" descr="A black and white text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A black and white text&#10;&#10;Description automatically generated"/>
                        <pic:cNvPicPr/>
                      </pic:nvPicPr>
                      <pic:blipFill rotWithShape="1">
                        <a:blip r:embed="rId1" cstate="print"/>
                        <a:srcRect r="80812"/>
                        <a:stretch/>
                      </pic:blipFill>
                      <pic:spPr bwMode="auto">
                        <a:xfrm>
                          <a:off x="0" y="0"/>
                          <a:ext cx="600075" cy="535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>
            <w:rPr>
              <w:b/>
              <w:bCs/>
            </w:rPr>
            <w:t>Ametlik väljaanne</w:t>
          </w:r>
        </w:p>
        <w:p w14:paraId="11DA4879" w14:textId="77777777" w:rsidR="003A3CEF" w:rsidRPr="007B018D" w:rsidRDefault="003A3CEF" w:rsidP="003A3CEF">
          <w:pPr>
            <w:ind w:left="1024"/>
            <w:rPr>
              <w:sz w:val="20"/>
              <w:szCs w:val="20"/>
            </w:rPr>
          </w:pPr>
          <w:r>
            <w:rPr>
              <w:sz w:val="20"/>
            </w:rPr>
            <w:t>Avaldanud</w:t>
          </w:r>
          <w:r>
            <w:rPr>
              <w:sz w:val="20"/>
            </w:rPr>
            <w:br/>
            <w:t>föderaalne justiitsministeerium</w:t>
          </w:r>
        </w:p>
        <w:p w14:paraId="4FF48002" w14:textId="17CB5157" w:rsidR="003A3CEF" w:rsidRDefault="00952699" w:rsidP="003A3CEF">
          <w:pPr>
            <w:pStyle w:val="Header"/>
            <w:spacing w:after="120"/>
            <w:ind w:left="1026"/>
          </w:pPr>
          <w:hyperlink r:id="rId2" w:history="1">
            <w:r w:rsidR="003A3CEF">
              <w:rPr>
                <w:rStyle w:val="Hyperlink"/>
                <w:b/>
                <w:sz w:val="16"/>
              </w:rPr>
              <w:t>www.bundesanzeiger.de</w:t>
            </w:r>
          </w:hyperlink>
        </w:p>
      </w:tc>
      <w:tc>
        <w:tcPr>
          <w:tcW w:w="5038" w:type="dxa"/>
        </w:tcPr>
        <w:p w14:paraId="68B535B3" w14:textId="77777777" w:rsidR="003A3CEF" w:rsidRDefault="003A3CEF" w:rsidP="003A3CEF">
          <w:pPr>
            <w:spacing w:before="45"/>
            <w:ind w:left="20"/>
            <w:rPr>
              <w:b/>
              <w:sz w:val="32"/>
            </w:rPr>
          </w:pPr>
          <w:r>
            <w:rPr>
              <w:b/>
              <w:sz w:val="32"/>
            </w:rPr>
            <w:t>Väljakuulutamine</w:t>
          </w:r>
        </w:p>
        <w:p w14:paraId="67575A73" w14:textId="77777777" w:rsidR="003A3CEF" w:rsidRDefault="003A3CEF" w:rsidP="003A3CEF">
          <w:pPr>
            <w:pStyle w:val="BodyText"/>
            <w:spacing w:before="80"/>
            <w:ind w:left="20"/>
          </w:pPr>
          <w:r>
            <w:t>Avaldatud reedel, 21. juunil 2024</w:t>
          </w:r>
        </w:p>
        <w:p w14:paraId="0AD9F43D" w14:textId="1D35E2BE" w:rsidR="003A3CEF" w:rsidRDefault="003A3CEF" w:rsidP="003A3CEF">
          <w:pPr>
            <w:pStyle w:val="BodyText"/>
            <w:spacing w:before="80"/>
            <w:ind w:left="20"/>
          </w:pPr>
          <w:r>
            <w:t>Ametlik väljaanne AT 21.6.2024 B10</w:t>
          </w:r>
        </w:p>
        <w:p w14:paraId="71DFAFDB" w14:textId="667B8453" w:rsidR="003A3CEF" w:rsidRPr="003A3CEF" w:rsidRDefault="003A3CEF" w:rsidP="003A3CEF">
          <w:pPr>
            <w:pStyle w:val="Header"/>
            <w:spacing w:before="80"/>
            <w:ind w:left="20"/>
            <w:rPr>
              <w:sz w:val="18"/>
              <w:szCs w:val="18"/>
            </w:rPr>
          </w:pPr>
          <w:r>
            <w:rPr>
              <w:sz w:val="18"/>
            </w:rPr>
            <w:t xml:space="preserve">Lk </w:t>
          </w:r>
          <w:r w:rsidRPr="003A3CEF">
            <w:rPr>
              <w:sz w:val="18"/>
            </w:rPr>
            <w:fldChar w:fldCharType="begin"/>
          </w:r>
          <w:r w:rsidRPr="003A3CEF">
            <w:rPr>
              <w:sz w:val="18"/>
            </w:rPr>
            <w:instrText xml:space="preserve"> PAGE </w:instrText>
          </w:r>
          <w:r w:rsidRPr="003A3CEF">
            <w:rPr>
              <w:sz w:val="18"/>
            </w:rPr>
            <w:fldChar w:fldCharType="separate"/>
          </w:r>
          <w:r w:rsidRPr="003A3CEF">
            <w:rPr>
              <w:sz w:val="18"/>
            </w:rPr>
            <w:t>1</w:t>
          </w:r>
          <w:r w:rsidRPr="003A3CEF">
            <w:rPr>
              <w:sz w:val="18"/>
            </w:rPr>
            <w:fldChar w:fldCharType="end"/>
          </w:r>
          <w:r>
            <w:t>/</w:t>
          </w:r>
          <w:r w:rsidRPr="003A3CEF">
            <w:rPr>
              <w:sz w:val="18"/>
            </w:rPr>
            <w:fldChar w:fldCharType="begin"/>
          </w:r>
          <w:r w:rsidRPr="003A3CEF">
            <w:rPr>
              <w:sz w:val="18"/>
            </w:rPr>
            <w:instrText xml:space="preserve"> NUMPAGES </w:instrText>
          </w:r>
          <w:r w:rsidRPr="003A3CEF">
            <w:rPr>
              <w:sz w:val="18"/>
            </w:rPr>
            <w:fldChar w:fldCharType="separate"/>
          </w:r>
          <w:r w:rsidRPr="003A3CEF">
            <w:rPr>
              <w:sz w:val="18"/>
            </w:rPr>
            <w:t>5</w:t>
          </w:r>
          <w:r w:rsidRPr="003A3CEF">
            <w:rPr>
              <w:sz w:val="18"/>
            </w:rPr>
            <w:fldChar w:fldCharType="end"/>
          </w:r>
        </w:p>
      </w:tc>
    </w:tr>
  </w:tbl>
  <w:p w14:paraId="03BD0224" w14:textId="53006803" w:rsidR="003A3CEF" w:rsidRDefault="003A3CEF">
    <w:pPr>
      <w:pStyle w:val="Header"/>
      <w:rPr>
        <w:lang w:val="el-GR"/>
      </w:rPr>
    </w:pPr>
  </w:p>
  <w:p w14:paraId="6FCCC019" w14:textId="77777777" w:rsidR="001D7495" w:rsidRPr="001D7495" w:rsidRDefault="001D7495">
    <w:pPr>
      <w:pStyle w:val="Header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AEE6" w14:textId="77777777" w:rsidR="00C532D2" w:rsidRDefault="00C53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62D4"/>
    <w:multiLevelType w:val="multilevel"/>
    <w:tmpl w:val="8D78D4DC"/>
    <w:lvl w:ilvl="0">
      <w:start w:val="3"/>
      <w:numFmt w:val="decimal"/>
      <w:lvlText w:val="%1"/>
      <w:lvlJc w:val="left"/>
      <w:pPr>
        <w:ind w:left="872" w:hanging="437"/>
      </w:pPr>
      <w:rPr>
        <w:rFonts w:hint="default"/>
        <w:lang w:val="de-DE" w:eastAsia="en-US" w:bidi="ar-SA"/>
      </w:rPr>
    </w:lvl>
    <w:lvl w:ilvl="1">
      <w:start w:val="3"/>
      <w:numFmt w:val="decimal"/>
      <w:lvlText w:val="%1.%2"/>
      <w:lvlJc w:val="left"/>
      <w:pPr>
        <w:ind w:left="872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>
      <w:numFmt w:val="bullet"/>
      <w:lvlText w:val="–"/>
      <w:lvlJc w:val="left"/>
      <w:pPr>
        <w:ind w:left="435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de-DE" w:eastAsia="en-US" w:bidi="ar-SA"/>
      </w:rPr>
    </w:lvl>
    <w:lvl w:ilvl="3">
      <w:numFmt w:val="bullet"/>
      <w:lvlText w:val="•"/>
      <w:lvlJc w:val="left"/>
      <w:pPr>
        <w:ind w:left="2875" w:hanging="171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873" w:hanging="171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871" w:hanging="171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68" w:hanging="17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866" w:hanging="17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864" w:hanging="171"/>
      </w:pPr>
      <w:rPr>
        <w:rFonts w:hint="default"/>
        <w:lang w:val="de-DE" w:eastAsia="en-US" w:bidi="ar-SA"/>
      </w:rPr>
    </w:lvl>
  </w:abstractNum>
  <w:abstractNum w:abstractNumId="1" w15:restartNumberingAfterBreak="0">
    <w:nsid w:val="3DA80D2F"/>
    <w:multiLevelType w:val="hybridMultilevel"/>
    <w:tmpl w:val="4C6C3028"/>
    <w:lvl w:ilvl="0" w:tplc="E57ED02E">
      <w:start w:val="1"/>
      <w:numFmt w:val="decimal"/>
      <w:lvlText w:val="%1."/>
      <w:lvlJc w:val="left"/>
      <w:pPr>
        <w:ind w:left="435" w:hanging="21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22405636">
      <w:start w:val="1"/>
      <w:numFmt w:val="lowerLetter"/>
      <w:lvlText w:val="%2)"/>
      <w:lvlJc w:val="left"/>
      <w:pPr>
        <w:ind w:left="676" w:hanging="21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 w:tplc="50727C02">
      <w:numFmt w:val="bullet"/>
      <w:lvlText w:val="•"/>
      <w:lvlJc w:val="left"/>
      <w:pPr>
        <w:ind w:left="1700" w:hanging="210"/>
      </w:pPr>
      <w:rPr>
        <w:rFonts w:hint="default"/>
        <w:lang w:val="de-DE" w:eastAsia="en-US" w:bidi="ar-SA"/>
      </w:rPr>
    </w:lvl>
    <w:lvl w:ilvl="3" w:tplc="E65A9F1C">
      <w:numFmt w:val="bullet"/>
      <w:lvlText w:val="•"/>
      <w:lvlJc w:val="left"/>
      <w:pPr>
        <w:ind w:left="2720" w:hanging="210"/>
      </w:pPr>
      <w:rPr>
        <w:rFonts w:hint="default"/>
        <w:lang w:val="de-DE" w:eastAsia="en-US" w:bidi="ar-SA"/>
      </w:rPr>
    </w:lvl>
    <w:lvl w:ilvl="4" w:tplc="67EE87A4">
      <w:numFmt w:val="bullet"/>
      <w:lvlText w:val="•"/>
      <w:lvlJc w:val="left"/>
      <w:pPr>
        <w:ind w:left="3740" w:hanging="210"/>
      </w:pPr>
      <w:rPr>
        <w:rFonts w:hint="default"/>
        <w:lang w:val="de-DE" w:eastAsia="en-US" w:bidi="ar-SA"/>
      </w:rPr>
    </w:lvl>
    <w:lvl w:ilvl="5" w:tplc="18783AEE">
      <w:numFmt w:val="bullet"/>
      <w:lvlText w:val="•"/>
      <w:lvlJc w:val="left"/>
      <w:pPr>
        <w:ind w:left="4760" w:hanging="210"/>
      </w:pPr>
      <w:rPr>
        <w:rFonts w:hint="default"/>
        <w:lang w:val="de-DE" w:eastAsia="en-US" w:bidi="ar-SA"/>
      </w:rPr>
    </w:lvl>
    <w:lvl w:ilvl="6" w:tplc="0B6CA01E">
      <w:numFmt w:val="bullet"/>
      <w:lvlText w:val="•"/>
      <w:lvlJc w:val="left"/>
      <w:pPr>
        <w:ind w:left="5780" w:hanging="210"/>
      </w:pPr>
      <w:rPr>
        <w:rFonts w:hint="default"/>
        <w:lang w:val="de-DE" w:eastAsia="en-US" w:bidi="ar-SA"/>
      </w:rPr>
    </w:lvl>
    <w:lvl w:ilvl="7" w:tplc="1A1E2FF6">
      <w:numFmt w:val="bullet"/>
      <w:lvlText w:val="•"/>
      <w:lvlJc w:val="left"/>
      <w:pPr>
        <w:ind w:left="6800" w:hanging="210"/>
      </w:pPr>
      <w:rPr>
        <w:rFonts w:hint="default"/>
        <w:lang w:val="de-DE" w:eastAsia="en-US" w:bidi="ar-SA"/>
      </w:rPr>
    </w:lvl>
    <w:lvl w:ilvl="8" w:tplc="758877D6">
      <w:numFmt w:val="bullet"/>
      <w:lvlText w:val="•"/>
      <w:lvlJc w:val="left"/>
      <w:pPr>
        <w:ind w:left="7820" w:hanging="210"/>
      </w:pPr>
      <w:rPr>
        <w:rFonts w:hint="default"/>
        <w:lang w:val="de-DE" w:eastAsia="en-US" w:bidi="ar-SA"/>
      </w:rPr>
    </w:lvl>
  </w:abstractNum>
  <w:abstractNum w:abstractNumId="2" w15:restartNumberingAfterBreak="0">
    <w:nsid w:val="6B1675B8"/>
    <w:multiLevelType w:val="hybridMultilevel"/>
    <w:tmpl w:val="C8E23D2C"/>
    <w:lvl w:ilvl="0" w:tplc="1ED64018">
      <w:numFmt w:val="bullet"/>
      <w:lvlText w:val="–"/>
      <w:lvlJc w:val="left"/>
      <w:pPr>
        <w:ind w:left="635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de-DE" w:eastAsia="en-US" w:bidi="ar-SA"/>
      </w:rPr>
    </w:lvl>
    <w:lvl w:ilvl="1" w:tplc="6BE220CC">
      <w:numFmt w:val="bullet"/>
      <w:lvlText w:val="•"/>
      <w:lvlJc w:val="left"/>
      <w:pPr>
        <w:ind w:left="1562" w:hanging="171"/>
      </w:pPr>
      <w:rPr>
        <w:rFonts w:hint="default"/>
        <w:lang w:val="de-DE" w:eastAsia="en-US" w:bidi="ar-SA"/>
      </w:rPr>
    </w:lvl>
    <w:lvl w:ilvl="2" w:tplc="742C4D00">
      <w:numFmt w:val="bullet"/>
      <w:lvlText w:val="•"/>
      <w:lvlJc w:val="left"/>
      <w:pPr>
        <w:ind w:left="2484" w:hanging="171"/>
      </w:pPr>
      <w:rPr>
        <w:rFonts w:hint="default"/>
        <w:lang w:val="de-DE" w:eastAsia="en-US" w:bidi="ar-SA"/>
      </w:rPr>
    </w:lvl>
    <w:lvl w:ilvl="3" w:tplc="51269CF8">
      <w:numFmt w:val="bullet"/>
      <w:lvlText w:val="•"/>
      <w:lvlJc w:val="left"/>
      <w:pPr>
        <w:ind w:left="3406" w:hanging="171"/>
      </w:pPr>
      <w:rPr>
        <w:rFonts w:hint="default"/>
        <w:lang w:val="de-DE" w:eastAsia="en-US" w:bidi="ar-SA"/>
      </w:rPr>
    </w:lvl>
    <w:lvl w:ilvl="4" w:tplc="6A7CA634">
      <w:numFmt w:val="bullet"/>
      <w:lvlText w:val="•"/>
      <w:lvlJc w:val="left"/>
      <w:pPr>
        <w:ind w:left="4328" w:hanging="171"/>
      </w:pPr>
      <w:rPr>
        <w:rFonts w:hint="default"/>
        <w:lang w:val="de-DE" w:eastAsia="en-US" w:bidi="ar-SA"/>
      </w:rPr>
    </w:lvl>
    <w:lvl w:ilvl="5" w:tplc="BDFE6214">
      <w:numFmt w:val="bullet"/>
      <w:lvlText w:val="•"/>
      <w:lvlJc w:val="left"/>
      <w:pPr>
        <w:ind w:left="5250" w:hanging="171"/>
      </w:pPr>
      <w:rPr>
        <w:rFonts w:hint="default"/>
        <w:lang w:val="de-DE" w:eastAsia="en-US" w:bidi="ar-SA"/>
      </w:rPr>
    </w:lvl>
    <w:lvl w:ilvl="6" w:tplc="064E1954">
      <w:numFmt w:val="bullet"/>
      <w:lvlText w:val="•"/>
      <w:lvlJc w:val="left"/>
      <w:pPr>
        <w:ind w:left="6172" w:hanging="171"/>
      </w:pPr>
      <w:rPr>
        <w:rFonts w:hint="default"/>
        <w:lang w:val="de-DE" w:eastAsia="en-US" w:bidi="ar-SA"/>
      </w:rPr>
    </w:lvl>
    <w:lvl w:ilvl="7" w:tplc="15B05AF8">
      <w:numFmt w:val="bullet"/>
      <w:lvlText w:val="•"/>
      <w:lvlJc w:val="left"/>
      <w:pPr>
        <w:ind w:left="7094" w:hanging="171"/>
      </w:pPr>
      <w:rPr>
        <w:rFonts w:hint="default"/>
        <w:lang w:val="de-DE" w:eastAsia="en-US" w:bidi="ar-SA"/>
      </w:rPr>
    </w:lvl>
    <w:lvl w:ilvl="8" w:tplc="72E66C16">
      <w:numFmt w:val="bullet"/>
      <w:lvlText w:val="•"/>
      <w:lvlJc w:val="left"/>
      <w:pPr>
        <w:ind w:left="8016" w:hanging="171"/>
      </w:pPr>
      <w:rPr>
        <w:rFonts w:hint="default"/>
        <w:lang w:val="de-DE" w:eastAsia="en-US" w:bidi="ar-SA"/>
      </w:rPr>
    </w:lvl>
  </w:abstractNum>
  <w:abstractNum w:abstractNumId="3" w15:restartNumberingAfterBreak="0">
    <w:nsid w:val="78BC127D"/>
    <w:multiLevelType w:val="multilevel"/>
    <w:tmpl w:val="E1062E72"/>
    <w:lvl w:ilvl="0">
      <w:start w:val="2"/>
      <w:numFmt w:val="decimal"/>
      <w:lvlText w:val="%1"/>
      <w:lvlJc w:val="left"/>
      <w:pPr>
        <w:ind w:left="872" w:hanging="437"/>
      </w:pPr>
      <w:rPr>
        <w:rFonts w:hint="default"/>
        <w:lang w:val="de-DE" w:eastAsia="en-US" w:bidi="ar-SA"/>
      </w:rPr>
    </w:lvl>
    <w:lvl w:ilvl="1">
      <w:start w:val="8"/>
      <w:numFmt w:val="decimal"/>
      <w:lvlText w:val="%1.%2"/>
      <w:lvlJc w:val="left"/>
      <w:pPr>
        <w:ind w:left="872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435" w:hanging="59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3">
      <w:start w:val="1"/>
      <w:numFmt w:val="decimal"/>
      <w:lvlText w:val="%1.%2.%3.%4"/>
      <w:lvlJc w:val="left"/>
      <w:pPr>
        <w:ind w:left="1180" w:hanging="7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4">
      <w:numFmt w:val="bullet"/>
      <w:lvlText w:val="•"/>
      <w:lvlJc w:val="left"/>
      <w:pPr>
        <w:ind w:left="3350" w:hanging="745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435" w:hanging="745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520" w:hanging="745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605" w:hanging="745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90" w:hanging="745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A2"/>
    <w:rsid w:val="001D7495"/>
    <w:rsid w:val="00305C85"/>
    <w:rsid w:val="00326838"/>
    <w:rsid w:val="003A3CEF"/>
    <w:rsid w:val="00634AF4"/>
    <w:rsid w:val="00693F62"/>
    <w:rsid w:val="007B018D"/>
    <w:rsid w:val="00952699"/>
    <w:rsid w:val="00BB11D9"/>
    <w:rsid w:val="00C532D2"/>
    <w:rsid w:val="00C752E8"/>
    <w:rsid w:val="00D21EA2"/>
    <w:rsid w:val="00E3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55ED2"/>
  <w15:docId w15:val="{D3A56BFC-1EE2-494A-9528-2E355F43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CE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5"/>
      <w:ind w:left="435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5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82"/>
      <w:ind w:left="435" w:hanging="17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C75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2E8"/>
    <w:rPr>
      <w:rFonts w:ascii="Arial" w:eastAsia="Arial" w:hAnsi="Arial" w:cs="Arial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C75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2E8"/>
    <w:rPr>
      <w:rFonts w:ascii="Arial" w:eastAsia="Arial" w:hAnsi="Arial" w:cs="Arial"/>
      <w:lang w:val="et-EE"/>
    </w:rPr>
  </w:style>
  <w:style w:type="table" w:styleId="TableGrid">
    <w:name w:val="Table Grid"/>
    <w:basedOn w:val="TableNormal"/>
    <w:uiPriority w:val="39"/>
    <w:rsid w:val="00C7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52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2E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52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2E8"/>
    <w:rPr>
      <w:rFonts w:ascii="Arial" w:eastAsia="Arial" w:hAnsi="Arial" w:cs="Arial"/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C752E8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CEF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3A3CEF"/>
    <w:rPr>
      <w:rFonts w:ascii="Arial" w:eastAsia="Arial" w:hAnsi="Arial" w:cs="Arial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ndesanzeiger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5B74-6FA0-4FD8-A0B2-24BF0B18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7056</Characters>
  <Application>Microsoft Office Word</Application>
  <DocSecurity>0</DocSecurity>
  <Lines>235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Efraimsson</dc:creator>
  <cp:keywords>class='Internal'</cp:keywords>
  <cp:lastModifiedBy>Ragnhild Efraimsson</cp:lastModifiedBy>
  <cp:revision>2</cp:revision>
  <dcterms:created xsi:type="dcterms:W3CDTF">2024-07-24T13:18:00Z</dcterms:created>
  <dcterms:modified xsi:type="dcterms:W3CDTF">2024-07-24T13:18:00Z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Producer">
    <vt:lpwstr>PStill Engine 1.90</vt:lpwstr>
  </property>
  <property fmtid="{D5CDD505-2E9C-101B-9397-08002B2CF9AE}" pid="4" name="LastSaved">
    <vt:filetime>2024-06-21T00:00:00Z</vt:filetime>
  </property>
</Properties>
</file>