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60B1F" w14:textId="77777777" w:rsidR="00D21EA2" w:rsidRPr="003A3CEF" w:rsidRDefault="00D21EA2">
      <w:pPr>
        <w:pStyle w:val="BodyText"/>
        <w:spacing w:before="61"/>
        <w:ind w:left="0"/>
        <w:rPr>
          <w:sz w:val="28"/>
        </w:rPr>
      </w:pPr>
    </w:p>
    <w:p w14:paraId="495570D7" w14:textId="77777777" w:rsidR="00D21EA2" w:rsidRPr="003A3CEF" w:rsidRDefault="00515E5D">
      <w:pPr>
        <w:spacing w:before="1"/>
        <w:ind w:left="1691" w:right="1686"/>
        <w:jc w:val="center"/>
        <w:rPr>
          <w:b/>
          <w:sz w:val="28"/>
        </w:rPr>
      </w:pPr>
      <w:r>
        <w:rPr>
          <w:b/>
          <w:sz w:val="28"/>
        </w:rPr>
        <w:t>Federaal milieu-agentschap</w:t>
      </w:r>
    </w:p>
    <w:p w14:paraId="6DD6B401" w14:textId="77777777" w:rsidR="00D21EA2" w:rsidRPr="003A3CEF" w:rsidRDefault="00D21EA2">
      <w:pPr>
        <w:pStyle w:val="BodyText"/>
        <w:spacing w:before="107"/>
        <w:ind w:left="0"/>
        <w:rPr>
          <w:b/>
          <w:sz w:val="28"/>
        </w:rPr>
      </w:pPr>
    </w:p>
    <w:p w14:paraId="6F078E37" w14:textId="4BD687E2" w:rsidR="00D21EA2" w:rsidRPr="003A3CEF" w:rsidRDefault="00515E5D" w:rsidP="00C752E8">
      <w:pPr>
        <w:spacing w:before="1" w:line="225" w:lineRule="exact"/>
        <w:ind w:left="1691" w:right="1687"/>
        <w:jc w:val="center"/>
        <w:rPr>
          <w:b/>
          <w:bCs/>
          <w:sz w:val="20"/>
        </w:rPr>
      </w:pPr>
      <w:r>
        <w:rPr>
          <w:b/>
          <w:sz w:val="20"/>
        </w:rPr>
        <w:t>Vierde wijziging</w:t>
      </w:r>
      <w:r>
        <w:rPr>
          <w:b/>
          <w:sz w:val="20"/>
        </w:rPr>
        <w:br/>
        <w:t>van de herschikte kennisgeving</w:t>
      </w:r>
      <w:r>
        <w:rPr>
          <w:b/>
          <w:sz w:val="20"/>
        </w:rPr>
        <w:br/>
        <w:t>van de belastinggrondslag</w:t>
      </w:r>
      <w:r>
        <w:rPr>
          <w:b/>
          <w:sz w:val="20"/>
        </w:rPr>
        <w:br/>
        <w:t>voor metallische materialen die in contact komen</w:t>
      </w:r>
      <w:r>
        <w:rPr>
          <w:b/>
          <w:sz w:val="20"/>
        </w:rPr>
        <w:br/>
        <w:t>met drinkwater</w:t>
      </w:r>
    </w:p>
    <w:p w14:paraId="0FE7CF9E" w14:textId="3A56FB14" w:rsidR="00D21EA2" w:rsidRPr="003A3CEF" w:rsidRDefault="00515E5D">
      <w:pPr>
        <w:spacing w:line="221" w:lineRule="exact"/>
        <w:ind w:left="1691" w:right="1685"/>
        <w:jc w:val="center"/>
        <w:rPr>
          <w:b/>
          <w:bCs/>
          <w:sz w:val="20"/>
        </w:rPr>
      </w:pPr>
      <w:r>
        <w:rPr>
          <w:b/>
          <w:sz w:val="20"/>
        </w:rPr>
        <w:t>(Grondslag voor de beoordeling van metalen)</w:t>
      </w:r>
      <w:r w:rsidR="00C752E8" w:rsidRPr="003A3CEF">
        <w:rPr>
          <w:rStyle w:val="FootnoteReference"/>
          <w:b/>
          <w:bCs/>
          <w:sz w:val="20"/>
        </w:rPr>
        <w:footnoteReference w:id="1"/>
      </w:r>
      <w:r>
        <w:rPr>
          <w:b/>
          <w:sz w:val="20"/>
          <w:vertAlign w:val="superscript"/>
        </w:rPr>
        <w:t xml:space="preserve">, </w:t>
      </w:r>
      <w:r w:rsidR="00C752E8" w:rsidRPr="003A3CEF">
        <w:rPr>
          <w:rStyle w:val="FootnoteReference"/>
          <w:b/>
          <w:bCs/>
          <w:sz w:val="20"/>
        </w:rPr>
        <w:footnoteReference w:id="2"/>
      </w:r>
    </w:p>
    <w:p w14:paraId="4B1488C9" w14:textId="77777777" w:rsidR="00D21EA2" w:rsidRPr="003A3CEF" w:rsidRDefault="00515E5D">
      <w:pPr>
        <w:pStyle w:val="BodyText"/>
        <w:spacing w:before="221"/>
        <w:ind w:left="1691" w:right="1686"/>
        <w:jc w:val="center"/>
      </w:pPr>
      <w:r>
        <w:t>Gedateerd 10 juni 2024</w:t>
      </w:r>
    </w:p>
    <w:p w14:paraId="6DD05D2F" w14:textId="77777777" w:rsidR="00D21EA2" w:rsidRPr="003A3CEF" w:rsidRDefault="00D21EA2">
      <w:pPr>
        <w:pStyle w:val="BodyText"/>
        <w:spacing w:before="17"/>
        <w:ind w:left="0"/>
      </w:pPr>
    </w:p>
    <w:p w14:paraId="6D93CFEE" w14:textId="77777777" w:rsidR="00D21EA2" w:rsidRPr="003A3CEF" w:rsidRDefault="00515E5D">
      <w:pPr>
        <w:pStyle w:val="BodyText"/>
        <w:spacing w:before="0"/>
        <w:ind w:left="1691" w:right="1687"/>
        <w:jc w:val="center"/>
      </w:pPr>
      <w:r>
        <w:t>I.</w:t>
      </w:r>
    </w:p>
    <w:p w14:paraId="5A9CC10A" w14:textId="77777777" w:rsidR="00D21EA2" w:rsidRPr="003A3CEF" w:rsidRDefault="00515E5D">
      <w:pPr>
        <w:pStyle w:val="BodyText"/>
        <w:ind w:left="4433"/>
      </w:pPr>
      <w:r>
        <w:t>Wijzigingen</w:t>
      </w:r>
    </w:p>
    <w:p w14:paraId="4AA685E8" w14:textId="77777777" w:rsidR="00D21EA2" w:rsidRPr="003A3CEF" w:rsidRDefault="00515E5D">
      <w:pPr>
        <w:pStyle w:val="ListParagraph"/>
        <w:numPr>
          <w:ilvl w:val="0"/>
          <w:numId w:val="4"/>
        </w:numPr>
        <w:tabs>
          <w:tab w:val="left" w:pos="435"/>
        </w:tabs>
        <w:spacing w:before="75"/>
        <w:ind w:hanging="216"/>
        <w:jc w:val="left"/>
        <w:rPr>
          <w:sz w:val="18"/>
        </w:rPr>
      </w:pPr>
      <w:r>
        <w:rPr>
          <w:sz w:val="18"/>
        </w:rPr>
        <w:t>In punt 1 wordt de eerste alinea vervangen door:</w:t>
      </w:r>
    </w:p>
    <w:p w14:paraId="55EF1C5A" w14:textId="7C931817" w:rsidR="00D21EA2" w:rsidRPr="003A3CEF" w:rsidRDefault="00515E5D" w:rsidP="003A3CEF">
      <w:pPr>
        <w:pStyle w:val="BodyText"/>
        <w:spacing w:line="252" w:lineRule="auto"/>
      </w:pPr>
      <w:r>
        <w:t>Stoffen en materialen die worden gebruikt voor de renovatie of het onderhoud van installaties voor de productie, behandeling of distributie van drinkwater, die in contact komen met drinkwater, mogen overeenkomstig § 14 van de drinkwaterverordening (TrinkwV</w:t>
      </w:r>
      <w:r>
        <w:t>) niet</w:t>
      </w:r>
    </w:p>
    <w:p w14:paraId="511F9DCF" w14:textId="77777777" w:rsidR="00D21EA2" w:rsidRPr="003A3CEF" w:rsidRDefault="00515E5D">
      <w:pPr>
        <w:pStyle w:val="ListParagraph"/>
        <w:numPr>
          <w:ilvl w:val="1"/>
          <w:numId w:val="4"/>
        </w:numPr>
        <w:tabs>
          <w:tab w:val="left" w:pos="675"/>
        </w:tabs>
        <w:spacing w:before="75"/>
        <w:ind w:left="675" w:hanging="209"/>
        <w:rPr>
          <w:sz w:val="18"/>
        </w:rPr>
      </w:pPr>
      <w:r>
        <w:rPr>
          <w:sz w:val="18"/>
        </w:rPr>
        <w:t>de beoogde bescherming van de menselijke gezondheid, direct of indirect, verminderen;</w:t>
      </w:r>
    </w:p>
    <w:p w14:paraId="44F5E45E" w14:textId="77777777" w:rsidR="00D21EA2" w:rsidRPr="003A3CEF" w:rsidRDefault="00515E5D">
      <w:pPr>
        <w:pStyle w:val="ListParagraph"/>
        <w:numPr>
          <w:ilvl w:val="1"/>
          <w:numId w:val="4"/>
        </w:numPr>
        <w:tabs>
          <w:tab w:val="left" w:pos="675"/>
        </w:tabs>
        <w:spacing w:before="75"/>
        <w:ind w:left="675" w:hanging="219"/>
        <w:rPr>
          <w:sz w:val="18"/>
        </w:rPr>
      </w:pPr>
      <w:r>
        <w:rPr>
          <w:sz w:val="18"/>
        </w:rPr>
        <w:t>de kleur, de geur of de smaak van het water aantasten;</w:t>
      </w:r>
    </w:p>
    <w:p w14:paraId="2846BFA5" w14:textId="77777777" w:rsidR="00D21EA2" w:rsidRPr="003A3CEF" w:rsidRDefault="00515E5D">
      <w:pPr>
        <w:pStyle w:val="ListParagraph"/>
        <w:numPr>
          <w:ilvl w:val="1"/>
          <w:numId w:val="4"/>
        </w:numPr>
        <w:tabs>
          <w:tab w:val="left" w:pos="675"/>
        </w:tabs>
        <w:spacing w:before="76"/>
        <w:ind w:left="675" w:hanging="209"/>
        <w:rPr>
          <w:sz w:val="18"/>
        </w:rPr>
      </w:pPr>
      <w:r>
        <w:rPr>
          <w:sz w:val="18"/>
        </w:rPr>
        <w:t>de verspreiding van micro-organismen bevorderen; of</w:t>
      </w:r>
    </w:p>
    <w:p w14:paraId="3D32DA15" w14:textId="77777777" w:rsidR="00D21EA2" w:rsidRPr="003A3CEF" w:rsidRDefault="00515E5D">
      <w:pPr>
        <w:pStyle w:val="ListParagraph"/>
        <w:numPr>
          <w:ilvl w:val="1"/>
          <w:numId w:val="4"/>
        </w:numPr>
        <w:tabs>
          <w:tab w:val="left" w:pos="676"/>
        </w:tabs>
        <w:spacing w:before="75" w:line="249" w:lineRule="auto"/>
        <w:ind w:right="106" w:hanging="220"/>
        <w:rPr>
          <w:sz w:val="18"/>
        </w:rPr>
      </w:pPr>
      <w:r>
        <w:rPr>
          <w:sz w:val="18"/>
        </w:rPr>
        <w:t>stoffen in grotere hoeveelheden in het water afgeven dan</w:t>
      </w:r>
      <w:r>
        <w:rPr>
          <w:sz w:val="18"/>
        </w:rPr>
        <w:t xml:space="preserve"> onvermijdelijk is als ze voldoen aan de algemeen aanvaarde technologieregels.</w:t>
      </w:r>
    </w:p>
    <w:p w14:paraId="62E539DC" w14:textId="77777777" w:rsidR="00D21EA2" w:rsidRPr="003A3CEF" w:rsidRDefault="00515E5D">
      <w:pPr>
        <w:pStyle w:val="ListParagraph"/>
        <w:numPr>
          <w:ilvl w:val="0"/>
          <w:numId w:val="4"/>
        </w:numPr>
        <w:tabs>
          <w:tab w:val="left" w:pos="435"/>
        </w:tabs>
        <w:spacing w:before="67"/>
        <w:ind w:hanging="216"/>
        <w:jc w:val="left"/>
        <w:rPr>
          <w:sz w:val="18"/>
        </w:rPr>
      </w:pPr>
      <w:r>
        <w:rPr>
          <w:sz w:val="18"/>
        </w:rPr>
        <w:t>In punt 1 wordt de tweede alinea vervangen door:</w:t>
      </w:r>
    </w:p>
    <w:p w14:paraId="0EE98BC9" w14:textId="77777777" w:rsidR="00D21EA2" w:rsidRPr="003A3CEF" w:rsidRDefault="00515E5D">
      <w:pPr>
        <w:pStyle w:val="BodyText"/>
        <w:spacing w:before="76" w:line="249" w:lineRule="auto"/>
      </w:pPr>
      <w:r>
        <w:t>De onderhavige beoordelingsgrondslag op grond van § 15, lid 1, van de drinkwaterverordening specificeert de bovengenoemde algemene hygiënevoorschriften voor metalen materialen die in het toepassingsgebied zijn vermeld.</w:t>
      </w:r>
    </w:p>
    <w:p w14:paraId="30A44FD9" w14:textId="77777777" w:rsidR="00D21EA2" w:rsidRPr="003A3CEF" w:rsidRDefault="00515E5D">
      <w:pPr>
        <w:pStyle w:val="ListParagraph"/>
        <w:numPr>
          <w:ilvl w:val="0"/>
          <w:numId w:val="4"/>
        </w:numPr>
        <w:tabs>
          <w:tab w:val="left" w:pos="435"/>
        </w:tabs>
        <w:spacing w:before="67"/>
        <w:ind w:hanging="216"/>
        <w:jc w:val="left"/>
        <w:rPr>
          <w:sz w:val="18"/>
        </w:rPr>
      </w:pPr>
      <w:r>
        <w:rPr>
          <w:sz w:val="18"/>
        </w:rPr>
        <w:t xml:space="preserve">In punt 1 wordt de eerste zin van de </w:t>
      </w:r>
      <w:r>
        <w:rPr>
          <w:sz w:val="18"/>
        </w:rPr>
        <w:t>derde alinea vervangen door de volgende zin:</w:t>
      </w:r>
    </w:p>
    <w:p w14:paraId="2A9809A8" w14:textId="77777777" w:rsidR="00D21EA2" w:rsidRPr="003A3CEF" w:rsidRDefault="00515E5D">
      <w:pPr>
        <w:pStyle w:val="BodyText"/>
        <w:spacing w:line="249" w:lineRule="auto"/>
      </w:pPr>
      <w:r>
        <w:t>De beoordelingsgrondslag bevat als bijlage een definitieve positieve lijst (§ 15, lid 3, punt 3, van de drinkwaterverordening) van metalen materialen.</w:t>
      </w:r>
    </w:p>
    <w:p w14:paraId="25B732FF" w14:textId="77777777" w:rsidR="00D21EA2" w:rsidRPr="003A3CEF" w:rsidRDefault="00515E5D">
      <w:pPr>
        <w:pStyle w:val="ListParagraph"/>
        <w:numPr>
          <w:ilvl w:val="0"/>
          <w:numId w:val="4"/>
        </w:numPr>
        <w:tabs>
          <w:tab w:val="left" w:pos="435"/>
        </w:tabs>
        <w:spacing w:before="67"/>
        <w:ind w:hanging="216"/>
        <w:jc w:val="left"/>
        <w:rPr>
          <w:sz w:val="18"/>
        </w:rPr>
      </w:pPr>
      <w:r>
        <w:rPr>
          <w:sz w:val="18"/>
        </w:rPr>
        <w:t>In punt 1 wordt de eerste zin van de vierde alinea vervangen</w:t>
      </w:r>
      <w:r>
        <w:rPr>
          <w:sz w:val="18"/>
        </w:rPr>
        <w:t xml:space="preserve"> door de volgende zin:</w:t>
      </w:r>
    </w:p>
    <w:p w14:paraId="002C26A0" w14:textId="5F4C4828" w:rsidR="00D21EA2" w:rsidRPr="003A3CEF" w:rsidRDefault="00515E5D">
      <w:pPr>
        <w:pStyle w:val="BodyText"/>
        <w:spacing w:before="76" w:line="252" w:lineRule="auto"/>
      </w:pPr>
      <w:r>
        <w:t>De fabrikanten van producten die in contact komen met drinkwater moeten verklaren of hun producten voldoen aan de eisen van de beoordelingsprincipes overeenkomstig § 15 van de drinkwaterverordening.</w:t>
      </w:r>
    </w:p>
    <w:p w14:paraId="38D26E44" w14:textId="77777777" w:rsidR="00D21EA2" w:rsidRPr="003A3CEF" w:rsidRDefault="00515E5D">
      <w:pPr>
        <w:pStyle w:val="ListParagraph"/>
        <w:numPr>
          <w:ilvl w:val="0"/>
          <w:numId w:val="4"/>
        </w:numPr>
        <w:tabs>
          <w:tab w:val="left" w:pos="435"/>
        </w:tabs>
        <w:spacing w:before="63"/>
        <w:ind w:hanging="216"/>
        <w:jc w:val="left"/>
        <w:rPr>
          <w:sz w:val="18"/>
        </w:rPr>
      </w:pPr>
      <w:r>
        <w:rPr>
          <w:sz w:val="18"/>
        </w:rPr>
        <w:t xml:space="preserve">In punt 1 wordt de eerste zin van </w:t>
      </w:r>
      <w:r>
        <w:rPr>
          <w:sz w:val="18"/>
        </w:rPr>
        <w:t>de zesde alinea vervangen door de volgende zin:</w:t>
      </w:r>
    </w:p>
    <w:p w14:paraId="7BDCEBA3" w14:textId="77777777" w:rsidR="00D21EA2" w:rsidRPr="003A3CEF" w:rsidRDefault="00515E5D">
      <w:pPr>
        <w:pStyle w:val="BodyText"/>
        <w:spacing w:line="252" w:lineRule="auto"/>
        <w:ind w:right="124"/>
      </w:pPr>
      <w:r>
        <w:t>Op grond van § 15, lid 2, punt 2, van de drinkwaterverordening geldt de beoordelingsgrondslag gedurende twee jaar na de publicatie ervan (d.w.z. vanaf 10 april 2017).</w:t>
      </w:r>
    </w:p>
    <w:p w14:paraId="6548B8A2" w14:textId="77777777" w:rsidR="00D21EA2" w:rsidRPr="003A3CEF" w:rsidRDefault="00515E5D">
      <w:pPr>
        <w:pStyle w:val="ListParagraph"/>
        <w:numPr>
          <w:ilvl w:val="0"/>
          <w:numId w:val="4"/>
        </w:numPr>
        <w:tabs>
          <w:tab w:val="left" w:pos="435"/>
        </w:tabs>
        <w:spacing w:before="65"/>
        <w:ind w:hanging="216"/>
        <w:jc w:val="left"/>
        <w:rPr>
          <w:sz w:val="18"/>
        </w:rPr>
      </w:pPr>
      <w:r>
        <w:rPr>
          <w:sz w:val="18"/>
        </w:rPr>
        <w:t>In punt 1 wordt de vierde zin van de zesd</w:t>
      </w:r>
      <w:r>
        <w:rPr>
          <w:sz w:val="18"/>
        </w:rPr>
        <w:t>e alinea vervangen door de volgende zin:</w:t>
      </w:r>
    </w:p>
    <w:p w14:paraId="31E018C3" w14:textId="1CCA6340" w:rsidR="00D21EA2" w:rsidRPr="003A3CEF" w:rsidRDefault="00515E5D">
      <w:pPr>
        <w:pStyle w:val="BodyText"/>
        <w:spacing w:before="74" w:line="249" w:lineRule="auto"/>
        <w:ind w:right="106"/>
        <w:jc w:val="both"/>
      </w:pPr>
      <w:r>
        <w:t xml:space="preserve">Vanaf die datum zorgen de waterleidingbedrijven ervoor dat, overeenkomstig § 13, lid 2, van de drinkwaterverordening, voor de bouw of het onderhoud van drinkwaterinstallaties alleen metalen worden gebruikt die zijn </w:t>
      </w:r>
      <w:r>
        <w:t>opgenomen in de positieve lijst van metalen materialen die geschikt zijn voor drinkwaterhygiëne, rekening houdend met de beperkingen (productgroepen of gebruik met bepaald drinkwater) in deze beoordelingsgrondslag.</w:t>
      </w:r>
    </w:p>
    <w:p w14:paraId="7D22B89E" w14:textId="77777777" w:rsidR="00D21EA2" w:rsidRPr="003A3CEF" w:rsidRDefault="00515E5D">
      <w:pPr>
        <w:pStyle w:val="ListParagraph"/>
        <w:numPr>
          <w:ilvl w:val="0"/>
          <w:numId w:val="4"/>
        </w:numPr>
        <w:tabs>
          <w:tab w:val="left" w:pos="435"/>
        </w:tabs>
        <w:spacing w:before="71"/>
        <w:ind w:hanging="216"/>
        <w:jc w:val="both"/>
        <w:rPr>
          <w:sz w:val="18"/>
        </w:rPr>
      </w:pPr>
      <w:r>
        <w:rPr>
          <w:sz w:val="18"/>
        </w:rPr>
        <w:t>In punt 1 wordt de achtste alinea vervang</w:t>
      </w:r>
      <w:r>
        <w:rPr>
          <w:sz w:val="18"/>
        </w:rPr>
        <w:t>en door:</w:t>
      </w:r>
    </w:p>
    <w:p w14:paraId="3811860D" w14:textId="77777777" w:rsidR="00D21EA2" w:rsidRPr="003A3CEF" w:rsidRDefault="00515E5D">
      <w:pPr>
        <w:pStyle w:val="BodyText"/>
        <w:spacing w:line="249" w:lineRule="auto"/>
        <w:ind w:right="106"/>
        <w:jc w:val="both"/>
      </w:pPr>
      <w:r>
        <w:t>Op grond van de herziene drinkwaterrichtlijn (Richtlijn (EU) 2020/2184) worden in de toekomst uniforme vereisten gesteld die in heel Europa gelden voor materialen die in contact komen met drinkwater. Deze regels komen in de plaats van de huidige b</w:t>
      </w:r>
      <w:r>
        <w:t>eoordelingsgrondslag.</w:t>
      </w:r>
    </w:p>
    <w:p w14:paraId="135075EB" w14:textId="77777777" w:rsidR="00D21EA2" w:rsidRPr="003A3CEF" w:rsidRDefault="00515E5D">
      <w:pPr>
        <w:pStyle w:val="ListParagraph"/>
        <w:numPr>
          <w:ilvl w:val="0"/>
          <w:numId w:val="4"/>
        </w:numPr>
        <w:tabs>
          <w:tab w:val="left" w:pos="435"/>
        </w:tabs>
        <w:spacing w:before="68"/>
        <w:ind w:hanging="216"/>
        <w:jc w:val="both"/>
        <w:rPr>
          <w:sz w:val="18"/>
        </w:rPr>
      </w:pPr>
      <w:r>
        <w:rPr>
          <w:sz w:val="18"/>
        </w:rPr>
        <w:t>In punt 3.2.1 wordt de voorlaatste zin vervangen door de volgende zin:</w:t>
      </w:r>
    </w:p>
    <w:p w14:paraId="10C88001" w14:textId="77777777" w:rsidR="00D21EA2" w:rsidRPr="003A3CEF" w:rsidRDefault="00515E5D">
      <w:pPr>
        <w:pStyle w:val="BodyText"/>
        <w:spacing w:line="252" w:lineRule="auto"/>
        <w:ind w:right="106"/>
        <w:jc w:val="both"/>
      </w:pPr>
      <w:r>
        <w:t>Adequaat beoordeelde coatings zijn opgenomen in de positieve lijst van metalen materialen die geschikt zijn voor drinkwaterhygiëne (zie bijlage 3 Coatings).</w:t>
      </w:r>
    </w:p>
    <w:p w14:paraId="76E372B6" w14:textId="77777777" w:rsidR="00D21EA2" w:rsidRPr="003A3CEF" w:rsidRDefault="00515E5D">
      <w:pPr>
        <w:pStyle w:val="ListParagraph"/>
        <w:numPr>
          <w:ilvl w:val="0"/>
          <w:numId w:val="4"/>
        </w:numPr>
        <w:tabs>
          <w:tab w:val="left" w:pos="435"/>
        </w:tabs>
        <w:spacing w:before="64"/>
        <w:ind w:hanging="216"/>
        <w:jc w:val="both"/>
        <w:rPr>
          <w:sz w:val="18"/>
        </w:rPr>
      </w:pPr>
      <w:r>
        <w:rPr>
          <w:sz w:val="18"/>
        </w:rPr>
        <w:t>In punt 5.1 wordt de eerste zin van de eerste alinea vervangen door de volgende zin:</w:t>
      </w:r>
    </w:p>
    <w:p w14:paraId="0EB4B3D8" w14:textId="77777777" w:rsidR="00D21EA2" w:rsidRPr="003A3CEF" w:rsidRDefault="00515E5D">
      <w:pPr>
        <w:pStyle w:val="BodyText"/>
        <w:spacing w:line="252" w:lineRule="auto"/>
        <w:ind w:right="106"/>
        <w:jc w:val="both"/>
      </w:pPr>
      <w:r>
        <w:t>De UBA evalueert metalen materialen op aanvraag (§ 15, lid 5, van de drinkwaterverordening) van een fabrikant of vereniging („verzoeker”).</w:t>
      </w:r>
    </w:p>
    <w:p w14:paraId="45642588" w14:textId="77777777" w:rsidR="00D21EA2" w:rsidRPr="003A3CEF" w:rsidRDefault="00515E5D">
      <w:pPr>
        <w:pStyle w:val="ListParagraph"/>
        <w:numPr>
          <w:ilvl w:val="0"/>
          <w:numId w:val="4"/>
        </w:numPr>
        <w:tabs>
          <w:tab w:val="left" w:pos="435"/>
        </w:tabs>
        <w:spacing w:before="64"/>
        <w:ind w:hanging="318"/>
        <w:jc w:val="both"/>
        <w:rPr>
          <w:sz w:val="18"/>
        </w:rPr>
      </w:pPr>
      <w:r>
        <w:rPr>
          <w:sz w:val="18"/>
        </w:rPr>
        <w:lastRenderedPageBreak/>
        <w:t>De term “drinkwater-installatie”</w:t>
      </w:r>
      <w:r>
        <w:rPr>
          <w:sz w:val="18"/>
        </w:rPr>
        <w:t xml:space="preserve"> wordt in het hele document vervangen door “drinkwaterinstallatie”.</w:t>
      </w:r>
    </w:p>
    <w:p w14:paraId="016FC2DD" w14:textId="52B8DD9F" w:rsidR="00D21EA2" w:rsidRPr="003A3CEF" w:rsidRDefault="00515E5D" w:rsidP="007B018D">
      <w:pPr>
        <w:pStyle w:val="ListParagraph"/>
        <w:numPr>
          <w:ilvl w:val="0"/>
          <w:numId w:val="4"/>
        </w:numPr>
        <w:tabs>
          <w:tab w:val="left" w:pos="435"/>
        </w:tabs>
        <w:spacing w:before="64"/>
        <w:ind w:hanging="318"/>
        <w:jc w:val="both"/>
        <w:rPr>
          <w:sz w:val="18"/>
        </w:rPr>
      </w:pPr>
      <w:r>
        <w:rPr>
          <w:sz w:val="18"/>
        </w:rPr>
        <w:t>De term “ondernemer en andere houder” wordt in het hele document vervangen door “exploitant”.</w:t>
      </w:r>
    </w:p>
    <w:p w14:paraId="37933A14" w14:textId="1B4E4E2B" w:rsidR="00D21EA2" w:rsidRPr="003A3CEF" w:rsidRDefault="00515E5D">
      <w:pPr>
        <w:pStyle w:val="ListParagraph"/>
        <w:numPr>
          <w:ilvl w:val="0"/>
          <w:numId w:val="4"/>
        </w:numPr>
        <w:tabs>
          <w:tab w:val="left" w:pos="435"/>
        </w:tabs>
        <w:spacing w:line="249" w:lineRule="auto"/>
        <w:ind w:right="107" w:hanging="319"/>
        <w:jc w:val="both"/>
        <w:rPr>
          <w:sz w:val="18"/>
        </w:rPr>
      </w:pPr>
      <w:r>
        <w:rPr>
          <w:sz w:val="18"/>
        </w:rPr>
        <w:t>In de bijlage “Positieve lijst van metalen materialen die geschikt zijn voor gebruik in drinkw</w:t>
      </w:r>
      <w:r>
        <w:rPr>
          <w:sz w:val="18"/>
        </w:rPr>
        <w:t>aterinstallaties” worden de volgende wijzigingen aangebracht in de bestaande lijstvermeldingen:</w:t>
      </w:r>
    </w:p>
    <w:p w14:paraId="2627E809" w14:textId="77777777" w:rsidR="00D21EA2" w:rsidRPr="003A3CEF" w:rsidRDefault="00515E5D">
      <w:pPr>
        <w:pStyle w:val="ListParagraph"/>
        <w:numPr>
          <w:ilvl w:val="0"/>
          <w:numId w:val="3"/>
        </w:numPr>
        <w:tabs>
          <w:tab w:val="left" w:pos="635"/>
        </w:tabs>
        <w:spacing w:before="74"/>
        <w:ind w:hanging="170"/>
        <w:rPr>
          <w:sz w:val="18"/>
        </w:rPr>
      </w:pPr>
      <w:r>
        <w:rPr>
          <w:sz w:val="18"/>
        </w:rPr>
        <w:t xml:space="preserve">2.1.3.4 CW506L-DW (CuZn33) Schrapping van de toevoeging “-DW” </w:t>
      </w:r>
    </w:p>
    <w:p w14:paraId="63FD6D3F" w14:textId="77777777" w:rsidR="00D21EA2" w:rsidRPr="003A3CEF" w:rsidRDefault="00515E5D">
      <w:pPr>
        <w:pStyle w:val="ListParagraph"/>
        <w:numPr>
          <w:ilvl w:val="0"/>
          <w:numId w:val="3"/>
        </w:numPr>
        <w:tabs>
          <w:tab w:val="left" w:pos="635"/>
        </w:tabs>
        <w:ind w:hanging="170"/>
        <w:rPr>
          <w:sz w:val="18"/>
        </w:rPr>
      </w:pPr>
      <w:r>
        <w:rPr>
          <w:sz w:val="18"/>
        </w:rPr>
        <w:t>2.1.3.5 CW507L-DW (CuZn36): onvermijdelijk begeleidend element Pb: Addendum bij het *-teken</w:t>
      </w:r>
    </w:p>
    <w:p w14:paraId="0C54EAC6" w14:textId="77777777" w:rsidR="00D21EA2" w:rsidRPr="003A3CEF" w:rsidRDefault="00515E5D">
      <w:pPr>
        <w:pStyle w:val="ListParagraph"/>
        <w:numPr>
          <w:ilvl w:val="0"/>
          <w:numId w:val="3"/>
        </w:numPr>
        <w:tabs>
          <w:tab w:val="left" w:pos="635"/>
        </w:tabs>
        <w:spacing w:line="249" w:lineRule="auto"/>
        <w:ind w:right="106"/>
        <w:rPr>
          <w:sz w:val="18"/>
        </w:rPr>
      </w:pPr>
      <w:r>
        <w:rPr>
          <w:sz w:val="18"/>
        </w:rPr>
        <w:t>2.1.3</w:t>
      </w:r>
      <w:r>
        <w:rPr>
          <w:sz w:val="18"/>
        </w:rPr>
        <w:t>.7 CW509L-DW (CuZn40) Beste legeringsverhouding Cu:  Verandering van de ondergrens van 59,5 % (m/m) in 59,0 % (m/m)</w:t>
      </w:r>
    </w:p>
    <w:p w14:paraId="30BF5C16" w14:textId="77777777" w:rsidR="00D21EA2" w:rsidRPr="003A3CEF" w:rsidRDefault="00515E5D">
      <w:pPr>
        <w:pStyle w:val="ListParagraph"/>
        <w:numPr>
          <w:ilvl w:val="0"/>
          <w:numId w:val="3"/>
        </w:numPr>
        <w:tabs>
          <w:tab w:val="left" w:pos="635"/>
        </w:tabs>
        <w:spacing w:before="74"/>
        <w:ind w:hanging="170"/>
        <w:rPr>
          <w:sz w:val="18"/>
        </w:rPr>
      </w:pPr>
      <w:r>
        <w:rPr>
          <w:sz w:val="18"/>
        </w:rPr>
        <w:t>2.2.3.1 CuZn42Al: Addendum bij de standaardaanduiding “CC773S”</w:t>
      </w:r>
    </w:p>
    <w:p w14:paraId="383C8DA3" w14:textId="3A3B23C3" w:rsidR="00D21EA2" w:rsidRPr="003A3CEF" w:rsidRDefault="00515E5D">
      <w:pPr>
        <w:pStyle w:val="ListParagraph"/>
        <w:numPr>
          <w:ilvl w:val="0"/>
          <w:numId w:val="3"/>
        </w:numPr>
        <w:tabs>
          <w:tab w:val="left" w:pos="635"/>
        </w:tabs>
        <w:spacing w:before="83" w:line="249" w:lineRule="auto"/>
        <w:ind w:right="106"/>
        <w:rPr>
          <w:sz w:val="18"/>
        </w:rPr>
      </w:pPr>
      <w:r>
        <w:rPr>
          <w:sz w:val="18"/>
        </w:rPr>
        <w:t xml:space="preserve">2.5.3.1 </w:t>
      </w:r>
      <w:r>
        <w:rPr>
          <w:sz w:val="18"/>
        </w:rPr>
        <w:t>CW511L (CuZn38As) Addendum bij de toelichting bij het *-teken:  “* verdere beperkingen van de samenstelling (zie hieronder) ten opzichte van de Europese gestandaardiseerde samenstelling van CW511L”, addendum bij het *-teken bij de aanduiding CW511L en adde</w:t>
      </w:r>
      <w:r>
        <w:rPr>
          <w:sz w:val="18"/>
        </w:rPr>
        <w:t>ndum van de toevoeging “-DW” aan de standaardaanduiding</w:t>
      </w:r>
    </w:p>
    <w:p w14:paraId="0612714C" w14:textId="77777777" w:rsidR="00D21EA2" w:rsidRPr="003A3CEF" w:rsidRDefault="00515E5D">
      <w:pPr>
        <w:pStyle w:val="ListParagraph"/>
        <w:numPr>
          <w:ilvl w:val="0"/>
          <w:numId w:val="3"/>
        </w:numPr>
        <w:tabs>
          <w:tab w:val="left" w:pos="635"/>
        </w:tabs>
        <w:spacing w:before="75"/>
        <w:ind w:hanging="170"/>
        <w:rPr>
          <w:sz w:val="18"/>
        </w:rPr>
      </w:pPr>
      <w:r>
        <w:rPr>
          <w:sz w:val="18"/>
        </w:rPr>
        <w:t>2.7.3.1 CC771S: Addendum van “-C” in de chemische naam “CuZn36AlAsSb-C”</w:t>
      </w:r>
    </w:p>
    <w:p w14:paraId="0C91243D" w14:textId="09D7D5E5" w:rsidR="00D21EA2" w:rsidRPr="003A3CEF" w:rsidRDefault="00515E5D">
      <w:pPr>
        <w:pStyle w:val="ListParagraph"/>
        <w:numPr>
          <w:ilvl w:val="0"/>
          <w:numId w:val="3"/>
        </w:numPr>
        <w:tabs>
          <w:tab w:val="left" w:pos="635"/>
        </w:tabs>
        <w:spacing w:line="249" w:lineRule="auto"/>
        <w:ind w:right="106"/>
        <w:rPr>
          <w:sz w:val="18"/>
        </w:rPr>
      </w:pPr>
      <w:r>
        <w:rPr>
          <w:sz w:val="18"/>
        </w:rPr>
        <w:t>2.9.3.1 (nieuwe nummering!) CW617N (CuZn40Pb2)/CW612N (CuZn39Pb2) en 2.9.3.2 CW614N (CuZn39Pb3)/CW603N (CuZn36Pb3): Addendum van</w:t>
      </w:r>
      <w:r>
        <w:rPr>
          <w:sz w:val="18"/>
        </w:rPr>
        <w:t xml:space="preserve"> de toevoeging “-DW” aan de standaardnamen en het onvermijdelijk begeleidende element Si: Addendum bij het *-teken</w:t>
      </w:r>
    </w:p>
    <w:p w14:paraId="3727F168" w14:textId="383574CE" w:rsidR="00D21EA2" w:rsidRPr="003A3CEF" w:rsidRDefault="00515E5D">
      <w:pPr>
        <w:pStyle w:val="ListParagraph"/>
        <w:numPr>
          <w:ilvl w:val="0"/>
          <w:numId w:val="3"/>
        </w:numPr>
        <w:tabs>
          <w:tab w:val="left" w:pos="635"/>
        </w:tabs>
        <w:spacing w:before="75" w:line="249" w:lineRule="auto"/>
        <w:ind w:right="106"/>
        <w:rPr>
          <w:sz w:val="18"/>
        </w:rPr>
      </w:pPr>
      <w:r>
        <w:rPr>
          <w:sz w:val="18"/>
        </w:rPr>
        <w:t>2.11.3.2 (nieuwe nummering!) CW626N en 2.11.3.3 CW625N: Addendum bij de toevoeging “-DW” aan de standaardaanduidingen</w:t>
      </w:r>
    </w:p>
    <w:p w14:paraId="1264F3EF" w14:textId="77777777" w:rsidR="00D21EA2" w:rsidRPr="003A3CEF" w:rsidRDefault="00515E5D">
      <w:pPr>
        <w:pStyle w:val="ListParagraph"/>
        <w:numPr>
          <w:ilvl w:val="0"/>
          <w:numId w:val="3"/>
        </w:numPr>
        <w:tabs>
          <w:tab w:val="left" w:pos="635"/>
        </w:tabs>
        <w:spacing w:before="74"/>
        <w:ind w:hanging="170"/>
        <w:rPr>
          <w:sz w:val="18"/>
        </w:rPr>
      </w:pPr>
      <w:r>
        <w:rPr>
          <w:sz w:val="18"/>
        </w:rPr>
        <w:t>2.12.3.1 (nieuwe nummer</w:t>
      </w:r>
      <w:r>
        <w:rPr>
          <w:sz w:val="18"/>
        </w:rPr>
        <w:t>ing!) CC772S: Addendum van “-C” in de chemische naam: “CuZn36Pb1.5AsSbAl-C”.</w:t>
      </w:r>
    </w:p>
    <w:p w14:paraId="73594D65" w14:textId="67193422" w:rsidR="00D21EA2" w:rsidRPr="003A3CEF" w:rsidRDefault="00515E5D" w:rsidP="00693F62">
      <w:pPr>
        <w:pStyle w:val="ListParagraph"/>
        <w:numPr>
          <w:ilvl w:val="0"/>
          <w:numId w:val="3"/>
        </w:numPr>
        <w:tabs>
          <w:tab w:val="left" w:pos="635"/>
        </w:tabs>
        <w:spacing w:before="8"/>
        <w:ind w:hanging="170"/>
      </w:pPr>
      <w:r>
        <w:rPr>
          <w:sz w:val="18"/>
        </w:rPr>
        <w:t>2.13.3.1 (nieuwe nummering!) CW725R (CuZn33Pb1AlSiAs) Legering component As:  Toevoeging van het *-teken en addendum van de toevoeging “-DW” aan de standaardaanduiding</w:t>
      </w:r>
    </w:p>
    <w:p w14:paraId="10E8EEB5" w14:textId="64942B27" w:rsidR="00D21EA2" w:rsidRPr="00693F62" w:rsidRDefault="00515E5D" w:rsidP="00693F62">
      <w:pPr>
        <w:pStyle w:val="ListParagraph"/>
        <w:numPr>
          <w:ilvl w:val="0"/>
          <w:numId w:val="3"/>
        </w:numPr>
        <w:tabs>
          <w:tab w:val="left" w:pos="635"/>
        </w:tabs>
        <w:spacing w:before="10"/>
        <w:ind w:hanging="170"/>
        <w:rPr>
          <w:sz w:val="18"/>
          <w:szCs w:val="18"/>
        </w:rPr>
      </w:pPr>
      <w:r>
        <w:rPr>
          <w:sz w:val="18"/>
        </w:rPr>
        <w:t>2.14.3.1 (n</w:t>
      </w:r>
      <w:r>
        <w:rPr>
          <w:sz w:val="18"/>
        </w:rPr>
        <w:t>ieuwe nummering!) CC499K* (CuSn5Zn5Pb2-C) Legeringsbestanddelen Pb en Ni:  Schrapping van het *-teken</w:t>
      </w:r>
    </w:p>
    <w:p w14:paraId="531A470E" w14:textId="77777777" w:rsidR="00D21EA2" w:rsidRPr="003A3CEF" w:rsidRDefault="00515E5D">
      <w:pPr>
        <w:pStyle w:val="ListParagraph"/>
        <w:numPr>
          <w:ilvl w:val="0"/>
          <w:numId w:val="3"/>
        </w:numPr>
        <w:tabs>
          <w:tab w:val="left" w:pos="635"/>
        </w:tabs>
        <w:ind w:hanging="170"/>
        <w:jc w:val="left"/>
        <w:rPr>
          <w:sz w:val="18"/>
        </w:rPr>
      </w:pPr>
      <w:r>
        <w:rPr>
          <w:sz w:val="18"/>
        </w:rPr>
        <w:t>2.16.3.1 (nieuwe nummering!) CW724R: Addendum bij de toevoeging “-DW” aan de standaardaanduiding</w:t>
      </w:r>
    </w:p>
    <w:p w14:paraId="3224D1DB" w14:textId="77777777" w:rsidR="00D21EA2" w:rsidRPr="003A3CEF" w:rsidRDefault="00515E5D">
      <w:pPr>
        <w:pStyle w:val="ListParagraph"/>
        <w:numPr>
          <w:ilvl w:val="0"/>
          <w:numId w:val="3"/>
        </w:numPr>
        <w:tabs>
          <w:tab w:val="left" w:pos="635"/>
        </w:tabs>
        <w:ind w:hanging="170"/>
        <w:jc w:val="left"/>
        <w:rPr>
          <w:sz w:val="18"/>
        </w:rPr>
      </w:pPr>
      <w:r>
        <w:rPr>
          <w:sz w:val="18"/>
        </w:rPr>
        <w:t>2.16.3.2 (nieuwe nummering!) CC768S: Addendum van “-C” in</w:t>
      </w:r>
      <w:r>
        <w:rPr>
          <w:sz w:val="18"/>
        </w:rPr>
        <w:t xml:space="preserve"> de chemische naam “CuZn21Si3P-C”.</w:t>
      </w:r>
    </w:p>
    <w:p w14:paraId="3EE2ABDF" w14:textId="3FAF457D" w:rsidR="00D21EA2" w:rsidRPr="003A3CEF" w:rsidRDefault="00515E5D" w:rsidP="001D7495">
      <w:pPr>
        <w:pStyle w:val="ListParagraph"/>
        <w:numPr>
          <w:ilvl w:val="0"/>
          <w:numId w:val="3"/>
        </w:numPr>
        <w:tabs>
          <w:tab w:val="left" w:pos="635"/>
        </w:tabs>
        <w:spacing w:before="3" w:line="249" w:lineRule="auto"/>
        <w:ind w:right="105"/>
      </w:pPr>
      <w:r>
        <w:rPr>
          <w:sz w:val="18"/>
        </w:rPr>
        <w:t>2.19.3.1 (nieuwe nummering!): CW453K (CuSn8) Addendum bij de toelichting bij het *-teken:  “* verdere beperkingen van de samenstelling (zie hieronder) ten opzichte van de Europese gestandaardiseerde samenstelling van CW45</w:t>
      </w:r>
      <w:r>
        <w:rPr>
          <w:sz w:val="18"/>
        </w:rPr>
        <w:t>3K.”, addendum bij het *-teken bij de aanduiding CW453K en legeringsbestanddeel P: Addendum bij het *-teken</w:t>
      </w:r>
    </w:p>
    <w:p w14:paraId="18E86F2B" w14:textId="77777777" w:rsidR="00D21EA2" w:rsidRPr="003A3CEF" w:rsidRDefault="00515E5D">
      <w:pPr>
        <w:pStyle w:val="ListParagraph"/>
        <w:numPr>
          <w:ilvl w:val="0"/>
          <w:numId w:val="3"/>
        </w:numPr>
        <w:tabs>
          <w:tab w:val="left" w:pos="635"/>
        </w:tabs>
        <w:ind w:hanging="170"/>
        <w:jc w:val="left"/>
        <w:rPr>
          <w:sz w:val="18"/>
        </w:rPr>
      </w:pPr>
      <w:r>
        <w:rPr>
          <w:sz w:val="18"/>
        </w:rPr>
        <w:t>2.20.3.1 (nieuwe nummering!) CuSn10-C: Legeringsbestanddeel Pb en P: Addendum bij het *-teken</w:t>
      </w:r>
    </w:p>
    <w:p w14:paraId="27FD8057" w14:textId="77777777" w:rsidR="00D21EA2" w:rsidRPr="003A3CEF" w:rsidRDefault="00515E5D">
      <w:pPr>
        <w:pStyle w:val="ListParagraph"/>
        <w:numPr>
          <w:ilvl w:val="0"/>
          <w:numId w:val="4"/>
        </w:numPr>
        <w:tabs>
          <w:tab w:val="left" w:pos="435"/>
        </w:tabs>
        <w:spacing w:line="249" w:lineRule="auto"/>
        <w:ind w:right="106" w:hanging="319"/>
        <w:jc w:val="both"/>
        <w:rPr>
          <w:sz w:val="18"/>
        </w:rPr>
      </w:pPr>
      <w:r>
        <w:rPr>
          <w:sz w:val="18"/>
        </w:rPr>
        <w:t>Aan de bijlage Positieve lijst van metalen materialen die geschikt zijn voor drinkwaterhygiëne, wordt in punt 2 de categorie 2.8 “Koper-zink-tin-fosforlegeringen” met inbegrip van het materiaal “CW727R-DW (CuZn35Sn1P)” toegevoegd:</w:t>
      </w:r>
    </w:p>
    <w:p w14:paraId="43315A87" w14:textId="77777777" w:rsidR="00D21EA2" w:rsidRPr="003A3CEF" w:rsidRDefault="00515E5D">
      <w:pPr>
        <w:pStyle w:val="ListParagraph"/>
        <w:numPr>
          <w:ilvl w:val="1"/>
          <w:numId w:val="2"/>
        </w:numPr>
        <w:tabs>
          <w:tab w:val="left" w:pos="871"/>
        </w:tabs>
        <w:spacing w:before="74"/>
        <w:ind w:left="871" w:hanging="436"/>
        <w:rPr>
          <w:sz w:val="18"/>
        </w:rPr>
      </w:pPr>
      <w:r>
        <w:rPr>
          <w:sz w:val="18"/>
        </w:rPr>
        <w:t>Koper-zink-tin-fosforlege</w:t>
      </w:r>
      <w:r>
        <w:rPr>
          <w:sz w:val="18"/>
        </w:rPr>
        <w:t>ringen</w:t>
      </w:r>
    </w:p>
    <w:p w14:paraId="5E4220D1" w14:textId="77777777" w:rsidR="001D7495" w:rsidRPr="001D7495" w:rsidRDefault="00515E5D" w:rsidP="001D7495">
      <w:pPr>
        <w:pStyle w:val="ListParagraph"/>
        <w:numPr>
          <w:ilvl w:val="2"/>
          <w:numId w:val="2"/>
        </w:numPr>
        <w:tabs>
          <w:tab w:val="left" w:pos="1025"/>
        </w:tabs>
        <w:spacing w:before="83" w:line="336" w:lineRule="auto"/>
        <w:ind w:right="79" w:firstLine="0"/>
        <w:rPr>
          <w:sz w:val="18"/>
        </w:rPr>
      </w:pPr>
      <w:r>
        <w:rPr>
          <w:sz w:val="18"/>
        </w:rPr>
        <w:t>Legeringsbestanddelen</w:t>
      </w:r>
    </w:p>
    <w:p w14:paraId="576ACD79" w14:textId="04983551" w:rsidR="00D21EA2" w:rsidRPr="003A3CEF" w:rsidRDefault="00515E5D" w:rsidP="001D7495">
      <w:pPr>
        <w:pStyle w:val="ListParagraph"/>
        <w:tabs>
          <w:tab w:val="left" w:pos="1025"/>
        </w:tabs>
        <w:spacing w:before="0" w:line="336" w:lineRule="auto"/>
        <w:ind w:left="437" w:right="79" w:firstLine="0"/>
        <w:rPr>
          <w:sz w:val="18"/>
        </w:rPr>
      </w:pPr>
      <w:r>
        <w:rPr>
          <w:sz w:val="18"/>
        </w:rPr>
        <w:t>Legeringsbestanddelen (% (m/m)):</w:t>
      </w:r>
    </w:p>
    <w:tbl>
      <w:tblPr>
        <w:tblW w:w="0" w:type="auto"/>
        <w:tblInd w:w="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15"/>
        <w:gridCol w:w="1621"/>
        <w:gridCol w:w="1621"/>
        <w:gridCol w:w="1627"/>
      </w:tblGrid>
      <w:tr w:rsidR="00D21EA2" w:rsidRPr="003A3CEF" w14:paraId="28072301" w14:textId="77777777">
        <w:trPr>
          <w:trHeight w:val="216"/>
        </w:trPr>
        <w:tc>
          <w:tcPr>
            <w:tcW w:w="1615" w:type="dxa"/>
            <w:tcBorders>
              <w:left w:val="nil"/>
            </w:tcBorders>
          </w:tcPr>
          <w:p w14:paraId="37599265" w14:textId="77777777" w:rsidR="00D21EA2" w:rsidRPr="003A3CEF" w:rsidRDefault="00515E5D">
            <w:pPr>
              <w:pStyle w:val="TableParagraph"/>
              <w:spacing w:before="0" w:line="181" w:lineRule="exact"/>
              <w:ind w:right="35"/>
              <w:jc w:val="center"/>
              <w:rPr>
                <w:sz w:val="16"/>
              </w:rPr>
            </w:pPr>
            <w:r>
              <w:rPr>
                <w:sz w:val="16"/>
              </w:rPr>
              <w:t>Cu</w:t>
            </w:r>
          </w:p>
        </w:tc>
        <w:tc>
          <w:tcPr>
            <w:tcW w:w="1621" w:type="dxa"/>
          </w:tcPr>
          <w:p w14:paraId="0251F4B4" w14:textId="77777777" w:rsidR="00D21EA2" w:rsidRPr="003A3CEF" w:rsidRDefault="00515E5D">
            <w:pPr>
              <w:pStyle w:val="TableParagraph"/>
              <w:spacing w:before="0" w:line="181" w:lineRule="exact"/>
              <w:ind w:right="1"/>
              <w:jc w:val="center"/>
              <w:rPr>
                <w:sz w:val="16"/>
              </w:rPr>
            </w:pPr>
            <w:r>
              <w:rPr>
                <w:sz w:val="16"/>
              </w:rPr>
              <w:t>Zn</w:t>
            </w:r>
          </w:p>
        </w:tc>
        <w:tc>
          <w:tcPr>
            <w:tcW w:w="1621" w:type="dxa"/>
          </w:tcPr>
          <w:p w14:paraId="1D253FDC" w14:textId="77777777" w:rsidR="00D21EA2" w:rsidRPr="003A3CEF" w:rsidRDefault="00515E5D">
            <w:pPr>
              <w:pStyle w:val="TableParagraph"/>
              <w:spacing w:before="0" w:line="181" w:lineRule="exact"/>
              <w:ind w:right="1"/>
              <w:jc w:val="center"/>
              <w:rPr>
                <w:sz w:val="16"/>
              </w:rPr>
            </w:pPr>
            <w:r>
              <w:rPr>
                <w:sz w:val="16"/>
              </w:rPr>
              <w:t>Sn</w:t>
            </w:r>
          </w:p>
        </w:tc>
        <w:tc>
          <w:tcPr>
            <w:tcW w:w="1627" w:type="dxa"/>
            <w:tcBorders>
              <w:right w:val="nil"/>
            </w:tcBorders>
          </w:tcPr>
          <w:p w14:paraId="390FA3AE" w14:textId="77777777" w:rsidR="00D21EA2" w:rsidRPr="003A3CEF" w:rsidRDefault="00515E5D">
            <w:pPr>
              <w:pStyle w:val="TableParagraph"/>
              <w:spacing w:before="0" w:line="181" w:lineRule="exact"/>
              <w:ind w:left="32"/>
              <w:jc w:val="center"/>
              <w:rPr>
                <w:sz w:val="16"/>
              </w:rPr>
            </w:pPr>
            <w:r>
              <w:rPr>
                <w:sz w:val="16"/>
              </w:rPr>
              <w:t>P</w:t>
            </w:r>
          </w:p>
        </w:tc>
      </w:tr>
      <w:tr w:rsidR="00D21EA2" w:rsidRPr="003A3CEF" w14:paraId="02B0385B" w14:textId="77777777">
        <w:trPr>
          <w:trHeight w:val="329"/>
        </w:trPr>
        <w:tc>
          <w:tcPr>
            <w:tcW w:w="1615" w:type="dxa"/>
            <w:tcBorders>
              <w:left w:val="nil"/>
            </w:tcBorders>
          </w:tcPr>
          <w:p w14:paraId="34D69A35" w14:textId="77777777" w:rsidR="00D21EA2" w:rsidRPr="003A3CEF" w:rsidRDefault="00515E5D">
            <w:pPr>
              <w:pStyle w:val="TableParagraph"/>
              <w:spacing w:before="69"/>
              <w:rPr>
                <w:sz w:val="18"/>
              </w:rPr>
            </w:pPr>
            <w:r>
              <w:rPr>
                <w:sz w:val="18"/>
              </w:rPr>
              <w:t>≥ 63,0 %</w:t>
            </w:r>
          </w:p>
        </w:tc>
        <w:tc>
          <w:tcPr>
            <w:tcW w:w="1621" w:type="dxa"/>
          </w:tcPr>
          <w:p w14:paraId="27E6A99D" w14:textId="77777777" w:rsidR="00D21EA2" w:rsidRPr="003A3CEF" w:rsidRDefault="00515E5D">
            <w:pPr>
              <w:pStyle w:val="TableParagraph"/>
              <w:spacing w:before="69"/>
              <w:ind w:left="37"/>
              <w:rPr>
                <w:sz w:val="18"/>
              </w:rPr>
            </w:pPr>
            <w:r>
              <w:rPr>
                <w:sz w:val="18"/>
              </w:rPr>
              <w:t>Overige</w:t>
            </w:r>
          </w:p>
        </w:tc>
        <w:tc>
          <w:tcPr>
            <w:tcW w:w="1621" w:type="dxa"/>
          </w:tcPr>
          <w:p w14:paraId="5705B504" w14:textId="77777777" w:rsidR="00D21EA2" w:rsidRPr="003A3CEF" w:rsidRDefault="00515E5D">
            <w:pPr>
              <w:pStyle w:val="TableParagraph"/>
              <w:spacing w:before="69"/>
              <w:ind w:left="36"/>
              <w:rPr>
                <w:sz w:val="18"/>
              </w:rPr>
            </w:pPr>
            <w:r>
              <w:rPr>
                <w:sz w:val="18"/>
              </w:rPr>
              <w:t>0,5 % - 1,0 %</w:t>
            </w:r>
          </w:p>
        </w:tc>
        <w:tc>
          <w:tcPr>
            <w:tcW w:w="1627" w:type="dxa"/>
            <w:tcBorders>
              <w:right w:val="nil"/>
            </w:tcBorders>
          </w:tcPr>
          <w:p w14:paraId="10FE3126" w14:textId="77777777" w:rsidR="00D21EA2" w:rsidRPr="003A3CEF" w:rsidRDefault="00515E5D">
            <w:pPr>
              <w:pStyle w:val="TableParagraph"/>
              <w:spacing w:before="69"/>
              <w:ind w:left="36"/>
              <w:rPr>
                <w:sz w:val="18"/>
              </w:rPr>
            </w:pPr>
            <w:r>
              <w:rPr>
                <w:sz w:val="18"/>
              </w:rPr>
              <w:t>0,05 % - 0,2 %</w:t>
            </w:r>
          </w:p>
        </w:tc>
      </w:tr>
    </w:tbl>
    <w:p w14:paraId="3D6E9B5A" w14:textId="77777777" w:rsidR="00D21EA2" w:rsidRPr="003A3CEF" w:rsidRDefault="00515E5D">
      <w:pPr>
        <w:pStyle w:val="BodyText"/>
        <w:spacing w:before="115"/>
      </w:pPr>
      <w:r>
        <w:t>Onvermijdelijke componenten (% (m/m)):</w:t>
      </w:r>
    </w:p>
    <w:p w14:paraId="574AB08D" w14:textId="77777777" w:rsidR="00D21EA2" w:rsidRPr="003A3CEF" w:rsidRDefault="00D21EA2">
      <w:pPr>
        <w:pStyle w:val="BodyText"/>
        <w:spacing w:before="3"/>
        <w:ind w:left="0"/>
        <w:rPr>
          <w:sz w:val="6"/>
        </w:rPr>
      </w:pPr>
    </w:p>
    <w:tbl>
      <w:tblPr>
        <w:tblW w:w="0" w:type="auto"/>
        <w:tblInd w:w="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31"/>
        <w:gridCol w:w="1637"/>
        <w:gridCol w:w="1637"/>
        <w:gridCol w:w="1637"/>
        <w:gridCol w:w="1643"/>
      </w:tblGrid>
      <w:tr w:rsidR="00D21EA2" w:rsidRPr="003A3CEF" w14:paraId="60E2E989" w14:textId="77777777">
        <w:trPr>
          <w:trHeight w:val="216"/>
        </w:trPr>
        <w:tc>
          <w:tcPr>
            <w:tcW w:w="1631" w:type="dxa"/>
            <w:tcBorders>
              <w:left w:val="nil"/>
            </w:tcBorders>
          </w:tcPr>
          <w:p w14:paraId="6763EE6E" w14:textId="77777777" w:rsidR="00D21EA2" w:rsidRPr="003A3CEF" w:rsidRDefault="00515E5D">
            <w:pPr>
              <w:pStyle w:val="TableParagraph"/>
              <w:ind w:right="35"/>
              <w:jc w:val="center"/>
              <w:rPr>
                <w:sz w:val="16"/>
              </w:rPr>
            </w:pPr>
            <w:r>
              <w:rPr>
                <w:sz w:val="16"/>
              </w:rPr>
              <w:t>Al</w:t>
            </w:r>
          </w:p>
        </w:tc>
        <w:tc>
          <w:tcPr>
            <w:tcW w:w="1637" w:type="dxa"/>
          </w:tcPr>
          <w:p w14:paraId="7FBEF0A9" w14:textId="77777777" w:rsidR="00D21EA2" w:rsidRPr="003A3CEF" w:rsidRDefault="00515E5D">
            <w:pPr>
              <w:pStyle w:val="TableParagraph"/>
              <w:ind w:left="1" w:right="1"/>
              <w:jc w:val="center"/>
              <w:rPr>
                <w:sz w:val="16"/>
              </w:rPr>
            </w:pPr>
            <w:r>
              <w:rPr>
                <w:sz w:val="16"/>
              </w:rPr>
              <w:t>Fe</w:t>
            </w:r>
          </w:p>
        </w:tc>
        <w:tc>
          <w:tcPr>
            <w:tcW w:w="1637" w:type="dxa"/>
          </w:tcPr>
          <w:p w14:paraId="5B238984" w14:textId="77777777" w:rsidR="00D21EA2" w:rsidRPr="003A3CEF" w:rsidRDefault="00515E5D">
            <w:pPr>
              <w:pStyle w:val="TableParagraph"/>
              <w:ind w:right="1"/>
              <w:jc w:val="center"/>
              <w:rPr>
                <w:sz w:val="16"/>
              </w:rPr>
            </w:pPr>
            <w:r>
              <w:rPr>
                <w:sz w:val="16"/>
              </w:rPr>
              <w:t>Ni</w:t>
            </w:r>
          </w:p>
        </w:tc>
        <w:tc>
          <w:tcPr>
            <w:tcW w:w="1637" w:type="dxa"/>
          </w:tcPr>
          <w:p w14:paraId="7D5F6C2F" w14:textId="77777777" w:rsidR="00D21EA2" w:rsidRPr="003A3CEF" w:rsidRDefault="00515E5D">
            <w:pPr>
              <w:pStyle w:val="TableParagraph"/>
              <w:ind w:left="1" w:right="1"/>
              <w:jc w:val="center"/>
              <w:rPr>
                <w:sz w:val="16"/>
              </w:rPr>
            </w:pPr>
            <w:r>
              <w:rPr>
                <w:sz w:val="16"/>
              </w:rPr>
              <w:t>Pb</w:t>
            </w:r>
          </w:p>
        </w:tc>
        <w:tc>
          <w:tcPr>
            <w:tcW w:w="1643" w:type="dxa"/>
            <w:tcBorders>
              <w:right w:val="nil"/>
            </w:tcBorders>
          </w:tcPr>
          <w:p w14:paraId="50C6421B" w14:textId="77777777" w:rsidR="00D21EA2" w:rsidRPr="003A3CEF" w:rsidRDefault="00515E5D">
            <w:pPr>
              <w:pStyle w:val="TableParagraph"/>
              <w:ind w:left="69" w:right="36"/>
              <w:jc w:val="center"/>
              <w:rPr>
                <w:sz w:val="16"/>
              </w:rPr>
            </w:pPr>
            <w:r>
              <w:rPr>
                <w:sz w:val="16"/>
              </w:rPr>
              <w:t>SI</w:t>
            </w:r>
          </w:p>
        </w:tc>
      </w:tr>
      <w:tr w:rsidR="00D21EA2" w:rsidRPr="003A3CEF" w14:paraId="6AEF240C" w14:textId="77777777">
        <w:trPr>
          <w:trHeight w:val="329"/>
        </w:trPr>
        <w:tc>
          <w:tcPr>
            <w:tcW w:w="1631" w:type="dxa"/>
            <w:tcBorders>
              <w:left w:val="nil"/>
            </w:tcBorders>
          </w:tcPr>
          <w:p w14:paraId="7C2623E7" w14:textId="77777777" w:rsidR="00D21EA2" w:rsidRPr="003A3CEF" w:rsidRDefault="00515E5D">
            <w:pPr>
              <w:pStyle w:val="TableParagraph"/>
              <w:spacing w:before="80"/>
              <w:rPr>
                <w:sz w:val="18"/>
              </w:rPr>
            </w:pPr>
            <w:r>
              <w:rPr>
                <w:sz w:val="18"/>
              </w:rPr>
              <w:t>≤ 0,1 %</w:t>
            </w:r>
          </w:p>
        </w:tc>
        <w:tc>
          <w:tcPr>
            <w:tcW w:w="1637" w:type="dxa"/>
          </w:tcPr>
          <w:p w14:paraId="5E3C4DC7" w14:textId="77777777" w:rsidR="00D21EA2" w:rsidRPr="003A3CEF" w:rsidRDefault="00515E5D">
            <w:pPr>
              <w:pStyle w:val="TableParagraph"/>
              <w:spacing w:before="80"/>
              <w:ind w:left="37"/>
              <w:rPr>
                <w:sz w:val="18"/>
              </w:rPr>
            </w:pPr>
            <w:r>
              <w:rPr>
                <w:sz w:val="18"/>
              </w:rPr>
              <w:t>≤ 0,1 %</w:t>
            </w:r>
          </w:p>
        </w:tc>
        <w:tc>
          <w:tcPr>
            <w:tcW w:w="1637" w:type="dxa"/>
          </w:tcPr>
          <w:p w14:paraId="4A80A4AF" w14:textId="77777777" w:rsidR="00D21EA2" w:rsidRPr="003A3CEF" w:rsidRDefault="00515E5D">
            <w:pPr>
              <w:pStyle w:val="TableParagraph"/>
              <w:spacing w:before="80"/>
              <w:ind w:left="37"/>
              <w:rPr>
                <w:sz w:val="18"/>
              </w:rPr>
            </w:pPr>
            <w:r>
              <w:rPr>
                <w:sz w:val="18"/>
              </w:rPr>
              <w:t>≤ 0,1 %</w:t>
            </w:r>
          </w:p>
        </w:tc>
        <w:tc>
          <w:tcPr>
            <w:tcW w:w="1637" w:type="dxa"/>
          </w:tcPr>
          <w:p w14:paraId="443A9BCD" w14:textId="77777777" w:rsidR="00D21EA2" w:rsidRPr="003A3CEF" w:rsidRDefault="00515E5D">
            <w:pPr>
              <w:pStyle w:val="TableParagraph"/>
              <w:spacing w:before="80"/>
              <w:ind w:left="36"/>
              <w:rPr>
                <w:sz w:val="18"/>
              </w:rPr>
            </w:pPr>
            <w:r>
              <w:rPr>
                <w:sz w:val="18"/>
              </w:rPr>
              <w:t>≤ 0,1 %</w:t>
            </w:r>
          </w:p>
        </w:tc>
        <w:tc>
          <w:tcPr>
            <w:tcW w:w="1643" w:type="dxa"/>
            <w:tcBorders>
              <w:right w:val="nil"/>
            </w:tcBorders>
          </w:tcPr>
          <w:p w14:paraId="1777D33A" w14:textId="77777777" w:rsidR="00D21EA2" w:rsidRPr="003A3CEF" w:rsidRDefault="00515E5D">
            <w:pPr>
              <w:pStyle w:val="TableParagraph"/>
              <w:spacing w:before="80"/>
              <w:ind w:left="35"/>
              <w:rPr>
                <w:sz w:val="18"/>
              </w:rPr>
            </w:pPr>
            <w:r>
              <w:rPr>
                <w:sz w:val="18"/>
              </w:rPr>
              <w:t>≤ 0,10 %</w:t>
            </w:r>
          </w:p>
        </w:tc>
      </w:tr>
    </w:tbl>
    <w:p w14:paraId="46CEFC27" w14:textId="77777777" w:rsidR="001D7495" w:rsidRPr="001D7495" w:rsidRDefault="00515E5D">
      <w:pPr>
        <w:pStyle w:val="ListParagraph"/>
        <w:numPr>
          <w:ilvl w:val="2"/>
          <w:numId w:val="2"/>
        </w:numPr>
        <w:tabs>
          <w:tab w:val="left" w:pos="1025"/>
        </w:tabs>
        <w:spacing w:before="126" w:line="336" w:lineRule="auto"/>
        <w:ind w:right="6586" w:firstLine="0"/>
        <w:rPr>
          <w:sz w:val="18"/>
        </w:rPr>
      </w:pPr>
      <w:r>
        <w:rPr>
          <w:sz w:val="18"/>
        </w:rPr>
        <w:t>Referentiemateriaal</w:t>
      </w:r>
    </w:p>
    <w:p w14:paraId="7346C13D" w14:textId="7456F3AC" w:rsidR="00D21EA2" w:rsidRPr="003A3CEF" w:rsidRDefault="00515E5D" w:rsidP="001D7495">
      <w:pPr>
        <w:pStyle w:val="ListParagraph"/>
        <w:tabs>
          <w:tab w:val="left" w:pos="1025"/>
        </w:tabs>
        <w:spacing w:before="0" w:line="336" w:lineRule="auto"/>
        <w:ind w:left="437" w:right="79" w:firstLine="0"/>
        <w:rPr>
          <w:sz w:val="18"/>
        </w:rPr>
      </w:pPr>
      <w:r>
        <w:rPr>
          <w:sz w:val="18"/>
        </w:rPr>
        <w:t>Legeringsbestanddelen (% (m/m)):</w:t>
      </w:r>
    </w:p>
    <w:tbl>
      <w:tblPr>
        <w:tblW w:w="0" w:type="auto"/>
        <w:tblInd w:w="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15"/>
        <w:gridCol w:w="1621"/>
        <w:gridCol w:w="1621"/>
        <w:gridCol w:w="1627"/>
      </w:tblGrid>
      <w:tr w:rsidR="00D21EA2" w:rsidRPr="003A3CEF" w14:paraId="1600CCC3" w14:textId="77777777">
        <w:trPr>
          <w:trHeight w:val="216"/>
        </w:trPr>
        <w:tc>
          <w:tcPr>
            <w:tcW w:w="1615" w:type="dxa"/>
            <w:tcBorders>
              <w:left w:val="nil"/>
            </w:tcBorders>
          </w:tcPr>
          <w:p w14:paraId="7C703C1D" w14:textId="77777777" w:rsidR="00D21EA2" w:rsidRPr="003A3CEF" w:rsidRDefault="00515E5D">
            <w:pPr>
              <w:pStyle w:val="TableParagraph"/>
              <w:spacing w:before="0" w:line="182" w:lineRule="exact"/>
              <w:ind w:right="35"/>
              <w:jc w:val="center"/>
              <w:rPr>
                <w:sz w:val="16"/>
              </w:rPr>
            </w:pPr>
            <w:r>
              <w:rPr>
                <w:sz w:val="16"/>
              </w:rPr>
              <w:t>Cu</w:t>
            </w:r>
          </w:p>
        </w:tc>
        <w:tc>
          <w:tcPr>
            <w:tcW w:w="1621" w:type="dxa"/>
          </w:tcPr>
          <w:p w14:paraId="78BF2795" w14:textId="77777777" w:rsidR="00D21EA2" w:rsidRPr="003A3CEF" w:rsidRDefault="00515E5D">
            <w:pPr>
              <w:pStyle w:val="TableParagraph"/>
              <w:spacing w:before="0" w:line="182" w:lineRule="exact"/>
              <w:ind w:right="1"/>
              <w:jc w:val="center"/>
              <w:rPr>
                <w:sz w:val="16"/>
              </w:rPr>
            </w:pPr>
            <w:r>
              <w:rPr>
                <w:sz w:val="16"/>
              </w:rPr>
              <w:t>Zn</w:t>
            </w:r>
          </w:p>
        </w:tc>
        <w:tc>
          <w:tcPr>
            <w:tcW w:w="1621" w:type="dxa"/>
          </w:tcPr>
          <w:p w14:paraId="585E737E" w14:textId="77777777" w:rsidR="00D21EA2" w:rsidRPr="003A3CEF" w:rsidRDefault="00515E5D">
            <w:pPr>
              <w:pStyle w:val="TableParagraph"/>
              <w:spacing w:before="0" w:line="182" w:lineRule="exact"/>
              <w:ind w:right="1"/>
              <w:jc w:val="center"/>
              <w:rPr>
                <w:sz w:val="16"/>
              </w:rPr>
            </w:pPr>
            <w:r>
              <w:rPr>
                <w:sz w:val="16"/>
              </w:rPr>
              <w:t>Sn</w:t>
            </w:r>
          </w:p>
        </w:tc>
        <w:tc>
          <w:tcPr>
            <w:tcW w:w="1627" w:type="dxa"/>
            <w:tcBorders>
              <w:right w:val="nil"/>
            </w:tcBorders>
          </w:tcPr>
          <w:p w14:paraId="3A81860F" w14:textId="77777777" w:rsidR="00D21EA2" w:rsidRPr="003A3CEF" w:rsidRDefault="00515E5D">
            <w:pPr>
              <w:pStyle w:val="TableParagraph"/>
              <w:spacing w:before="0" w:line="182" w:lineRule="exact"/>
              <w:ind w:left="32"/>
              <w:jc w:val="center"/>
              <w:rPr>
                <w:sz w:val="16"/>
              </w:rPr>
            </w:pPr>
            <w:r>
              <w:rPr>
                <w:sz w:val="16"/>
              </w:rPr>
              <w:t>P</w:t>
            </w:r>
          </w:p>
        </w:tc>
      </w:tr>
      <w:tr w:rsidR="00D21EA2" w:rsidRPr="003A3CEF" w14:paraId="31E3E0AF" w14:textId="77777777">
        <w:trPr>
          <w:trHeight w:val="329"/>
        </w:trPr>
        <w:tc>
          <w:tcPr>
            <w:tcW w:w="1615" w:type="dxa"/>
            <w:tcBorders>
              <w:left w:val="nil"/>
            </w:tcBorders>
          </w:tcPr>
          <w:p w14:paraId="37BC0A1D" w14:textId="77777777" w:rsidR="00D21EA2" w:rsidRPr="003A3CEF" w:rsidRDefault="00515E5D">
            <w:pPr>
              <w:pStyle w:val="TableParagraph"/>
              <w:spacing w:before="70"/>
              <w:rPr>
                <w:sz w:val="18"/>
              </w:rPr>
            </w:pPr>
            <w:r>
              <w:rPr>
                <w:sz w:val="18"/>
              </w:rPr>
              <w:t>63,5 % – 65,0 %</w:t>
            </w:r>
          </w:p>
        </w:tc>
        <w:tc>
          <w:tcPr>
            <w:tcW w:w="1621" w:type="dxa"/>
          </w:tcPr>
          <w:p w14:paraId="43DCD9FE" w14:textId="77777777" w:rsidR="00D21EA2" w:rsidRPr="003A3CEF" w:rsidRDefault="00515E5D">
            <w:pPr>
              <w:pStyle w:val="TableParagraph"/>
              <w:spacing w:before="70"/>
              <w:ind w:left="37"/>
              <w:rPr>
                <w:sz w:val="18"/>
              </w:rPr>
            </w:pPr>
            <w:r>
              <w:rPr>
                <w:sz w:val="18"/>
              </w:rPr>
              <w:t>Overige</w:t>
            </w:r>
          </w:p>
        </w:tc>
        <w:tc>
          <w:tcPr>
            <w:tcW w:w="1621" w:type="dxa"/>
          </w:tcPr>
          <w:p w14:paraId="0AA3CEDA" w14:textId="77777777" w:rsidR="00D21EA2" w:rsidRPr="003A3CEF" w:rsidRDefault="00515E5D">
            <w:pPr>
              <w:pStyle w:val="TableParagraph"/>
              <w:spacing w:before="70"/>
              <w:ind w:left="36"/>
              <w:rPr>
                <w:sz w:val="18"/>
              </w:rPr>
            </w:pPr>
            <w:r>
              <w:rPr>
                <w:sz w:val="18"/>
              </w:rPr>
              <w:t>0,5 % - 1,0 %</w:t>
            </w:r>
          </w:p>
        </w:tc>
        <w:tc>
          <w:tcPr>
            <w:tcW w:w="1627" w:type="dxa"/>
            <w:tcBorders>
              <w:right w:val="nil"/>
            </w:tcBorders>
          </w:tcPr>
          <w:p w14:paraId="4943320C" w14:textId="77777777" w:rsidR="00D21EA2" w:rsidRPr="003A3CEF" w:rsidRDefault="00515E5D">
            <w:pPr>
              <w:pStyle w:val="TableParagraph"/>
              <w:spacing w:before="70"/>
              <w:ind w:left="36"/>
              <w:rPr>
                <w:sz w:val="18"/>
              </w:rPr>
            </w:pPr>
            <w:r>
              <w:rPr>
                <w:sz w:val="18"/>
              </w:rPr>
              <w:t>0,05 % - 0,10 %</w:t>
            </w:r>
          </w:p>
        </w:tc>
      </w:tr>
    </w:tbl>
    <w:p w14:paraId="0E2F69C0" w14:textId="77777777" w:rsidR="00D21EA2" w:rsidRPr="003A3CEF" w:rsidRDefault="00515E5D">
      <w:pPr>
        <w:pStyle w:val="BodyText"/>
        <w:spacing w:before="115"/>
      </w:pPr>
      <w:r>
        <w:t>Onvermijdelijke componenten (% (m/m)):</w:t>
      </w:r>
    </w:p>
    <w:p w14:paraId="4BF8ABDD" w14:textId="77777777" w:rsidR="00D21EA2" w:rsidRPr="003A3CEF" w:rsidRDefault="00D21EA2">
      <w:pPr>
        <w:pStyle w:val="BodyText"/>
        <w:spacing w:before="3"/>
        <w:ind w:left="0"/>
        <w:rPr>
          <w:sz w:val="6"/>
        </w:rPr>
      </w:pPr>
    </w:p>
    <w:tbl>
      <w:tblPr>
        <w:tblW w:w="0" w:type="auto"/>
        <w:tblInd w:w="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31"/>
        <w:gridCol w:w="1637"/>
        <w:gridCol w:w="1637"/>
        <w:gridCol w:w="1637"/>
        <w:gridCol w:w="1643"/>
      </w:tblGrid>
      <w:tr w:rsidR="00D21EA2" w:rsidRPr="003A3CEF" w14:paraId="048C3806" w14:textId="77777777">
        <w:trPr>
          <w:trHeight w:val="216"/>
        </w:trPr>
        <w:tc>
          <w:tcPr>
            <w:tcW w:w="1631" w:type="dxa"/>
            <w:tcBorders>
              <w:left w:val="nil"/>
            </w:tcBorders>
          </w:tcPr>
          <w:p w14:paraId="1DE61135" w14:textId="77777777" w:rsidR="00D21EA2" w:rsidRPr="003A3CEF" w:rsidRDefault="00515E5D">
            <w:pPr>
              <w:pStyle w:val="TableParagraph"/>
              <w:ind w:right="35"/>
              <w:jc w:val="center"/>
              <w:rPr>
                <w:sz w:val="16"/>
              </w:rPr>
            </w:pPr>
            <w:r>
              <w:rPr>
                <w:sz w:val="16"/>
              </w:rPr>
              <w:t>Al</w:t>
            </w:r>
          </w:p>
        </w:tc>
        <w:tc>
          <w:tcPr>
            <w:tcW w:w="1637" w:type="dxa"/>
          </w:tcPr>
          <w:p w14:paraId="1E2EE284" w14:textId="77777777" w:rsidR="00D21EA2" w:rsidRPr="003A3CEF" w:rsidRDefault="00515E5D">
            <w:pPr>
              <w:pStyle w:val="TableParagraph"/>
              <w:ind w:left="1" w:right="1"/>
              <w:jc w:val="center"/>
              <w:rPr>
                <w:sz w:val="16"/>
              </w:rPr>
            </w:pPr>
            <w:r>
              <w:rPr>
                <w:sz w:val="16"/>
              </w:rPr>
              <w:t>Fe</w:t>
            </w:r>
          </w:p>
        </w:tc>
        <w:tc>
          <w:tcPr>
            <w:tcW w:w="1637" w:type="dxa"/>
          </w:tcPr>
          <w:p w14:paraId="07B4A7A4" w14:textId="77777777" w:rsidR="00D21EA2" w:rsidRPr="003A3CEF" w:rsidRDefault="00515E5D">
            <w:pPr>
              <w:pStyle w:val="TableParagraph"/>
              <w:ind w:right="1"/>
              <w:jc w:val="center"/>
              <w:rPr>
                <w:sz w:val="16"/>
              </w:rPr>
            </w:pPr>
            <w:r>
              <w:rPr>
                <w:sz w:val="16"/>
              </w:rPr>
              <w:t>Ni</w:t>
            </w:r>
          </w:p>
        </w:tc>
        <w:tc>
          <w:tcPr>
            <w:tcW w:w="1637" w:type="dxa"/>
          </w:tcPr>
          <w:p w14:paraId="388FEF35" w14:textId="77777777" w:rsidR="00D21EA2" w:rsidRPr="003A3CEF" w:rsidRDefault="00515E5D">
            <w:pPr>
              <w:pStyle w:val="TableParagraph"/>
              <w:ind w:left="1" w:right="1"/>
              <w:jc w:val="center"/>
              <w:rPr>
                <w:sz w:val="16"/>
              </w:rPr>
            </w:pPr>
            <w:r>
              <w:rPr>
                <w:sz w:val="16"/>
              </w:rPr>
              <w:t>Pb</w:t>
            </w:r>
          </w:p>
        </w:tc>
        <w:tc>
          <w:tcPr>
            <w:tcW w:w="1643" w:type="dxa"/>
            <w:tcBorders>
              <w:right w:val="nil"/>
            </w:tcBorders>
          </w:tcPr>
          <w:p w14:paraId="04D899AD" w14:textId="77777777" w:rsidR="00D21EA2" w:rsidRPr="003A3CEF" w:rsidRDefault="00515E5D">
            <w:pPr>
              <w:pStyle w:val="TableParagraph"/>
              <w:ind w:left="69" w:right="36"/>
              <w:jc w:val="center"/>
              <w:rPr>
                <w:sz w:val="16"/>
              </w:rPr>
            </w:pPr>
            <w:r>
              <w:rPr>
                <w:sz w:val="16"/>
              </w:rPr>
              <w:t>SI</w:t>
            </w:r>
          </w:p>
        </w:tc>
      </w:tr>
      <w:tr w:rsidR="00D21EA2" w:rsidRPr="003A3CEF" w14:paraId="2FE1B2EA" w14:textId="77777777">
        <w:trPr>
          <w:trHeight w:val="329"/>
        </w:trPr>
        <w:tc>
          <w:tcPr>
            <w:tcW w:w="1631" w:type="dxa"/>
            <w:tcBorders>
              <w:left w:val="nil"/>
            </w:tcBorders>
          </w:tcPr>
          <w:p w14:paraId="124DFE2C" w14:textId="77777777" w:rsidR="00D21EA2" w:rsidRPr="003A3CEF" w:rsidRDefault="00515E5D">
            <w:pPr>
              <w:pStyle w:val="TableParagraph"/>
              <w:spacing w:before="80"/>
              <w:rPr>
                <w:sz w:val="18"/>
              </w:rPr>
            </w:pPr>
            <w:r>
              <w:rPr>
                <w:sz w:val="18"/>
              </w:rPr>
              <w:t>≤ 0,05 %</w:t>
            </w:r>
          </w:p>
        </w:tc>
        <w:tc>
          <w:tcPr>
            <w:tcW w:w="1637" w:type="dxa"/>
          </w:tcPr>
          <w:p w14:paraId="551C961B" w14:textId="77777777" w:rsidR="00D21EA2" w:rsidRPr="003A3CEF" w:rsidRDefault="00515E5D">
            <w:pPr>
              <w:pStyle w:val="TableParagraph"/>
              <w:spacing w:before="80"/>
              <w:ind w:left="37"/>
              <w:rPr>
                <w:sz w:val="18"/>
              </w:rPr>
            </w:pPr>
            <w:r>
              <w:rPr>
                <w:sz w:val="18"/>
              </w:rPr>
              <w:t>≤ 0,10 %</w:t>
            </w:r>
          </w:p>
        </w:tc>
        <w:tc>
          <w:tcPr>
            <w:tcW w:w="1637" w:type="dxa"/>
          </w:tcPr>
          <w:p w14:paraId="44B76585" w14:textId="77777777" w:rsidR="00D21EA2" w:rsidRPr="003A3CEF" w:rsidRDefault="00515E5D">
            <w:pPr>
              <w:pStyle w:val="TableParagraph"/>
              <w:spacing w:before="80"/>
              <w:ind w:left="37"/>
              <w:rPr>
                <w:sz w:val="18"/>
              </w:rPr>
            </w:pPr>
            <w:r>
              <w:rPr>
                <w:sz w:val="18"/>
              </w:rPr>
              <w:t>0,06 % – 0,10 %</w:t>
            </w:r>
          </w:p>
        </w:tc>
        <w:tc>
          <w:tcPr>
            <w:tcW w:w="1637" w:type="dxa"/>
          </w:tcPr>
          <w:p w14:paraId="4ABE85BE" w14:textId="77777777" w:rsidR="00D21EA2" w:rsidRPr="003A3CEF" w:rsidRDefault="00515E5D">
            <w:pPr>
              <w:pStyle w:val="TableParagraph"/>
              <w:spacing w:before="80"/>
              <w:ind w:left="36"/>
              <w:rPr>
                <w:sz w:val="18"/>
              </w:rPr>
            </w:pPr>
            <w:r>
              <w:rPr>
                <w:sz w:val="18"/>
              </w:rPr>
              <w:t>0,06 % – 0,10 %</w:t>
            </w:r>
          </w:p>
        </w:tc>
        <w:tc>
          <w:tcPr>
            <w:tcW w:w="1643" w:type="dxa"/>
            <w:tcBorders>
              <w:right w:val="nil"/>
            </w:tcBorders>
          </w:tcPr>
          <w:p w14:paraId="0A1DAF7B" w14:textId="77777777" w:rsidR="00D21EA2" w:rsidRPr="003A3CEF" w:rsidRDefault="00515E5D">
            <w:pPr>
              <w:pStyle w:val="TableParagraph"/>
              <w:spacing w:before="80"/>
              <w:ind w:left="35"/>
              <w:rPr>
                <w:sz w:val="18"/>
              </w:rPr>
            </w:pPr>
            <w:r>
              <w:rPr>
                <w:sz w:val="18"/>
              </w:rPr>
              <w:t>≤ 0,10 %</w:t>
            </w:r>
          </w:p>
        </w:tc>
      </w:tr>
    </w:tbl>
    <w:p w14:paraId="00997B73" w14:textId="77777777" w:rsidR="00D21EA2" w:rsidRPr="003A3CEF" w:rsidRDefault="00515E5D">
      <w:pPr>
        <w:pStyle w:val="BodyText"/>
        <w:spacing w:before="127" w:line="249" w:lineRule="auto"/>
      </w:pPr>
      <w:r>
        <w:t>Bij vergelijkende tests volgens DIN EN 15664-1 vast te stellen elementen in contactwater: Lood, koper, nikkel, zink</w:t>
      </w:r>
    </w:p>
    <w:p w14:paraId="2256FA56" w14:textId="77777777" w:rsidR="001D7495" w:rsidRDefault="00515E5D">
      <w:pPr>
        <w:pStyle w:val="BodyText"/>
        <w:spacing w:before="74" w:line="336" w:lineRule="auto"/>
        <w:ind w:right="6536"/>
      </w:pPr>
      <w:r>
        <w:t xml:space="preserve">Meest kritisch testwater: </w:t>
      </w:r>
    </w:p>
    <w:p w14:paraId="1B21A659" w14:textId="5A9507BE" w:rsidR="00D21EA2" w:rsidRPr="003A3CEF" w:rsidRDefault="00515E5D" w:rsidP="001D7495">
      <w:pPr>
        <w:pStyle w:val="BodyText"/>
        <w:spacing w:before="0" w:line="336" w:lineRule="auto"/>
        <w:ind w:left="437" w:right="6538"/>
      </w:pPr>
      <w:r>
        <w:t>Testwater 1 volgens DIN EN 15664-</w:t>
      </w:r>
      <w:r>
        <w:lastRenderedPageBreak/>
        <w:t>2</w:t>
      </w:r>
    </w:p>
    <w:p w14:paraId="5243829A" w14:textId="77777777" w:rsidR="00D21EA2" w:rsidRPr="003A3CEF" w:rsidRDefault="00515E5D">
      <w:pPr>
        <w:pStyle w:val="ListParagraph"/>
        <w:numPr>
          <w:ilvl w:val="2"/>
          <w:numId w:val="2"/>
        </w:numPr>
        <w:tabs>
          <w:tab w:val="left" w:pos="1025"/>
        </w:tabs>
        <w:spacing w:before="101"/>
        <w:ind w:left="1025" w:hanging="590"/>
        <w:rPr>
          <w:sz w:val="18"/>
        </w:rPr>
      </w:pPr>
      <w:r>
        <w:rPr>
          <w:sz w:val="18"/>
        </w:rPr>
        <w:t>Materialen geschikt voor gebruik in drinkwatersystemen</w:t>
      </w:r>
    </w:p>
    <w:p w14:paraId="02F62D09" w14:textId="77777777" w:rsidR="00D21EA2" w:rsidRPr="003A3CEF" w:rsidRDefault="00515E5D">
      <w:pPr>
        <w:pStyle w:val="ListParagraph"/>
        <w:numPr>
          <w:ilvl w:val="3"/>
          <w:numId w:val="2"/>
        </w:numPr>
        <w:tabs>
          <w:tab w:val="left" w:pos="1179"/>
        </w:tabs>
        <w:spacing w:before="77"/>
        <w:ind w:left="1179" w:hanging="744"/>
        <w:rPr>
          <w:sz w:val="18"/>
        </w:rPr>
      </w:pPr>
      <w:r>
        <w:rPr>
          <w:sz w:val="18"/>
        </w:rPr>
        <w:t>CW727R-DW (CuZn35Sn1P)</w:t>
      </w:r>
    </w:p>
    <w:p w14:paraId="392A52A4" w14:textId="77777777" w:rsidR="00D21EA2" w:rsidRPr="003A3CEF" w:rsidRDefault="00D21EA2">
      <w:pPr>
        <w:pStyle w:val="BodyText"/>
        <w:spacing w:before="4"/>
        <w:ind w:left="0"/>
        <w:rPr>
          <w:sz w:val="6"/>
        </w:rPr>
      </w:pPr>
    </w:p>
    <w:tbl>
      <w:tblPr>
        <w:tblW w:w="0" w:type="auto"/>
        <w:tblInd w:w="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68"/>
        <w:gridCol w:w="2679"/>
      </w:tblGrid>
      <w:tr w:rsidR="00D21EA2" w:rsidRPr="003A3CEF" w14:paraId="1E5A04ED" w14:textId="77777777">
        <w:trPr>
          <w:trHeight w:val="216"/>
        </w:trPr>
        <w:tc>
          <w:tcPr>
            <w:tcW w:w="2668" w:type="dxa"/>
            <w:tcBorders>
              <w:left w:val="nil"/>
            </w:tcBorders>
          </w:tcPr>
          <w:p w14:paraId="27B1230A" w14:textId="77777777" w:rsidR="00D21EA2" w:rsidRPr="003A3CEF" w:rsidRDefault="00515E5D">
            <w:pPr>
              <w:pStyle w:val="TableParagraph"/>
              <w:ind w:left="846"/>
              <w:rPr>
                <w:sz w:val="16"/>
              </w:rPr>
            </w:pPr>
            <w:r>
              <w:rPr>
                <w:sz w:val="16"/>
              </w:rPr>
              <w:t>Benaming</w:t>
            </w:r>
          </w:p>
        </w:tc>
        <w:tc>
          <w:tcPr>
            <w:tcW w:w="2679" w:type="dxa"/>
            <w:tcBorders>
              <w:right w:val="nil"/>
            </w:tcBorders>
          </w:tcPr>
          <w:p w14:paraId="519A0FB9" w14:textId="77777777" w:rsidR="00D21EA2" w:rsidRPr="003A3CEF" w:rsidRDefault="00515E5D">
            <w:pPr>
              <w:pStyle w:val="TableParagraph"/>
              <w:ind w:left="816"/>
              <w:rPr>
                <w:sz w:val="16"/>
              </w:rPr>
            </w:pPr>
            <w:r>
              <w:rPr>
                <w:sz w:val="16"/>
              </w:rPr>
              <w:t>Productengroep</w:t>
            </w:r>
          </w:p>
        </w:tc>
      </w:tr>
      <w:tr w:rsidR="00D21EA2" w:rsidRPr="003A3CEF" w14:paraId="1D1406F2" w14:textId="77777777">
        <w:trPr>
          <w:trHeight w:val="316"/>
        </w:trPr>
        <w:tc>
          <w:tcPr>
            <w:tcW w:w="2668" w:type="dxa"/>
            <w:tcBorders>
              <w:left w:val="nil"/>
            </w:tcBorders>
          </w:tcPr>
          <w:p w14:paraId="7E7BADF8" w14:textId="77777777" w:rsidR="00D21EA2" w:rsidRPr="003A3CEF" w:rsidRDefault="00515E5D">
            <w:pPr>
              <w:pStyle w:val="TableParagraph"/>
              <w:spacing w:before="76"/>
              <w:rPr>
                <w:sz w:val="18"/>
              </w:rPr>
            </w:pPr>
            <w:r>
              <w:rPr>
                <w:sz w:val="18"/>
              </w:rPr>
              <w:t>CW727R-DW (CuZn35Sn1P)</w:t>
            </w:r>
          </w:p>
        </w:tc>
        <w:tc>
          <w:tcPr>
            <w:tcW w:w="2679" w:type="dxa"/>
            <w:tcBorders>
              <w:right w:val="nil"/>
            </w:tcBorders>
          </w:tcPr>
          <w:p w14:paraId="69CDF3EF" w14:textId="77777777" w:rsidR="00D21EA2" w:rsidRPr="003A3CEF" w:rsidRDefault="00515E5D">
            <w:pPr>
              <w:pStyle w:val="TableParagraph"/>
              <w:spacing w:before="76"/>
              <w:ind w:left="37"/>
              <w:rPr>
                <w:sz w:val="18"/>
              </w:rPr>
            </w:pPr>
            <w:r>
              <w:rPr>
                <w:sz w:val="18"/>
              </w:rPr>
              <w:t>B – D</w:t>
            </w:r>
          </w:p>
        </w:tc>
      </w:tr>
    </w:tbl>
    <w:p w14:paraId="245B33B4" w14:textId="77777777" w:rsidR="00D21EA2" w:rsidRPr="003A3CEF" w:rsidRDefault="00515E5D">
      <w:pPr>
        <w:pStyle w:val="BodyText"/>
        <w:spacing w:before="117"/>
      </w:pPr>
      <w:r>
        <w:t>Legeringsbestanddelen (% (m/m)):</w:t>
      </w:r>
    </w:p>
    <w:p w14:paraId="59DB464C" w14:textId="77777777" w:rsidR="00D21EA2" w:rsidRPr="003A3CEF" w:rsidRDefault="00D21EA2">
      <w:pPr>
        <w:pStyle w:val="BodyText"/>
        <w:spacing w:before="4"/>
        <w:ind w:left="0"/>
        <w:rPr>
          <w:sz w:val="6"/>
        </w:rPr>
      </w:pPr>
    </w:p>
    <w:tbl>
      <w:tblPr>
        <w:tblW w:w="0" w:type="auto"/>
        <w:tblInd w:w="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43"/>
        <w:gridCol w:w="1649"/>
        <w:gridCol w:w="1649"/>
        <w:gridCol w:w="1655"/>
      </w:tblGrid>
      <w:tr w:rsidR="00D21EA2" w:rsidRPr="003A3CEF" w14:paraId="388A4C83" w14:textId="77777777">
        <w:trPr>
          <w:trHeight w:val="216"/>
        </w:trPr>
        <w:tc>
          <w:tcPr>
            <w:tcW w:w="1643" w:type="dxa"/>
            <w:tcBorders>
              <w:left w:val="nil"/>
            </w:tcBorders>
          </w:tcPr>
          <w:p w14:paraId="4C24BD81" w14:textId="77777777" w:rsidR="00D21EA2" w:rsidRPr="003A3CEF" w:rsidRDefault="00515E5D">
            <w:pPr>
              <w:pStyle w:val="TableParagraph"/>
              <w:ind w:left="33" w:right="69"/>
              <w:jc w:val="center"/>
              <w:rPr>
                <w:sz w:val="16"/>
              </w:rPr>
            </w:pPr>
            <w:r>
              <w:rPr>
                <w:sz w:val="16"/>
              </w:rPr>
              <w:t>Cu</w:t>
            </w:r>
          </w:p>
        </w:tc>
        <w:tc>
          <w:tcPr>
            <w:tcW w:w="1649" w:type="dxa"/>
          </w:tcPr>
          <w:p w14:paraId="3886ED48" w14:textId="77777777" w:rsidR="00D21EA2" w:rsidRPr="003A3CEF" w:rsidRDefault="00515E5D">
            <w:pPr>
              <w:pStyle w:val="TableParagraph"/>
              <w:ind w:left="1" w:right="1"/>
              <w:jc w:val="center"/>
              <w:rPr>
                <w:sz w:val="16"/>
              </w:rPr>
            </w:pPr>
            <w:r>
              <w:rPr>
                <w:sz w:val="16"/>
              </w:rPr>
              <w:t>Zn</w:t>
            </w:r>
          </w:p>
        </w:tc>
        <w:tc>
          <w:tcPr>
            <w:tcW w:w="1649" w:type="dxa"/>
          </w:tcPr>
          <w:p w14:paraId="2B49C0D1" w14:textId="77777777" w:rsidR="00D21EA2" w:rsidRPr="003A3CEF" w:rsidRDefault="00515E5D">
            <w:pPr>
              <w:pStyle w:val="TableParagraph"/>
              <w:ind w:right="1"/>
              <w:jc w:val="center"/>
              <w:rPr>
                <w:sz w:val="16"/>
              </w:rPr>
            </w:pPr>
            <w:r>
              <w:rPr>
                <w:sz w:val="16"/>
              </w:rPr>
              <w:t>Sn</w:t>
            </w:r>
          </w:p>
        </w:tc>
        <w:tc>
          <w:tcPr>
            <w:tcW w:w="1655" w:type="dxa"/>
            <w:tcBorders>
              <w:right w:val="nil"/>
            </w:tcBorders>
          </w:tcPr>
          <w:p w14:paraId="4776EDB6" w14:textId="77777777" w:rsidR="00D21EA2" w:rsidRPr="003A3CEF" w:rsidRDefault="00515E5D">
            <w:pPr>
              <w:pStyle w:val="TableParagraph"/>
              <w:ind w:left="36"/>
              <w:jc w:val="center"/>
              <w:rPr>
                <w:sz w:val="16"/>
              </w:rPr>
            </w:pPr>
            <w:r>
              <w:rPr>
                <w:sz w:val="16"/>
              </w:rPr>
              <w:t>P</w:t>
            </w:r>
          </w:p>
        </w:tc>
      </w:tr>
      <w:tr w:rsidR="00D21EA2" w:rsidRPr="003A3CEF" w14:paraId="72F1B245" w14:textId="77777777">
        <w:trPr>
          <w:trHeight w:val="316"/>
        </w:trPr>
        <w:tc>
          <w:tcPr>
            <w:tcW w:w="1643" w:type="dxa"/>
            <w:tcBorders>
              <w:left w:val="nil"/>
            </w:tcBorders>
          </w:tcPr>
          <w:p w14:paraId="2CA61EEC" w14:textId="77777777" w:rsidR="00D21EA2" w:rsidRPr="003A3CEF" w:rsidRDefault="00515E5D">
            <w:pPr>
              <w:pStyle w:val="TableParagraph"/>
              <w:spacing w:before="75"/>
              <w:rPr>
                <w:sz w:val="18"/>
              </w:rPr>
            </w:pPr>
            <w:r>
              <w:rPr>
                <w:sz w:val="18"/>
              </w:rPr>
              <w:t>63,5 % – 65,0 %</w:t>
            </w:r>
          </w:p>
        </w:tc>
        <w:tc>
          <w:tcPr>
            <w:tcW w:w="1649" w:type="dxa"/>
          </w:tcPr>
          <w:p w14:paraId="7BFD1BB2" w14:textId="77777777" w:rsidR="00D21EA2" w:rsidRPr="003A3CEF" w:rsidRDefault="00515E5D">
            <w:pPr>
              <w:pStyle w:val="TableParagraph"/>
              <w:spacing w:before="75"/>
              <w:ind w:left="37"/>
              <w:rPr>
                <w:sz w:val="18"/>
              </w:rPr>
            </w:pPr>
            <w:r>
              <w:rPr>
                <w:sz w:val="18"/>
              </w:rPr>
              <w:t>Overige</w:t>
            </w:r>
          </w:p>
        </w:tc>
        <w:tc>
          <w:tcPr>
            <w:tcW w:w="1649" w:type="dxa"/>
          </w:tcPr>
          <w:p w14:paraId="381C854F" w14:textId="77777777" w:rsidR="00D21EA2" w:rsidRPr="003A3CEF" w:rsidRDefault="00515E5D">
            <w:pPr>
              <w:pStyle w:val="TableParagraph"/>
              <w:spacing w:before="75"/>
              <w:ind w:left="37"/>
              <w:rPr>
                <w:sz w:val="18"/>
              </w:rPr>
            </w:pPr>
            <w:r>
              <w:rPr>
                <w:sz w:val="18"/>
              </w:rPr>
              <w:t>0,5 % – 1,0 %</w:t>
            </w:r>
          </w:p>
        </w:tc>
        <w:tc>
          <w:tcPr>
            <w:tcW w:w="1655" w:type="dxa"/>
            <w:tcBorders>
              <w:right w:val="nil"/>
            </w:tcBorders>
          </w:tcPr>
          <w:p w14:paraId="3932F51A" w14:textId="77777777" w:rsidR="00D21EA2" w:rsidRPr="003A3CEF" w:rsidRDefault="00515E5D">
            <w:pPr>
              <w:pStyle w:val="TableParagraph"/>
              <w:spacing w:before="75"/>
              <w:ind w:left="37"/>
              <w:rPr>
                <w:sz w:val="18"/>
              </w:rPr>
            </w:pPr>
            <w:r>
              <w:rPr>
                <w:sz w:val="18"/>
              </w:rPr>
              <w:t>0,05 % – 0,15 %</w:t>
            </w:r>
          </w:p>
        </w:tc>
      </w:tr>
    </w:tbl>
    <w:p w14:paraId="3D50FA60" w14:textId="77777777" w:rsidR="00D21EA2" w:rsidRPr="003A3CEF" w:rsidRDefault="00515E5D">
      <w:pPr>
        <w:pStyle w:val="BodyText"/>
        <w:spacing w:before="117"/>
      </w:pPr>
      <w:r>
        <w:t>Onvermijdelijke componenten (% (m/m)):</w:t>
      </w:r>
    </w:p>
    <w:p w14:paraId="66A211B6" w14:textId="77777777" w:rsidR="00D21EA2" w:rsidRPr="003A3CEF" w:rsidRDefault="00D21EA2">
      <w:pPr>
        <w:pStyle w:val="BodyText"/>
        <w:spacing w:before="4"/>
        <w:ind w:left="0"/>
        <w:rPr>
          <w:sz w:val="6"/>
        </w:rPr>
      </w:pPr>
    </w:p>
    <w:tbl>
      <w:tblPr>
        <w:tblW w:w="0" w:type="auto"/>
        <w:tblInd w:w="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31"/>
        <w:gridCol w:w="1637"/>
        <w:gridCol w:w="1637"/>
        <w:gridCol w:w="1637"/>
        <w:gridCol w:w="1643"/>
      </w:tblGrid>
      <w:tr w:rsidR="00D21EA2" w:rsidRPr="003A3CEF" w14:paraId="15387E81" w14:textId="77777777">
        <w:trPr>
          <w:trHeight w:val="216"/>
        </w:trPr>
        <w:tc>
          <w:tcPr>
            <w:tcW w:w="1631" w:type="dxa"/>
            <w:tcBorders>
              <w:left w:val="nil"/>
            </w:tcBorders>
          </w:tcPr>
          <w:p w14:paraId="728E4EFA" w14:textId="77777777" w:rsidR="00D21EA2" w:rsidRPr="003A3CEF" w:rsidRDefault="00515E5D">
            <w:pPr>
              <w:pStyle w:val="TableParagraph"/>
              <w:ind w:right="35"/>
              <w:jc w:val="center"/>
              <w:rPr>
                <w:sz w:val="16"/>
              </w:rPr>
            </w:pPr>
            <w:r>
              <w:rPr>
                <w:sz w:val="16"/>
              </w:rPr>
              <w:t>Al</w:t>
            </w:r>
          </w:p>
        </w:tc>
        <w:tc>
          <w:tcPr>
            <w:tcW w:w="1637" w:type="dxa"/>
          </w:tcPr>
          <w:p w14:paraId="5878C12F" w14:textId="77777777" w:rsidR="00D21EA2" w:rsidRPr="003A3CEF" w:rsidRDefault="00515E5D">
            <w:pPr>
              <w:pStyle w:val="TableParagraph"/>
              <w:ind w:left="1" w:right="1"/>
              <w:jc w:val="center"/>
              <w:rPr>
                <w:sz w:val="16"/>
              </w:rPr>
            </w:pPr>
            <w:r>
              <w:rPr>
                <w:sz w:val="16"/>
              </w:rPr>
              <w:t>Fe</w:t>
            </w:r>
          </w:p>
        </w:tc>
        <w:tc>
          <w:tcPr>
            <w:tcW w:w="1637" w:type="dxa"/>
          </w:tcPr>
          <w:p w14:paraId="2B98055D" w14:textId="77777777" w:rsidR="00D21EA2" w:rsidRPr="003A3CEF" w:rsidRDefault="00515E5D">
            <w:pPr>
              <w:pStyle w:val="TableParagraph"/>
              <w:ind w:right="1"/>
              <w:jc w:val="center"/>
              <w:rPr>
                <w:sz w:val="16"/>
              </w:rPr>
            </w:pPr>
            <w:r>
              <w:rPr>
                <w:sz w:val="16"/>
              </w:rPr>
              <w:t>Ni</w:t>
            </w:r>
          </w:p>
        </w:tc>
        <w:tc>
          <w:tcPr>
            <w:tcW w:w="1637" w:type="dxa"/>
          </w:tcPr>
          <w:p w14:paraId="021279BC" w14:textId="77777777" w:rsidR="00D21EA2" w:rsidRPr="003A3CEF" w:rsidRDefault="00515E5D">
            <w:pPr>
              <w:pStyle w:val="TableParagraph"/>
              <w:ind w:left="1" w:right="1"/>
              <w:jc w:val="center"/>
              <w:rPr>
                <w:sz w:val="16"/>
              </w:rPr>
            </w:pPr>
            <w:r>
              <w:rPr>
                <w:sz w:val="16"/>
              </w:rPr>
              <w:t>Pb</w:t>
            </w:r>
          </w:p>
        </w:tc>
        <w:tc>
          <w:tcPr>
            <w:tcW w:w="1643" w:type="dxa"/>
            <w:tcBorders>
              <w:right w:val="nil"/>
            </w:tcBorders>
          </w:tcPr>
          <w:p w14:paraId="19D4D693" w14:textId="77777777" w:rsidR="00D21EA2" w:rsidRPr="003A3CEF" w:rsidRDefault="00515E5D">
            <w:pPr>
              <w:pStyle w:val="TableParagraph"/>
              <w:ind w:left="69" w:right="36"/>
              <w:jc w:val="center"/>
              <w:rPr>
                <w:sz w:val="16"/>
              </w:rPr>
            </w:pPr>
            <w:r>
              <w:rPr>
                <w:sz w:val="16"/>
              </w:rPr>
              <w:t>SI</w:t>
            </w:r>
          </w:p>
        </w:tc>
      </w:tr>
      <w:tr w:rsidR="00D21EA2" w:rsidRPr="003A3CEF" w14:paraId="1B292E15" w14:textId="77777777">
        <w:trPr>
          <w:trHeight w:val="316"/>
        </w:trPr>
        <w:tc>
          <w:tcPr>
            <w:tcW w:w="1631" w:type="dxa"/>
            <w:tcBorders>
              <w:left w:val="nil"/>
            </w:tcBorders>
          </w:tcPr>
          <w:p w14:paraId="3359CEB7" w14:textId="77777777" w:rsidR="00D21EA2" w:rsidRPr="003A3CEF" w:rsidRDefault="00515E5D">
            <w:pPr>
              <w:pStyle w:val="TableParagraph"/>
              <w:spacing w:before="75"/>
              <w:rPr>
                <w:sz w:val="18"/>
              </w:rPr>
            </w:pPr>
            <w:r>
              <w:rPr>
                <w:sz w:val="18"/>
              </w:rPr>
              <w:t>≤ 0,05 %</w:t>
            </w:r>
          </w:p>
        </w:tc>
        <w:tc>
          <w:tcPr>
            <w:tcW w:w="1637" w:type="dxa"/>
          </w:tcPr>
          <w:p w14:paraId="175C10A2" w14:textId="77777777" w:rsidR="00D21EA2" w:rsidRPr="003A3CEF" w:rsidRDefault="00515E5D">
            <w:pPr>
              <w:pStyle w:val="TableParagraph"/>
              <w:spacing w:before="75"/>
              <w:ind w:left="37"/>
              <w:rPr>
                <w:sz w:val="18"/>
              </w:rPr>
            </w:pPr>
            <w:r>
              <w:rPr>
                <w:sz w:val="18"/>
              </w:rPr>
              <w:t>≤ 0,10 %</w:t>
            </w:r>
          </w:p>
        </w:tc>
        <w:tc>
          <w:tcPr>
            <w:tcW w:w="1637" w:type="dxa"/>
          </w:tcPr>
          <w:p w14:paraId="41F6DBA3" w14:textId="77777777" w:rsidR="00D21EA2" w:rsidRPr="003A3CEF" w:rsidRDefault="00515E5D">
            <w:pPr>
              <w:pStyle w:val="TableParagraph"/>
              <w:spacing w:before="75"/>
              <w:ind w:left="37"/>
              <w:rPr>
                <w:sz w:val="18"/>
              </w:rPr>
            </w:pPr>
            <w:r>
              <w:rPr>
                <w:sz w:val="18"/>
              </w:rPr>
              <w:t>≤ 0,10 %</w:t>
            </w:r>
          </w:p>
        </w:tc>
        <w:tc>
          <w:tcPr>
            <w:tcW w:w="1637" w:type="dxa"/>
          </w:tcPr>
          <w:p w14:paraId="3654CC50" w14:textId="77777777" w:rsidR="00D21EA2" w:rsidRPr="003A3CEF" w:rsidRDefault="00515E5D">
            <w:pPr>
              <w:pStyle w:val="TableParagraph"/>
              <w:spacing w:before="75"/>
              <w:ind w:left="36"/>
              <w:rPr>
                <w:sz w:val="18"/>
              </w:rPr>
            </w:pPr>
            <w:r>
              <w:rPr>
                <w:sz w:val="18"/>
              </w:rPr>
              <w:t>≤ 0,10 %</w:t>
            </w:r>
          </w:p>
        </w:tc>
        <w:tc>
          <w:tcPr>
            <w:tcW w:w="1643" w:type="dxa"/>
            <w:tcBorders>
              <w:right w:val="nil"/>
            </w:tcBorders>
          </w:tcPr>
          <w:p w14:paraId="6E2EF991" w14:textId="77777777" w:rsidR="00D21EA2" w:rsidRPr="003A3CEF" w:rsidRDefault="00515E5D">
            <w:pPr>
              <w:pStyle w:val="TableParagraph"/>
              <w:spacing w:before="75"/>
              <w:ind w:left="35"/>
              <w:rPr>
                <w:sz w:val="18"/>
              </w:rPr>
            </w:pPr>
            <w:r>
              <w:rPr>
                <w:sz w:val="18"/>
              </w:rPr>
              <w:t>≤ 0,10 %</w:t>
            </w:r>
          </w:p>
        </w:tc>
      </w:tr>
    </w:tbl>
    <w:p w14:paraId="15D99F97" w14:textId="18F52D0D" w:rsidR="00D21EA2" w:rsidRPr="003A3CEF" w:rsidRDefault="00515E5D">
      <w:pPr>
        <w:pStyle w:val="ListParagraph"/>
        <w:numPr>
          <w:ilvl w:val="0"/>
          <w:numId w:val="4"/>
        </w:numPr>
        <w:tabs>
          <w:tab w:val="left" w:pos="435"/>
        </w:tabs>
        <w:spacing w:before="117" w:line="249" w:lineRule="auto"/>
        <w:ind w:right="106" w:hanging="319"/>
        <w:jc w:val="both"/>
        <w:rPr>
          <w:sz w:val="18"/>
        </w:rPr>
      </w:pPr>
      <w:r>
        <w:rPr>
          <w:sz w:val="18"/>
        </w:rPr>
        <w:t>In de bijlage Positieve lijst van metalen materialen die geschikt zijn voor drinkwaterhygiëne, leidt de toevoeging van de nieuwe categorie 2.8 tot de verplaatsing van de verdere nummeringen in punt 2.</w:t>
      </w:r>
    </w:p>
    <w:p w14:paraId="2CF4D805" w14:textId="08C1DD69" w:rsidR="00D21EA2" w:rsidRPr="00693F62" w:rsidRDefault="00515E5D" w:rsidP="001D7495">
      <w:pPr>
        <w:pStyle w:val="ListParagraph"/>
        <w:numPr>
          <w:ilvl w:val="0"/>
          <w:numId w:val="4"/>
        </w:numPr>
        <w:tabs>
          <w:tab w:val="left" w:pos="435"/>
        </w:tabs>
        <w:spacing w:before="80" w:line="250" w:lineRule="auto"/>
        <w:ind w:left="431" w:right="108" w:hanging="318"/>
        <w:jc w:val="both"/>
        <w:rPr>
          <w:sz w:val="18"/>
        </w:rPr>
      </w:pPr>
      <w:r>
        <w:rPr>
          <w:sz w:val="18"/>
        </w:rPr>
        <w:t xml:space="preserve">Aan de bijlage “Positieve lijst van metalen materialen </w:t>
      </w:r>
      <w:r>
        <w:rPr>
          <w:sz w:val="18"/>
        </w:rPr>
        <w:t>die geschikt zijn voor drinkwaterhygiëne”, wordt in punt 3 “Galvanische Cu/Sn-coatings van het buitenoppervlak” het volgende toegevoegd:</w:t>
      </w:r>
    </w:p>
    <w:p w14:paraId="48100BBC" w14:textId="77777777" w:rsidR="00D21EA2" w:rsidRPr="003A3CEF" w:rsidRDefault="00515E5D">
      <w:pPr>
        <w:pStyle w:val="ListParagraph"/>
        <w:numPr>
          <w:ilvl w:val="1"/>
          <w:numId w:val="1"/>
        </w:numPr>
        <w:tabs>
          <w:tab w:val="left" w:pos="871"/>
        </w:tabs>
        <w:spacing w:before="77"/>
        <w:ind w:left="871" w:hanging="436"/>
        <w:rPr>
          <w:sz w:val="18"/>
        </w:rPr>
      </w:pPr>
      <w:r>
        <w:rPr>
          <w:sz w:val="18"/>
        </w:rPr>
        <w:t>Galvanische Cu/Sn-coatings van het buitenoppervlak</w:t>
      </w:r>
    </w:p>
    <w:p w14:paraId="2A9F15EC" w14:textId="77777777" w:rsidR="00D21EA2" w:rsidRPr="003A3CEF" w:rsidRDefault="00515E5D">
      <w:pPr>
        <w:pStyle w:val="BodyText"/>
        <w:spacing w:before="78" w:line="249" w:lineRule="auto"/>
        <w:ind w:right="106"/>
        <w:jc w:val="both"/>
      </w:pPr>
      <w:r>
        <w:t>Componenten gemaakt van alle metalen materialen volgens punt 2 Grond</w:t>
      </w:r>
      <w:r>
        <w:t>stoffen voor armaturen, pijpverbindingen, apparaten en pompen (B) evenals voor bouwonderdelen in armaturen, pijpverbindingen, apparaten en pompen (C) van deze positieve lijst kunnen galvanisch worden gecoat met een Cu/Sn-coating.</w:t>
      </w:r>
    </w:p>
    <w:p w14:paraId="3418C46B" w14:textId="77777777" w:rsidR="00D21EA2" w:rsidRPr="003A3CEF" w:rsidRDefault="00515E5D">
      <w:pPr>
        <w:pStyle w:val="BodyText"/>
        <w:spacing w:before="71"/>
      </w:pPr>
      <w:r>
        <w:t>Beperkingen.</w:t>
      </w:r>
    </w:p>
    <w:p w14:paraId="353413DD" w14:textId="77777777" w:rsidR="00D21EA2" w:rsidRPr="003A3CEF" w:rsidRDefault="00515E5D">
      <w:pPr>
        <w:pStyle w:val="ListParagraph"/>
        <w:numPr>
          <w:ilvl w:val="2"/>
          <w:numId w:val="1"/>
        </w:numPr>
        <w:tabs>
          <w:tab w:val="left" w:pos="635"/>
        </w:tabs>
        <w:spacing w:before="77"/>
        <w:ind w:left="635" w:hanging="170"/>
        <w:jc w:val="left"/>
        <w:rPr>
          <w:sz w:val="18"/>
        </w:rPr>
      </w:pPr>
      <w:r>
        <w:rPr>
          <w:sz w:val="18"/>
        </w:rPr>
        <w:t xml:space="preserve">Bestanddelen van de Cu/Sn-coating: Cu 62 (± 1) % en Sn 38 (± 1) % (molverhouding 1:1) </w:t>
      </w:r>
    </w:p>
    <w:p w14:paraId="29EADAB5" w14:textId="77777777" w:rsidR="00D21EA2" w:rsidRPr="003A3CEF" w:rsidRDefault="00515E5D">
      <w:pPr>
        <w:pStyle w:val="ListParagraph"/>
        <w:numPr>
          <w:ilvl w:val="2"/>
          <w:numId w:val="1"/>
        </w:numPr>
        <w:tabs>
          <w:tab w:val="left" w:pos="635"/>
        </w:tabs>
        <w:spacing w:before="78"/>
        <w:ind w:left="635" w:hanging="170"/>
        <w:jc w:val="left"/>
        <w:rPr>
          <w:sz w:val="18"/>
        </w:rPr>
      </w:pPr>
      <w:r>
        <w:rPr>
          <w:sz w:val="18"/>
        </w:rPr>
        <w:t>Zuiverheid van de gebruikte anoden: ≥ 99,90 %</w:t>
      </w:r>
    </w:p>
    <w:p w14:paraId="06C76EB2" w14:textId="77777777" w:rsidR="001D7495" w:rsidRPr="001D7495" w:rsidRDefault="00515E5D">
      <w:pPr>
        <w:pStyle w:val="ListParagraph"/>
        <w:numPr>
          <w:ilvl w:val="2"/>
          <w:numId w:val="1"/>
        </w:numPr>
        <w:tabs>
          <w:tab w:val="left" w:pos="634"/>
        </w:tabs>
        <w:spacing w:before="77" w:line="328" w:lineRule="auto"/>
        <w:ind w:right="5492" w:firstLine="29"/>
        <w:jc w:val="left"/>
        <w:rPr>
          <w:sz w:val="18"/>
        </w:rPr>
      </w:pPr>
      <w:r>
        <w:rPr>
          <w:sz w:val="18"/>
        </w:rPr>
        <w:t>Productiemethode voor coatings; galvaniseren</w:t>
      </w:r>
    </w:p>
    <w:p w14:paraId="31D507EE" w14:textId="400479F4" w:rsidR="00D21EA2" w:rsidRPr="003A3CEF" w:rsidRDefault="00515E5D" w:rsidP="001D7495">
      <w:pPr>
        <w:pStyle w:val="ListParagraph"/>
        <w:tabs>
          <w:tab w:val="left" w:pos="634"/>
        </w:tabs>
        <w:spacing w:before="0" w:line="329" w:lineRule="auto"/>
        <w:ind w:left="465" w:right="79" w:firstLine="0"/>
        <w:jc w:val="left"/>
        <w:rPr>
          <w:sz w:val="18"/>
        </w:rPr>
      </w:pPr>
      <w:r>
        <w:rPr>
          <w:sz w:val="18"/>
        </w:rPr>
        <w:t>Aanvullende eisen</w:t>
      </w:r>
    </w:p>
    <w:p w14:paraId="549DF573" w14:textId="77777777" w:rsidR="00D21EA2" w:rsidRPr="003A3CEF" w:rsidRDefault="00515E5D">
      <w:pPr>
        <w:pStyle w:val="BodyText"/>
        <w:spacing w:before="3" w:line="249" w:lineRule="auto"/>
        <w:ind w:right="106"/>
        <w:jc w:val="both"/>
      </w:pPr>
      <w:r>
        <w:t>Voor het desbetreffende productieproces moet worden aangetoo</w:t>
      </w:r>
      <w:r>
        <w:t>nd dat de eindproducten niet verontreinigd zijn met organische en anorganische stoffen die aan de galvaniseerbaden zijn toegevoegd. Dit kan worden aangetoond aan de hand van een migratietest overeenkomstig DIN EN 12873-1.</w:t>
      </w:r>
    </w:p>
    <w:p w14:paraId="4ADE1B43" w14:textId="4DA0ECB6" w:rsidR="00D21EA2" w:rsidRPr="003A3CEF" w:rsidRDefault="00515E5D">
      <w:pPr>
        <w:pStyle w:val="BodyText"/>
        <w:spacing w:before="70" w:line="249" w:lineRule="auto"/>
        <w:ind w:right="106"/>
        <w:jc w:val="both"/>
      </w:pPr>
      <w:r>
        <w:t>Dit bewijs kan in het kader van ee</w:t>
      </w:r>
      <w:r>
        <w:t>n vergunnings- of certificeringsprocedure worden geleverd. In een dergelijke procedure is het testen van de metaalafgifte niet noodzakelijk. Aanvullend is een kwaliteitsborgingssysteem voor het productieproces noodzakelijk.</w:t>
      </w:r>
    </w:p>
    <w:p w14:paraId="45C8B50D" w14:textId="77777777" w:rsidR="00D21EA2" w:rsidRPr="003A3CEF" w:rsidRDefault="00515E5D">
      <w:pPr>
        <w:pStyle w:val="ListParagraph"/>
        <w:numPr>
          <w:ilvl w:val="0"/>
          <w:numId w:val="4"/>
        </w:numPr>
        <w:tabs>
          <w:tab w:val="left" w:pos="435"/>
        </w:tabs>
        <w:spacing w:before="72" w:line="249" w:lineRule="auto"/>
        <w:ind w:right="106" w:hanging="319"/>
        <w:jc w:val="both"/>
        <w:rPr>
          <w:sz w:val="18"/>
        </w:rPr>
      </w:pPr>
      <w:r>
        <w:rPr>
          <w:sz w:val="18"/>
        </w:rPr>
        <w:t>In de bijlage “Positieve lijst v</w:t>
      </w:r>
      <w:r>
        <w:rPr>
          <w:sz w:val="18"/>
        </w:rPr>
        <w:t>an metalen materialen die geschikt zijn voor drinkwaterhygiëne”, worden de materialen “NiCr8020” en “TaCr” als volgt aangevuld in punt 4:</w:t>
      </w:r>
    </w:p>
    <w:p w14:paraId="3FD69A26" w14:textId="1D18AA04" w:rsidR="00D21EA2" w:rsidRPr="003A3CEF" w:rsidRDefault="00515E5D">
      <w:pPr>
        <w:pStyle w:val="BodyText"/>
        <w:spacing w:before="70"/>
        <w:jc w:val="both"/>
      </w:pPr>
      <w:r>
        <w:t>4.3.2 NiCr8020</w:t>
      </w:r>
    </w:p>
    <w:p w14:paraId="26E48942" w14:textId="77777777" w:rsidR="00D21EA2" w:rsidRPr="003A3CEF" w:rsidRDefault="00D21EA2">
      <w:pPr>
        <w:pStyle w:val="BodyText"/>
        <w:spacing w:before="3"/>
        <w:ind w:left="0"/>
        <w:rPr>
          <w:sz w:val="6"/>
        </w:rPr>
      </w:pPr>
    </w:p>
    <w:tbl>
      <w:tblPr>
        <w:tblW w:w="0" w:type="auto"/>
        <w:tblInd w:w="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68"/>
        <w:gridCol w:w="2679"/>
      </w:tblGrid>
      <w:tr w:rsidR="00D21EA2" w:rsidRPr="003A3CEF" w14:paraId="65002740" w14:textId="77777777">
        <w:trPr>
          <w:trHeight w:val="216"/>
        </w:trPr>
        <w:tc>
          <w:tcPr>
            <w:tcW w:w="2668" w:type="dxa"/>
            <w:tcBorders>
              <w:left w:val="nil"/>
            </w:tcBorders>
          </w:tcPr>
          <w:p w14:paraId="28728092" w14:textId="77777777" w:rsidR="00D21EA2" w:rsidRPr="003A3CEF" w:rsidRDefault="00515E5D">
            <w:pPr>
              <w:pStyle w:val="TableParagraph"/>
              <w:ind w:left="846"/>
              <w:rPr>
                <w:sz w:val="16"/>
              </w:rPr>
            </w:pPr>
            <w:r>
              <w:rPr>
                <w:sz w:val="16"/>
              </w:rPr>
              <w:t>Benaming</w:t>
            </w:r>
          </w:p>
        </w:tc>
        <w:tc>
          <w:tcPr>
            <w:tcW w:w="2679" w:type="dxa"/>
            <w:tcBorders>
              <w:right w:val="nil"/>
            </w:tcBorders>
          </w:tcPr>
          <w:p w14:paraId="4BBB217A" w14:textId="77777777" w:rsidR="00D21EA2" w:rsidRPr="003A3CEF" w:rsidRDefault="00515E5D">
            <w:pPr>
              <w:pStyle w:val="TableParagraph"/>
              <w:ind w:left="816"/>
              <w:rPr>
                <w:sz w:val="16"/>
              </w:rPr>
            </w:pPr>
            <w:r>
              <w:rPr>
                <w:sz w:val="16"/>
              </w:rPr>
              <w:t>Productengroep</w:t>
            </w:r>
          </w:p>
        </w:tc>
      </w:tr>
      <w:tr w:rsidR="00D21EA2" w:rsidRPr="003A3CEF" w14:paraId="6682B54C" w14:textId="77777777">
        <w:trPr>
          <w:trHeight w:val="317"/>
        </w:trPr>
        <w:tc>
          <w:tcPr>
            <w:tcW w:w="2668" w:type="dxa"/>
            <w:tcBorders>
              <w:left w:val="nil"/>
            </w:tcBorders>
          </w:tcPr>
          <w:p w14:paraId="51EEAB99" w14:textId="77777777" w:rsidR="00D21EA2" w:rsidRPr="003A3CEF" w:rsidRDefault="00515E5D">
            <w:pPr>
              <w:pStyle w:val="TableParagraph"/>
              <w:spacing w:before="75"/>
              <w:rPr>
                <w:sz w:val="18"/>
              </w:rPr>
            </w:pPr>
            <w:r>
              <w:rPr>
                <w:sz w:val="18"/>
              </w:rPr>
              <w:t>NiCr8020</w:t>
            </w:r>
          </w:p>
        </w:tc>
        <w:tc>
          <w:tcPr>
            <w:tcW w:w="2679" w:type="dxa"/>
            <w:tcBorders>
              <w:right w:val="nil"/>
            </w:tcBorders>
          </w:tcPr>
          <w:p w14:paraId="4C39F542" w14:textId="77777777" w:rsidR="00D21EA2" w:rsidRPr="003A3CEF" w:rsidRDefault="00515E5D">
            <w:pPr>
              <w:pStyle w:val="TableParagraph"/>
              <w:spacing w:before="75"/>
              <w:ind w:left="37"/>
              <w:rPr>
                <w:sz w:val="18"/>
              </w:rPr>
            </w:pPr>
            <w:r>
              <w:rPr>
                <w:sz w:val="18"/>
              </w:rPr>
              <w:t>B – D</w:t>
            </w:r>
          </w:p>
        </w:tc>
      </w:tr>
    </w:tbl>
    <w:p w14:paraId="3F721A06" w14:textId="77777777" w:rsidR="00D21EA2" w:rsidRPr="003A3CEF" w:rsidRDefault="00515E5D">
      <w:pPr>
        <w:pStyle w:val="BodyText"/>
        <w:spacing w:before="117"/>
        <w:jc w:val="both"/>
      </w:pPr>
      <w:r>
        <w:t>Legeringsbestanddelen (% (m/m)):</w:t>
      </w:r>
    </w:p>
    <w:p w14:paraId="175D23DC" w14:textId="77777777" w:rsidR="00D21EA2" w:rsidRPr="003A3CEF" w:rsidRDefault="00D21EA2">
      <w:pPr>
        <w:pStyle w:val="BodyText"/>
        <w:spacing w:before="3"/>
        <w:ind w:left="0"/>
        <w:rPr>
          <w:sz w:val="6"/>
        </w:rPr>
      </w:pPr>
    </w:p>
    <w:tbl>
      <w:tblPr>
        <w:tblW w:w="0" w:type="auto"/>
        <w:tblInd w:w="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88"/>
        <w:gridCol w:w="1594"/>
        <w:gridCol w:w="1600"/>
      </w:tblGrid>
      <w:tr w:rsidR="00D21EA2" w:rsidRPr="003A3CEF" w14:paraId="08EB271E" w14:textId="77777777">
        <w:trPr>
          <w:trHeight w:val="216"/>
        </w:trPr>
        <w:tc>
          <w:tcPr>
            <w:tcW w:w="1588" w:type="dxa"/>
            <w:tcBorders>
              <w:left w:val="nil"/>
            </w:tcBorders>
          </w:tcPr>
          <w:p w14:paraId="6B3573EE" w14:textId="77777777" w:rsidR="00D21EA2" w:rsidRPr="003A3CEF" w:rsidRDefault="00515E5D">
            <w:pPr>
              <w:pStyle w:val="TableParagraph"/>
              <w:ind w:right="37"/>
              <w:jc w:val="center"/>
              <w:rPr>
                <w:sz w:val="16"/>
              </w:rPr>
            </w:pPr>
            <w:r>
              <w:rPr>
                <w:sz w:val="16"/>
              </w:rPr>
              <w:t>Ni</w:t>
            </w:r>
          </w:p>
        </w:tc>
        <w:tc>
          <w:tcPr>
            <w:tcW w:w="1594" w:type="dxa"/>
          </w:tcPr>
          <w:p w14:paraId="7CAD5676" w14:textId="77777777" w:rsidR="00D21EA2" w:rsidRPr="003A3CEF" w:rsidRDefault="00515E5D">
            <w:pPr>
              <w:pStyle w:val="TableParagraph"/>
              <w:jc w:val="center"/>
              <w:rPr>
                <w:sz w:val="16"/>
              </w:rPr>
            </w:pPr>
            <w:r>
              <w:rPr>
                <w:sz w:val="16"/>
              </w:rPr>
              <w:t>Cr</w:t>
            </w:r>
          </w:p>
        </w:tc>
        <w:tc>
          <w:tcPr>
            <w:tcW w:w="1600" w:type="dxa"/>
            <w:tcBorders>
              <w:right w:val="nil"/>
            </w:tcBorders>
          </w:tcPr>
          <w:p w14:paraId="20DAE761" w14:textId="77777777" w:rsidR="00D21EA2" w:rsidRPr="003A3CEF" w:rsidRDefault="00515E5D">
            <w:pPr>
              <w:pStyle w:val="TableParagraph"/>
              <w:ind w:left="36"/>
              <w:jc w:val="center"/>
              <w:rPr>
                <w:sz w:val="16"/>
              </w:rPr>
            </w:pPr>
            <w:r>
              <w:rPr>
                <w:sz w:val="16"/>
              </w:rPr>
              <w:t>SI</w:t>
            </w:r>
          </w:p>
        </w:tc>
      </w:tr>
      <w:tr w:rsidR="00D21EA2" w:rsidRPr="003A3CEF" w14:paraId="4AA3A126" w14:textId="77777777">
        <w:trPr>
          <w:trHeight w:val="316"/>
        </w:trPr>
        <w:tc>
          <w:tcPr>
            <w:tcW w:w="1588" w:type="dxa"/>
            <w:tcBorders>
              <w:left w:val="nil"/>
            </w:tcBorders>
          </w:tcPr>
          <w:p w14:paraId="40486A30" w14:textId="77777777" w:rsidR="00D21EA2" w:rsidRPr="003A3CEF" w:rsidRDefault="00515E5D">
            <w:pPr>
              <w:pStyle w:val="TableParagraph"/>
              <w:spacing w:before="75"/>
              <w:rPr>
                <w:sz w:val="18"/>
              </w:rPr>
            </w:pPr>
            <w:r>
              <w:rPr>
                <w:sz w:val="18"/>
              </w:rPr>
              <w:t>≥ 75,0 %</w:t>
            </w:r>
          </w:p>
        </w:tc>
        <w:tc>
          <w:tcPr>
            <w:tcW w:w="1594" w:type="dxa"/>
          </w:tcPr>
          <w:p w14:paraId="351E876F" w14:textId="77777777" w:rsidR="00D21EA2" w:rsidRPr="003A3CEF" w:rsidRDefault="00515E5D">
            <w:pPr>
              <w:pStyle w:val="TableParagraph"/>
              <w:spacing w:before="75"/>
              <w:ind w:left="38"/>
              <w:rPr>
                <w:sz w:val="18"/>
              </w:rPr>
            </w:pPr>
            <w:r>
              <w:rPr>
                <w:sz w:val="18"/>
              </w:rPr>
              <w:t>19,0 % — 21,0 %</w:t>
            </w:r>
          </w:p>
        </w:tc>
        <w:tc>
          <w:tcPr>
            <w:tcW w:w="1600" w:type="dxa"/>
            <w:tcBorders>
              <w:right w:val="nil"/>
            </w:tcBorders>
          </w:tcPr>
          <w:p w14:paraId="6F3E788D" w14:textId="77777777" w:rsidR="00D21EA2" w:rsidRPr="003A3CEF" w:rsidRDefault="00515E5D">
            <w:pPr>
              <w:pStyle w:val="TableParagraph"/>
              <w:spacing w:before="75"/>
              <w:ind w:left="37"/>
              <w:rPr>
                <w:sz w:val="18"/>
              </w:rPr>
            </w:pPr>
            <w:r>
              <w:rPr>
                <w:sz w:val="18"/>
              </w:rPr>
              <w:t>0,50 % — 2,0 %</w:t>
            </w:r>
          </w:p>
        </w:tc>
      </w:tr>
    </w:tbl>
    <w:p w14:paraId="026A0640" w14:textId="77777777" w:rsidR="00D21EA2" w:rsidRPr="003A3CEF" w:rsidRDefault="00515E5D">
      <w:pPr>
        <w:pStyle w:val="BodyText"/>
        <w:spacing w:before="118"/>
        <w:jc w:val="both"/>
      </w:pPr>
      <w:r>
        <w:t>Onvermijdelijke componenten (% (m/m)):</w:t>
      </w:r>
    </w:p>
    <w:p w14:paraId="387E77C1" w14:textId="77777777" w:rsidR="00D21EA2" w:rsidRPr="003A3CEF" w:rsidRDefault="00D21EA2">
      <w:pPr>
        <w:pStyle w:val="BodyText"/>
        <w:spacing w:before="3"/>
        <w:ind w:left="0"/>
        <w:rPr>
          <w:sz w:val="6"/>
        </w:rPr>
      </w:pPr>
    </w:p>
    <w:tbl>
      <w:tblPr>
        <w:tblW w:w="0" w:type="auto"/>
        <w:tblInd w:w="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9"/>
        <w:gridCol w:w="1035"/>
        <w:gridCol w:w="1035"/>
        <w:gridCol w:w="1035"/>
        <w:gridCol w:w="1035"/>
        <w:gridCol w:w="1035"/>
        <w:gridCol w:w="1035"/>
        <w:gridCol w:w="1035"/>
        <w:gridCol w:w="1041"/>
      </w:tblGrid>
      <w:tr w:rsidR="00D21EA2" w:rsidRPr="003A3CEF" w14:paraId="73576BFA" w14:textId="77777777">
        <w:trPr>
          <w:trHeight w:val="216"/>
        </w:trPr>
        <w:tc>
          <w:tcPr>
            <w:tcW w:w="1029" w:type="dxa"/>
            <w:tcBorders>
              <w:left w:val="nil"/>
            </w:tcBorders>
          </w:tcPr>
          <w:p w14:paraId="66C4EAEC" w14:textId="77777777" w:rsidR="00D21EA2" w:rsidRPr="003A3CEF" w:rsidRDefault="00515E5D">
            <w:pPr>
              <w:pStyle w:val="TableParagraph"/>
              <w:ind w:right="36"/>
              <w:jc w:val="center"/>
              <w:rPr>
                <w:sz w:val="16"/>
              </w:rPr>
            </w:pPr>
            <w:r>
              <w:rPr>
                <w:sz w:val="16"/>
              </w:rPr>
              <w:t>Al</w:t>
            </w:r>
          </w:p>
        </w:tc>
        <w:tc>
          <w:tcPr>
            <w:tcW w:w="1035" w:type="dxa"/>
          </w:tcPr>
          <w:p w14:paraId="2B755F57" w14:textId="77777777" w:rsidR="00D21EA2" w:rsidRPr="003A3CEF" w:rsidRDefault="00515E5D">
            <w:pPr>
              <w:pStyle w:val="TableParagraph"/>
              <w:jc w:val="center"/>
              <w:rPr>
                <w:sz w:val="16"/>
              </w:rPr>
            </w:pPr>
            <w:r>
              <w:rPr>
                <w:sz w:val="16"/>
              </w:rPr>
              <w:t>C</w:t>
            </w:r>
          </w:p>
        </w:tc>
        <w:tc>
          <w:tcPr>
            <w:tcW w:w="1035" w:type="dxa"/>
          </w:tcPr>
          <w:p w14:paraId="50D74CE5" w14:textId="77777777" w:rsidR="00D21EA2" w:rsidRPr="003A3CEF" w:rsidRDefault="00515E5D">
            <w:pPr>
              <w:pStyle w:val="TableParagraph"/>
              <w:ind w:left="1"/>
              <w:jc w:val="center"/>
              <w:rPr>
                <w:sz w:val="16"/>
              </w:rPr>
            </w:pPr>
            <w:r>
              <w:rPr>
                <w:sz w:val="16"/>
              </w:rPr>
              <w:t>Co</w:t>
            </w:r>
          </w:p>
        </w:tc>
        <w:tc>
          <w:tcPr>
            <w:tcW w:w="1035" w:type="dxa"/>
          </w:tcPr>
          <w:p w14:paraId="6EADC12F" w14:textId="77777777" w:rsidR="00D21EA2" w:rsidRPr="003A3CEF" w:rsidRDefault="00515E5D">
            <w:pPr>
              <w:pStyle w:val="TableParagraph"/>
              <w:ind w:left="1"/>
              <w:jc w:val="center"/>
              <w:rPr>
                <w:sz w:val="16"/>
              </w:rPr>
            </w:pPr>
            <w:r>
              <w:rPr>
                <w:sz w:val="16"/>
              </w:rPr>
              <w:t>Cu</w:t>
            </w:r>
          </w:p>
        </w:tc>
        <w:tc>
          <w:tcPr>
            <w:tcW w:w="1035" w:type="dxa"/>
          </w:tcPr>
          <w:p w14:paraId="1AD919AB" w14:textId="77777777" w:rsidR="00D21EA2" w:rsidRPr="003A3CEF" w:rsidRDefault="00515E5D">
            <w:pPr>
              <w:pStyle w:val="TableParagraph"/>
              <w:ind w:left="2"/>
              <w:jc w:val="center"/>
              <w:rPr>
                <w:sz w:val="16"/>
              </w:rPr>
            </w:pPr>
            <w:r>
              <w:rPr>
                <w:sz w:val="16"/>
              </w:rPr>
              <w:t>Fe</w:t>
            </w:r>
          </w:p>
        </w:tc>
        <w:tc>
          <w:tcPr>
            <w:tcW w:w="1035" w:type="dxa"/>
          </w:tcPr>
          <w:p w14:paraId="15BA76B0" w14:textId="77777777" w:rsidR="00D21EA2" w:rsidRPr="003A3CEF" w:rsidRDefault="00515E5D">
            <w:pPr>
              <w:pStyle w:val="TableParagraph"/>
              <w:ind w:left="1"/>
              <w:jc w:val="center"/>
              <w:rPr>
                <w:sz w:val="16"/>
              </w:rPr>
            </w:pPr>
            <w:r>
              <w:rPr>
                <w:sz w:val="16"/>
              </w:rPr>
              <w:t>Mn</w:t>
            </w:r>
          </w:p>
        </w:tc>
        <w:tc>
          <w:tcPr>
            <w:tcW w:w="1035" w:type="dxa"/>
          </w:tcPr>
          <w:p w14:paraId="2D67EEF1" w14:textId="77777777" w:rsidR="00D21EA2" w:rsidRPr="003A3CEF" w:rsidRDefault="00515E5D">
            <w:pPr>
              <w:pStyle w:val="TableParagraph"/>
              <w:ind w:left="1"/>
              <w:jc w:val="center"/>
              <w:rPr>
                <w:sz w:val="16"/>
              </w:rPr>
            </w:pPr>
            <w:r>
              <w:rPr>
                <w:sz w:val="16"/>
              </w:rPr>
              <w:t>P</w:t>
            </w:r>
          </w:p>
        </w:tc>
        <w:tc>
          <w:tcPr>
            <w:tcW w:w="1035" w:type="dxa"/>
          </w:tcPr>
          <w:p w14:paraId="07466574" w14:textId="77777777" w:rsidR="00D21EA2" w:rsidRPr="003A3CEF" w:rsidRDefault="00515E5D">
            <w:pPr>
              <w:pStyle w:val="TableParagraph"/>
              <w:ind w:left="2"/>
              <w:jc w:val="center"/>
              <w:rPr>
                <w:sz w:val="16"/>
              </w:rPr>
            </w:pPr>
            <w:r>
              <w:rPr>
                <w:sz w:val="16"/>
              </w:rPr>
              <w:t>S</w:t>
            </w:r>
          </w:p>
        </w:tc>
        <w:tc>
          <w:tcPr>
            <w:tcW w:w="1041" w:type="dxa"/>
            <w:tcBorders>
              <w:right w:val="nil"/>
            </w:tcBorders>
          </w:tcPr>
          <w:p w14:paraId="32AEB4B6" w14:textId="77777777" w:rsidR="00D21EA2" w:rsidRPr="003A3CEF" w:rsidRDefault="00515E5D">
            <w:pPr>
              <w:pStyle w:val="TableParagraph"/>
              <w:ind w:left="39"/>
              <w:jc w:val="center"/>
              <w:rPr>
                <w:sz w:val="16"/>
              </w:rPr>
            </w:pPr>
            <w:r>
              <w:rPr>
                <w:sz w:val="16"/>
              </w:rPr>
              <w:t>Ti</w:t>
            </w:r>
          </w:p>
        </w:tc>
      </w:tr>
      <w:tr w:rsidR="00D21EA2" w:rsidRPr="003A3CEF" w14:paraId="35DC2FE1" w14:textId="77777777">
        <w:trPr>
          <w:trHeight w:val="316"/>
        </w:trPr>
        <w:tc>
          <w:tcPr>
            <w:tcW w:w="1029" w:type="dxa"/>
            <w:tcBorders>
              <w:left w:val="nil"/>
            </w:tcBorders>
          </w:tcPr>
          <w:p w14:paraId="7BD6490F" w14:textId="77777777" w:rsidR="00D21EA2" w:rsidRPr="003A3CEF" w:rsidRDefault="00515E5D">
            <w:pPr>
              <w:pStyle w:val="TableParagraph"/>
              <w:spacing w:before="76"/>
              <w:rPr>
                <w:sz w:val="18"/>
              </w:rPr>
            </w:pPr>
            <w:r>
              <w:rPr>
                <w:sz w:val="18"/>
              </w:rPr>
              <w:t>≤ 0,30 %</w:t>
            </w:r>
          </w:p>
        </w:tc>
        <w:tc>
          <w:tcPr>
            <w:tcW w:w="1035" w:type="dxa"/>
          </w:tcPr>
          <w:p w14:paraId="66BDAC5F" w14:textId="77777777" w:rsidR="00D21EA2" w:rsidRPr="003A3CEF" w:rsidRDefault="00515E5D">
            <w:pPr>
              <w:pStyle w:val="TableParagraph"/>
              <w:spacing w:before="76"/>
              <w:ind w:left="38"/>
              <w:rPr>
                <w:sz w:val="18"/>
              </w:rPr>
            </w:pPr>
            <w:r>
              <w:rPr>
                <w:sz w:val="18"/>
              </w:rPr>
              <w:t>≤ 0,15 %</w:t>
            </w:r>
          </w:p>
        </w:tc>
        <w:tc>
          <w:tcPr>
            <w:tcW w:w="1035" w:type="dxa"/>
          </w:tcPr>
          <w:p w14:paraId="158AB652" w14:textId="77777777" w:rsidR="00D21EA2" w:rsidRPr="003A3CEF" w:rsidRDefault="00515E5D">
            <w:pPr>
              <w:pStyle w:val="TableParagraph"/>
              <w:spacing w:before="76"/>
              <w:ind w:left="38"/>
              <w:rPr>
                <w:sz w:val="18"/>
              </w:rPr>
            </w:pPr>
            <w:r>
              <w:rPr>
                <w:sz w:val="18"/>
              </w:rPr>
              <w:t>≤ 1,5 %</w:t>
            </w:r>
          </w:p>
        </w:tc>
        <w:tc>
          <w:tcPr>
            <w:tcW w:w="1035" w:type="dxa"/>
          </w:tcPr>
          <w:p w14:paraId="05811A4B" w14:textId="77777777" w:rsidR="00D21EA2" w:rsidRPr="003A3CEF" w:rsidRDefault="00515E5D">
            <w:pPr>
              <w:pStyle w:val="TableParagraph"/>
              <w:spacing w:before="76"/>
              <w:ind w:left="38"/>
              <w:rPr>
                <w:sz w:val="18"/>
              </w:rPr>
            </w:pPr>
            <w:r>
              <w:rPr>
                <w:sz w:val="18"/>
              </w:rPr>
              <w:t>≤ 0,50 %</w:t>
            </w:r>
          </w:p>
        </w:tc>
        <w:tc>
          <w:tcPr>
            <w:tcW w:w="1035" w:type="dxa"/>
          </w:tcPr>
          <w:p w14:paraId="44DA730E" w14:textId="77777777" w:rsidR="00D21EA2" w:rsidRPr="003A3CEF" w:rsidRDefault="00515E5D">
            <w:pPr>
              <w:pStyle w:val="TableParagraph"/>
              <w:spacing w:before="76"/>
              <w:ind w:left="39"/>
              <w:rPr>
                <w:sz w:val="18"/>
              </w:rPr>
            </w:pPr>
            <w:r>
              <w:rPr>
                <w:sz w:val="18"/>
              </w:rPr>
              <w:t>≤ 1,0 %</w:t>
            </w:r>
          </w:p>
        </w:tc>
        <w:tc>
          <w:tcPr>
            <w:tcW w:w="1035" w:type="dxa"/>
          </w:tcPr>
          <w:p w14:paraId="0B7CC8B0" w14:textId="77777777" w:rsidR="00D21EA2" w:rsidRPr="003A3CEF" w:rsidRDefault="00515E5D">
            <w:pPr>
              <w:pStyle w:val="TableParagraph"/>
              <w:spacing w:before="76"/>
              <w:ind w:left="39"/>
              <w:rPr>
                <w:sz w:val="18"/>
              </w:rPr>
            </w:pPr>
            <w:r>
              <w:rPr>
                <w:sz w:val="18"/>
              </w:rPr>
              <w:t>≤ 1,00 %</w:t>
            </w:r>
          </w:p>
        </w:tc>
        <w:tc>
          <w:tcPr>
            <w:tcW w:w="1035" w:type="dxa"/>
          </w:tcPr>
          <w:p w14:paraId="4D2BD14B" w14:textId="77777777" w:rsidR="00D21EA2" w:rsidRPr="003A3CEF" w:rsidRDefault="00515E5D">
            <w:pPr>
              <w:pStyle w:val="TableParagraph"/>
              <w:spacing w:before="76"/>
              <w:ind w:left="2" w:right="86"/>
              <w:jc w:val="center"/>
              <w:rPr>
                <w:sz w:val="18"/>
              </w:rPr>
            </w:pPr>
            <w:r>
              <w:rPr>
                <w:sz w:val="18"/>
              </w:rPr>
              <w:t>≤ 0,020 %</w:t>
            </w:r>
          </w:p>
        </w:tc>
        <w:tc>
          <w:tcPr>
            <w:tcW w:w="1035" w:type="dxa"/>
          </w:tcPr>
          <w:p w14:paraId="2508FD6B" w14:textId="77777777" w:rsidR="00D21EA2" w:rsidRPr="003A3CEF" w:rsidRDefault="00515E5D">
            <w:pPr>
              <w:pStyle w:val="TableParagraph"/>
              <w:spacing w:before="76"/>
              <w:ind w:left="2" w:right="86"/>
              <w:jc w:val="center"/>
              <w:rPr>
                <w:sz w:val="18"/>
              </w:rPr>
            </w:pPr>
            <w:r>
              <w:rPr>
                <w:sz w:val="18"/>
              </w:rPr>
              <w:t>≤ 0,015 %</w:t>
            </w:r>
          </w:p>
        </w:tc>
        <w:tc>
          <w:tcPr>
            <w:tcW w:w="1041" w:type="dxa"/>
            <w:tcBorders>
              <w:right w:val="nil"/>
            </w:tcBorders>
          </w:tcPr>
          <w:p w14:paraId="64EEBD2C" w14:textId="77777777" w:rsidR="00D21EA2" w:rsidRPr="003A3CEF" w:rsidRDefault="00515E5D">
            <w:pPr>
              <w:pStyle w:val="TableParagraph"/>
              <w:spacing w:before="76"/>
              <w:ind w:left="38"/>
              <w:rPr>
                <w:sz w:val="18"/>
              </w:rPr>
            </w:pPr>
            <w:r>
              <w:rPr>
                <w:sz w:val="18"/>
              </w:rPr>
              <w:t>≤ 0,1 %</w:t>
            </w:r>
          </w:p>
        </w:tc>
      </w:tr>
    </w:tbl>
    <w:p w14:paraId="5B259DFB" w14:textId="70FF6A52" w:rsidR="00D21EA2" w:rsidRPr="003A3CEF" w:rsidRDefault="00515E5D">
      <w:pPr>
        <w:pStyle w:val="BodyText"/>
        <w:spacing w:before="118"/>
        <w:jc w:val="both"/>
      </w:pPr>
      <w:r>
        <w:t>4.3.9 TaCr</w:t>
      </w:r>
    </w:p>
    <w:p w14:paraId="4D2A9ED1" w14:textId="77777777" w:rsidR="00D21EA2" w:rsidRPr="003A3CEF" w:rsidRDefault="00D21EA2">
      <w:pPr>
        <w:pStyle w:val="BodyText"/>
        <w:spacing w:before="3"/>
        <w:ind w:left="0"/>
        <w:rPr>
          <w:sz w:val="6"/>
        </w:rPr>
      </w:pPr>
    </w:p>
    <w:tbl>
      <w:tblPr>
        <w:tblW w:w="0" w:type="auto"/>
        <w:tblInd w:w="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68"/>
        <w:gridCol w:w="2679"/>
      </w:tblGrid>
      <w:tr w:rsidR="00D21EA2" w:rsidRPr="003A3CEF" w14:paraId="247D2F0E" w14:textId="77777777">
        <w:trPr>
          <w:trHeight w:val="216"/>
        </w:trPr>
        <w:tc>
          <w:tcPr>
            <w:tcW w:w="2668" w:type="dxa"/>
            <w:tcBorders>
              <w:left w:val="nil"/>
            </w:tcBorders>
          </w:tcPr>
          <w:p w14:paraId="771BA2B2" w14:textId="77777777" w:rsidR="00D21EA2" w:rsidRPr="003A3CEF" w:rsidRDefault="00515E5D">
            <w:pPr>
              <w:pStyle w:val="TableParagraph"/>
              <w:ind w:left="846"/>
              <w:rPr>
                <w:sz w:val="16"/>
              </w:rPr>
            </w:pPr>
            <w:r>
              <w:rPr>
                <w:sz w:val="16"/>
              </w:rPr>
              <w:t>Benaming</w:t>
            </w:r>
          </w:p>
        </w:tc>
        <w:tc>
          <w:tcPr>
            <w:tcW w:w="2679" w:type="dxa"/>
            <w:tcBorders>
              <w:right w:val="nil"/>
            </w:tcBorders>
          </w:tcPr>
          <w:p w14:paraId="7A3D80A5" w14:textId="77777777" w:rsidR="00D21EA2" w:rsidRPr="003A3CEF" w:rsidRDefault="00515E5D">
            <w:pPr>
              <w:pStyle w:val="TableParagraph"/>
              <w:ind w:left="816"/>
              <w:rPr>
                <w:sz w:val="16"/>
              </w:rPr>
            </w:pPr>
            <w:r>
              <w:rPr>
                <w:sz w:val="16"/>
              </w:rPr>
              <w:t>Productengroep</w:t>
            </w:r>
          </w:p>
        </w:tc>
      </w:tr>
      <w:tr w:rsidR="00D21EA2" w:rsidRPr="003A3CEF" w14:paraId="10B3525B" w14:textId="77777777">
        <w:trPr>
          <w:trHeight w:val="316"/>
        </w:trPr>
        <w:tc>
          <w:tcPr>
            <w:tcW w:w="2668" w:type="dxa"/>
            <w:tcBorders>
              <w:left w:val="nil"/>
            </w:tcBorders>
          </w:tcPr>
          <w:p w14:paraId="71830253" w14:textId="77777777" w:rsidR="00D21EA2" w:rsidRPr="003A3CEF" w:rsidRDefault="00515E5D">
            <w:pPr>
              <w:pStyle w:val="TableParagraph"/>
              <w:spacing w:before="76"/>
              <w:rPr>
                <w:sz w:val="18"/>
              </w:rPr>
            </w:pPr>
            <w:r>
              <w:rPr>
                <w:sz w:val="18"/>
              </w:rPr>
              <w:t>TaCr</w:t>
            </w:r>
          </w:p>
        </w:tc>
        <w:tc>
          <w:tcPr>
            <w:tcW w:w="2679" w:type="dxa"/>
            <w:tcBorders>
              <w:right w:val="nil"/>
            </w:tcBorders>
          </w:tcPr>
          <w:p w14:paraId="49FD2CFA" w14:textId="77777777" w:rsidR="00D21EA2" w:rsidRPr="003A3CEF" w:rsidRDefault="00515E5D">
            <w:pPr>
              <w:pStyle w:val="TableParagraph"/>
              <w:spacing w:before="76"/>
              <w:ind w:left="37"/>
              <w:rPr>
                <w:sz w:val="18"/>
              </w:rPr>
            </w:pPr>
            <w:r>
              <w:rPr>
                <w:sz w:val="18"/>
              </w:rPr>
              <w:t>C en D</w:t>
            </w:r>
          </w:p>
        </w:tc>
      </w:tr>
    </w:tbl>
    <w:p w14:paraId="4A6B373D" w14:textId="77777777" w:rsidR="00D21EA2" w:rsidRPr="003A3CEF" w:rsidRDefault="00515E5D">
      <w:pPr>
        <w:pStyle w:val="BodyText"/>
        <w:spacing w:before="118"/>
        <w:jc w:val="both"/>
      </w:pPr>
      <w:r>
        <w:t>Legeringsbestanddelen (% (m/m)):</w:t>
      </w:r>
    </w:p>
    <w:p w14:paraId="0E32F242" w14:textId="77777777" w:rsidR="00D21EA2" w:rsidRPr="003A3CEF" w:rsidRDefault="00D21EA2">
      <w:pPr>
        <w:pStyle w:val="BodyText"/>
        <w:spacing w:before="3"/>
        <w:ind w:left="0"/>
        <w:rPr>
          <w:sz w:val="6"/>
        </w:rPr>
      </w:pPr>
    </w:p>
    <w:tbl>
      <w:tblPr>
        <w:tblW w:w="0" w:type="auto"/>
        <w:tblInd w:w="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68"/>
        <w:gridCol w:w="2679"/>
      </w:tblGrid>
      <w:tr w:rsidR="00D21EA2" w:rsidRPr="003A3CEF" w14:paraId="01DFE65B" w14:textId="77777777">
        <w:trPr>
          <w:trHeight w:val="216"/>
        </w:trPr>
        <w:tc>
          <w:tcPr>
            <w:tcW w:w="2668" w:type="dxa"/>
            <w:tcBorders>
              <w:left w:val="nil"/>
            </w:tcBorders>
          </w:tcPr>
          <w:p w14:paraId="5384924F" w14:textId="77777777" w:rsidR="00D21EA2" w:rsidRPr="003A3CEF" w:rsidRDefault="00515E5D">
            <w:pPr>
              <w:pStyle w:val="TableParagraph"/>
              <w:ind w:right="1258"/>
              <w:jc w:val="right"/>
              <w:rPr>
                <w:sz w:val="16"/>
              </w:rPr>
            </w:pPr>
            <w:r>
              <w:rPr>
                <w:sz w:val="16"/>
              </w:rPr>
              <w:t>Ta:</w:t>
            </w:r>
          </w:p>
        </w:tc>
        <w:tc>
          <w:tcPr>
            <w:tcW w:w="2679" w:type="dxa"/>
            <w:tcBorders>
              <w:right w:val="nil"/>
            </w:tcBorders>
          </w:tcPr>
          <w:p w14:paraId="1FEDD3B7" w14:textId="77777777" w:rsidR="00D21EA2" w:rsidRPr="003A3CEF" w:rsidRDefault="00515E5D">
            <w:pPr>
              <w:pStyle w:val="TableParagraph"/>
              <w:ind w:right="1230"/>
              <w:jc w:val="right"/>
              <w:rPr>
                <w:sz w:val="16"/>
              </w:rPr>
            </w:pPr>
            <w:r>
              <w:rPr>
                <w:sz w:val="16"/>
              </w:rPr>
              <w:t>Cr</w:t>
            </w:r>
          </w:p>
        </w:tc>
      </w:tr>
      <w:tr w:rsidR="00D21EA2" w:rsidRPr="003A3CEF" w14:paraId="10D1E257" w14:textId="77777777">
        <w:trPr>
          <w:trHeight w:val="316"/>
        </w:trPr>
        <w:tc>
          <w:tcPr>
            <w:tcW w:w="2668" w:type="dxa"/>
            <w:tcBorders>
              <w:left w:val="nil"/>
            </w:tcBorders>
          </w:tcPr>
          <w:p w14:paraId="0594E07E" w14:textId="77777777" w:rsidR="00D21EA2" w:rsidRPr="003A3CEF" w:rsidRDefault="00515E5D">
            <w:pPr>
              <w:pStyle w:val="TableParagraph"/>
              <w:spacing w:before="76"/>
              <w:ind w:right="1267"/>
              <w:jc w:val="right"/>
              <w:rPr>
                <w:sz w:val="18"/>
              </w:rPr>
            </w:pPr>
            <w:r>
              <w:rPr>
                <w:sz w:val="18"/>
              </w:rPr>
              <w:t>74,7 % - 80,7 %</w:t>
            </w:r>
          </w:p>
        </w:tc>
        <w:tc>
          <w:tcPr>
            <w:tcW w:w="2679" w:type="dxa"/>
            <w:tcBorders>
              <w:right w:val="nil"/>
            </w:tcBorders>
          </w:tcPr>
          <w:p w14:paraId="3B74F46E" w14:textId="77777777" w:rsidR="00D21EA2" w:rsidRPr="003A3CEF" w:rsidRDefault="00515E5D">
            <w:pPr>
              <w:pStyle w:val="TableParagraph"/>
              <w:spacing w:before="76"/>
              <w:ind w:right="1240"/>
              <w:jc w:val="right"/>
              <w:rPr>
                <w:sz w:val="18"/>
              </w:rPr>
            </w:pPr>
            <w:r>
              <w:rPr>
                <w:sz w:val="18"/>
              </w:rPr>
              <w:t>19,3 % — 25,3 %</w:t>
            </w:r>
          </w:p>
        </w:tc>
      </w:tr>
    </w:tbl>
    <w:p w14:paraId="5EE4EB9C" w14:textId="13FC0156" w:rsidR="00D21EA2" w:rsidRPr="003A3CEF" w:rsidRDefault="00515E5D">
      <w:pPr>
        <w:pStyle w:val="ListParagraph"/>
        <w:numPr>
          <w:ilvl w:val="0"/>
          <w:numId w:val="4"/>
        </w:numPr>
        <w:tabs>
          <w:tab w:val="left" w:pos="435"/>
        </w:tabs>
        <w:spacing w:before="118" w:line="249" w:lineRule="auto"/>
        <w:ind w:right="106" w:hanging="319"/>
        <w:jc w:val="both"/>
        <w:rPr>
          <w:sz w:val="18"/>
        </w:rPr>
      </w:pPr>
      <w:r>
        <w:rPr>
          <w:sz w:val="18"/>
        </w:rPr>
        <w:t xml:space="preserve">In de bijlage “Positieve lijst van metalen materialen die geschikt zijn voor drinkwaterhygiëne”, leidt de toevoeging van </w:t>
      </w:r>
      <w:r>
        <w:rPr>
          <w:sz w:val="18"/>
        </w:rPr>
        <w:lastRenderedPageBreak/>
        <w:t>de nieuwe materialen onder de punten 4.3.2 en 4.3.9 tot de verplaatsing van de verdere nummers in punt 4.</w:t>
      </w:r>
    </w:p>
    <w:p w14:paraId="33544368" w14:textId="77777777" w:rsidR="00D21EA2" w:rsidRPr="003A3CEF" w:rsidRDefault="00515E5D" w:rsidP="007B018D">
      <w:pPr>
        <w:pStyle w:val="BodyText"/>
        <w:keepNext/>
        <w:keepLines/>
        <w:spacing w:before="101"/>
        <w:ind w:left="1690" w:right="1684"/>
        <w:jc w:val="center"/>
      </w:pPr>
      <w:r>
        <w:t>II.</w:t>
      </w:r>
    </w:p>
    <w:p w14:paraId="42AAAE92" w14:textId="77777777" w:rsidR="00D21EA2" w:rsidRPr="003A3CEF" w:rsidRDefault="00515E5D" w:rsidP="007B018D">
      <w:pPr>
        <w:pStyle w:val="BodyText"/>
        <w:keepNext/>
        <w:keepLines/>
        <w:spacing w:before="73"/>
        <w:ind w:left="1690" w:right="1684"/>
        <w:jc w:val="center"/>
      </w:pPr>
      <w:r>
        <w:t>Inwerkingtreding</w:t>
      </w:r>
    </w:p>
    <w:p w14:paraId="28F7DCF3" w14:textId="77777777" w:rsidR="00D21EA2" w:rsidRPr="003A3CEF" w:rsidRDefault="00515E5D">
      <w:pPr>
        <w:pStyle w:val="BodyText"/>
        <w:spacing w:before="73"/>
        <w:ind w:left="113"/>
      </w:pPr>
      <w:r>
        <w:t>Deze wijzigingen treden in werking op de dag volgende op die van de bekendmaking in het Duits staatsblad.</w:t>
      </w:r>
    </w:p>
    <w:p w14:paraId="47E41BD0" w14:textId="77777777" w:rsidR="00D21EA2" w:rsidRPr="003A3CEF" w:rsidRDefault="00D21EA2">
      <w:pPr>
        <w:pStyle w:val="BodyText"/>
        <w:spacing w:before="14"/>
        <w:ind w:left="0"/>
      </w:pPr>
    </w:p>
    <w:p w14:paraId="150BC39F" w14:textId="77777777" w:rsidR="00D21EA2" w:rsidRPr="003A3CEF" w:rsidRDefault="00515E5D">
      <w:pPr>
        <w:pStyle w:val="BodyText"/>
        <w:spacing w:before="1"/>
        <w:ind w:left="113"/>
      </w:pPr>
      <w:r>
        <w:t>Dessau-Roßlau, 10 juni 2024</w:t>
      </w:r>
    </w:p>
    <w:p w14:paraId="698C0C34" w14:textId="77777777" w:rsidR="00634AF4" w:rsidRDefault="00515E5D">
      <w:pPr>
        <w:pStyle w:val="BodyText"/>
        <w:spacing w:before="2" w:line="320" w:lineRule="atLeast"/>
        <w:ind w:left="4078" w:right="4071"/>
        <w:jc w:val="center"/>
      </w:pPr>
      <w:r>
        <w:t>Federaal milieu-agentschap</w:t>
      </w:r>
    </w:p>
    <w:p w14:paraId="7F5C620E" w14:textId="09C1C415" w:rsidR="00D21EA2" w:rsidRPr="003A3CEF" w:rsidRDefault="00515E5D">
      <w:pPr>
        <w:pStyle w:val="BodyText"/>
        <w:spacing w:before="2" w:line="320" w:lineRule="atLeast"/>
        <w:ind w:left="4078" w:right="4071"/>
        <w:jc w:val="center"/>
      </w:pPr>
      <w:r>
        <w:t>De President</w:t>
      </w:r>
    </w:p>
    <w:p w14:paraId="162AB53D" w14:textId="77777777" w:rsidR="00D21EA2" w:rsidRPr="003A3CEF" w:rsidRDefault="00515E5D">
      <w:pPr>
        <w:pStyle w:val="BodyText"/>
        <w:spacing w:before="11"/>
        <w:ind w:left="1691" w:right="1687"/>
        <w:jc w:val="center"/>
      </w:pPr>
      <w:r>
        <w:t>Prof. Dr. Dirk Messner</w:t>
      </w:r>
    </w:p>
    <w:sectPr w:rsidR="00D21EA2" w:rsidRPr="003A3CEF" w:rsidSect="001D7495">
      <w:headerReference w:type="even" r:id="rId8"/>
      <w:headerReference w:type="default" r:id="rId9"/>
      <w:footerReference w:type="even" r:id="rId10"/>
      <w:footerReference w:type="default" r:id="rId11"/>
      <w:headerReference w:type="first" r:id="rId12"/>
      <w:footerReference w:type="first" r:id="rId13"/>
      <w:pgSz w:w="11920" w:h="16840"/>
      <w:pgMar w:top="1840" w:right="1040" w:bottom="560" w:left="1020" w:header="214"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65B86" w14:textId="77777777" w:rsidR="00515E5D" w:rsidRDefault="00515E5D">
      <w:r>
        <w:separator/>
      </w:r>
    </w:p>
  </w:endnote>
  <w:endnote w:type="continuationSeparator" w:id="0">
    <w:p w14:paraId="4C4D3711" w14:textId="77777777" w:rsidR="00515E5D" w:rsidRDefault="0051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1DF6" w14:textId="77777777" w:rsidR="00C532D2" w:rsidRDefault="00C53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BB22" w14:textId="6C49A03A" w:rsidR="00D21EA2" w:rsidRPr="003A3CEF" w:rsidRDefault="00D21EA2" w:rsidP="003A3CEF">
    <w:pPr>
      <w:pStyle w:val="Footer"/>
      <w:pBdr>
        <w:top w:val="single" w:sz="12"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5FB1" w14:textId="77777777" w:rsidR="00C532D2" w:rsidRDefault="00C53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1ED40" w14:textId="77777777" w:rsidR="00515E5D" w:rsidRDefault="00515E5D">
      <w:r>
        <w:separator/>
      </w:r>
    </w:p>
  </w:footnote>
  <w:footnote w:type="continuationSeparator" w:id="0">
    <w:p w14:paraId="0347028A" w14:textId="77777777" w:rsidR="00515E5D" w:rsidRDefault="00515E5D">
      <w:r>
        <w:continuationSeparator/>
      </w:r>
    </w:p>
  </w:footnote>
  <w:footnote w:id="1">
    <w:p w14:paraId="5DCD95D2" w14:textId="4362685C" w:rsidR="00C752E8" w:rsidRPr="00C752E8" w:rsidRDefault="00C752E8" w:rsidP="001D7495">
      <w:pPr>
        <w:pStyle w:val="FootnoteText"/>
        <w:ind w:left="284" w:hanging="284"/>
      </w:pPr>
      <w:r>
        <w:rPr>
          <w:rStyle w:val="FootnoteReference"/>
        </w:rPr>
        <w:footnoteRef/>
      </w:r>
      <w:r>
        <w:t xml:space="preserve"> </w:t>
      </w:r>
      <w:r>
        <w:tab/>
      </w:r>
      <w:r>
        <w:rPr>
          <w:sz w:val="14"/>
        </w:rPr>
        <w:t>Aanmelding heeft plaatsgevonden overeenkomstig Richtlijn (EU) 2015/1535 van het Europees Parlement en de Raad van 9 september 2015 betreffende een informatieprocedure op het gebied van technische voorschriften en regels betreffende de diensten van de informatiemaatschappij. (PB L 241 van 17.9.2015, blz. 1).</w:t>
      </w:r>
    </w:p>
  </w:footnote>
  <w:footnote w:id="2">
    <w:p w14:paraId="3A83F447" w14:textId="314A66C4" w:rsidR="00C752E8" w:rsidRPr="00C752E8" w:rsidRDefault="00C752E8" w:rsidP="00C532D2">
      <w:pPr>
        <w:pStyle w:val="FootnoteText"/>
        <w:spacing w:after="120"/>
        <w:ind w:left="284" w:hanging="284"/>
      </w:pPr>
      <w:r>
        <w:rPr>
          <w:rStyle w:val="FootnoteReference"/>
        </w:rPr>
        <w:footnoteRef/>
      </w:r>
      <w:r>
        <w:t xml:space="preserve"> </w:t>
      </w:r>
      <w:r>
        <w:tab/>
      </w:r>
      <w:r>
        <w:rPr>
          <w:sz w:val="14"/>
        </w:rPr>
        <w:t xml:space="preserve">Aangemeld </w:t>
      </w:r>
      <w:r>
        <w:rPr>
          <w:sz w:val="14"/>
        </w:rPr>
        <w:t>onder 2024/0103/D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A0F4" w14:textId="77777777" w:rsidR="00C532D2" w:rsidRDefault="00C532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9" w:type="dxa"/>
      <w:tblInd w:w="-31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5038"/>
    </w:tblGrid>
    <w:tr w:rsidR="003A3CEF" w14:paraId="6CC6DA98" w14:textId="77777777" w:rsidTr="003A3CEF">
      <w:tc>
        <w:tcPr>
          <w:tcW w:w="5671" w:type="dxa"/>
        </w:tcPr>
        <w:p w14:paraId="42A6BE2B" w14:textId="77777777" w:rsidR="003A3CEF" w:rsidRPr="00644B9C" w:rsidRDefault="003A3CEF" w:rsidP="003A3CEF">
          <w:pPr>
            <w:ind w:left="1024"/>
            <w:rPr>
              <w:b/>
              <w:bCs/>
              <w:sz w:val="48"/>
              <w:szCs w:val="48"/>
            </w:rPr>
          </w:pPr>
          <w:r>
            <w:rPr>
              <w:noProof/>
            </w:rPr>
            <w:drawing>
              <wp:anchor distT="0" distB="0" distL="0" distR="0" simplePos="0" relativeHeight="251666432" behindDoc="1" locked="0" layoutInCell="1" allowOverlap="1" wp14:anchorId="6C6AFDA4" wp14:editId="5F916AA5">
                <wp:simplePos x="0" y="0"/>
                <wp:positionH relativeFrom="page">
                  <wp:posOffset>67310</wp:posOffset>
                </wp:positionH>
                <wp:positionV relativeFrom="page">
                  <wp:posOffset>133985</wp:posOffset>
                </wp:positionV>
                <wp:extent cx="600075" cy="535305"/>
                <wp:effectExtent l="0" t="0" r="9525" b="0"/>
                <wp:wrapNone/>
                <wp:docPr id="409679989" name="Image 1" descr="A black and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and white text&#10;&#10;Description automatically generated"/>
                        <pic:cNvPicPr/>
                      </pic:nvPicPr>
                      <pic:blipFill rotWithShape="1">
                        <a:blip r:embed="rId1" cstate="print"/>
                        <a:srcRect r="80812"/>
                        <a:stretch/>
                      </pic:blipFill>
                      <pic:spPr bwMode="auto">
                        <a:xfrm>
                          <a:off x="0" y="0"/>
                          <a:ext cx="600075" cy="535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b/>
              <w:sz w:val="48"/>
            </w:rPr>
            <w:t>Duits staatsblad</w:t>
          </w:r>
        </w:p>
        <w:p w14:paraId="11DA4879" w14:textId="77777777" w:rsidR="003A3CEF" w:rsidRPr="007B018D" w:rsidRDefault="003A3CEF" w:rsidP="003A3CEF">
          <w:pPr>
            <w:ind w:left="1024"/>
            <w:rPr>
              <w:sz w:val="20"/>
              <w:szCs w:val="20"/>
            </w:rPr>
          </w:pPr>
          <w:r>
            <w:rPr>
              <w:sz w:val="20"/>
            </w:rPr>
            <w:t>Gepubliceerd door</w:t>
          </w:r>
          <w:r>
            <w:rPr>
              <w:sz w:val="20"/>
            </w:rPr>
            <w:br/>
            <w:t>het Bondsministerie van Justitie</w:t>
          </w:r>
        </w:p>
        <w:p w14:paraId="4FF48002" w14:textId="17CB5157" w:rsidR="003A3CEF" w:rsidRDefault="00515E5D" w:rsidP="003A3CEF">
          <w:pPr>
            <w:pStyle w:val="Header"/>
            <w:spacing w:after="120"/>
            <w:ind w:left="1026"/>
          </w:pPr>
          <w:hyperlink r:id="rId2" w:history="1">
            <w:r w:rsidR="003A3CEF">
              <w:rPr>
                <w:rStyle w:val="Hyperlink"/>
                <w:b/>
                <w:sz w:val="16"/>
              </w:rPr>
              <w:t>www.bundesanzeiger.de</w:t>
            </w:r>
          </w:hyperlink>
        </w:p>
      </w:tc>
      <w:tc>
        <w:tcPr>
          <w:tcW w:w="5038" w:type="dxa"/>
        </w:tcPr>
        <w:p w14:paraId="68B535B3" w14:textId="77777777" w:rsidR="003A3CEF" w:rsidRDefault="003A3CEF" w:rsidP="003A3CEF">
          <w:pPr>
            <w:spacing w:before="45"/>
            <w:ind w:left="20"/>
            <w:rPr>
              <w:b/>
              <w:sz w:val="32"/>
            </w:rPr>
          </w:pPr>
          <w:r>
            <w:rPr>
              <w:b/>
              <w:sz w:val="32"/>
            </w:rPr>
            <w:t>Afkondiging</w:t>
          </w:r>
        </w:p>
        <w:p w14:paraId="67575A73" w14:textId="77777777" w:rsidR="003A3CEF" w:rsidRDefault="003A3CEF" w:rsidP="003A3CEF">
          <w:pPr>
            <w:pStyle w:val="BodyText"/>
            <w:spacing w:before="80"/>
            <w:ind w:left="20"/>
          </w:pPr>
          <w:r>
            <w:t>Gepubliceerd op vrijdag 21 juni 2024</w:t>
          </w:r>
        </w:p>
        <w:p w14:paraId="0AD9F43D" w14:textId="1D35E2BE" w:rsidR="003A3CEF" w:rsidRDefault="003A3CEF" w:rsidP="003A3CEF">
          <w:pPr>
            <w:pStyle w:val="BodyText"/>
            <w:spacing w:before="80"/>
            <w:ind w:left="20"/>
          </w:pPr>
          <w:r>
            <w:t>Duits staatsblad AT 21.6.2024 B10</w:t>
          </w:r>
        </w:p>
        <w:p w14:paraId="71DFAFDB" w14:textId="667B8453" w:rsidR="003A3CEF" w:rsidRPr="003A3CEF" w:rsidRDefault="003A3CEF" w:rsidP="003A3CEF">
          <w:pPr>
            <w:pStyle w:val="Header"/>
            <w:spacing w:before="80"/>
            <w:ind w:left="20"/>
            <w:rPr>
              <w:sz w:val="18"/>
              <w:szCs w:val="18"/>
            </w:rPr>
          </w:pPr>
          <w:r>
            <w:rPr>
              <w:sz w:val="18"/>
            </w:rPr>
            <w:t xml:space="preserve">Pagina </w:t>
          </w:r>
          <w:r w:rsidRPr="003A3CEF">
            <w:rPr>
              <w:sz w:val="18"/>
            </w:rPr>
            <w:fldChar w:fldCharType="begin"/>
          </w:r>
          <w:r w:rsidRPr="003A3CEF">
            <w:rPr>
              <w:sz w:val="18"/>
            </w:rPr>
            <w:instrText xml:space="preserve"> PAGE </w:instrText>
          </w:r>
          <w:r w:rsidRPr="003A3CEF">
            <w:rPr>
              <w:sz w:val="18"/>
            </w:rPr>
            <w:fldChar w:fldCharType="separate"/>
          </w:r>
          <w:r w:rsidRPr="003A3CEF">
            <w:rPr>
              <w:sz w:val="18"/>
            </w:rPr>
            <w:t>1</w:t>
          </w:r>
          <w:r w:rsidRPr="003A3CEF">
            <w:rPr>
              <w:sz w:val="18"/>
            </w:rPr>
            <w:fldChar w:fldCharType="end"/>
          </w:r>
          <w:r>
            <w:rPr>
              <w:sz w:val="18"/>
            </w:rPr>
            <w:t xml:space="preserve"> van </w:t>
          </w:r>
          <w:r w:rsidRPr="003A3CEF">
            <w:rPr>
              <w:sz w:val="18"/>
            </w:rPr>
            <w:fldChar w:fldCharType="begin"/>
          </w:r>
          <w:r w:rsidRPr="003A3CEF">
            <w:rPr>
              <w:sz w:val="18"/>
            </w:rPr>
            <w:instrText xml:space="preserve"> NUMPAGES </w:instrText>
          </w:r>
          <w:r w:rsidRPr="003A3CEF">
            <w:rPr>
              <w:sz w:val="18"/>
            </w:rPr>
            <w:fldChar w:fldCharType="separate"/>
          </w:r>
          <w:r w:rsidRPr="003A3CEF">
            <w:rPr>
              <w:sz w:val="18"/>
            </w:rPr>
            <w:t>5</w:t>
          </w:r>
          <w:r w:rsidRPr="003A3CEF">
            <w:rPr>
              <w:sz w:val="18"/>
            </w:rPr>
            <w:fldChar w:fldCharType="end"/>
          </w:r>
        </w:p>
      </w:tc>
    </w:tr>
  </w:tbl>
  <w:p w14:paraId="03BD0224" w14:textId="53006803" w:rsidR="003A3CEF" w:rsidRDefault="003A3CEF">
    <w:pPr>
      <w:pStyle w:val="Header"/>
      <w:rPr>
        <w:lang w:val="el-GR"/>
      </w:rPr>
    </w:pPr>
  </w:p>
  <w:p w14:paraId="6FCCC019" w14:textId="77777777" w:rsidR="001D7495" w:rsidRPr="001D7495" w:rsidRDefault="001D7495">
    <w:pPr>
      <w:pStyle w:val="Header"/>
      <w:rPr>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AEE6" w14:textId="77777777" w:rsidR="00C532D2" w:rsidRDefault="00C53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862D4"/>
    <w:multiLevelType w:val="multilevel"/>
    <w:tmpl w:val="8D78D4DC"/>
    <w:lvl w:ilvl="0">
      <w:start w:val="3"/>
      <w:numFmt w:val="decimal"/>
      <w:lvlText w:val="%1"/>
      <w:lvlJc w:val="left"/>
      <w:pPr>
        <w:ind w:left="872" w:hanging="437"/>
      </w:pPr>
      <w:rPr>
        <w:rFonts w:hint="default"/>
        <w:lang w:val="de-DE" w:eastAsia="en-US" w:bidi="ar-SA"/>
      </w:rPr>
    </w:lvl>
    <w:lvl w:ilvl="1">
      <w:start w:val="3"/>
      <w:numFmt w:val="decimal"/>
      <w:lvlText w:val="%1.%2"/>
      <w:lvlJc w:val="left"/>
      <w:pPr>
        <w:ind w:left="872" w:hanging="437"/>
      </w:pPr>
      <w:rPr>
        <w:rFonts w:ascii="Arial" w:eastAsia="Arial" w:hAnsi="Arial" w:cs="Arial" w:hint="default"/>
        <w:b w:val="0"/>
        <w:bCs w:val="0"/>
        <w:i w:val="0"/>
        <w:iCs w:val="0"/>
        <w:spacing w:val="0"/>
        <w:w w:val="100"/>
        <w:sz w:val="18"/>
        <w:szCs w:val="18"/>
        <w:lang w:val="de-DE" w:eastAsia="en-US" w:bidi="ar-SA"/>
      </w:rPr>
    </w:lvl>
    <w:lvl w:ilvl="2">
      <w:numFmt w:val="bullet"/>
      <w:lvlText w:val="–"/>
      <w:lvlJc w:val="left"/>
      <w:pPr>
        <w:ind w:left="435" w:hanging="171"/>
      </w:pPr>
      <w:rPr>
        <w:rFonts w:ascii="Arial" w:eastAsia="Arial" w:hAnsi="Arial" w:cs="Arial" w:hint="default"/>
        <w:b w:val="0"/>
        <w:bCs w:val="0"/>
        <w:i w:val="0"/>
        <w:iCs w:val="0"/>
        <w:spacing w:val="0"/>
        <w:w w:val="89"/>
        <w:sz w:val="18"/>
        <w:szCs w:val="18"/>
        <w:lang w:val="de-DE" w:eastAsia="en-US" w:bidi="ar-SA"/>
      </w:rPr>
    </w:lvl>
    <w:lvl w:ilvl="3">
      <w:numFmt w:val="bullet"/>
      <w:lvlText w:val="•"/>
      <w:lvlJc w:val="left"/>
      <w:pPr>
        <w:ind w:left="2875" w:hanging="171"/>
      </w:pPr>
      <w:rPr>
        <w:rFonts w:hint="default"/>
        <w:lang w:val="de-DE" w:eastAsia="en-US" w:bidi="ar-SA"/>
      </w:rPr>
    </w:lvl>
    <w:lvl w:ilvl="4">
      <w:numFmt w:val="bullet"/>
      <w:lvlText w:val="•"/>
      <w:lvlJc w:val="left"/>
      <w:pPr>
        <w:ind w:left="3873" w:hanging="171"/>
      </w:pPr>
      <w:rPr>
        <w:rFonts w:hint="default"/>
        <w:lang w:val="de-DE" w:eastAsia="en-US" w:bidi="ar-SA"/>
      </w:rPr>
    </w:lvl>
    <w:lvl w:ilvl="5">
      <w:numFmt w:val="bullet"/>
      <w:lvlText w:val="•"/>
      <w:lvlJc w:val="left"/>
      <w:pPr>
        <w:ind w:left="4871" w:hanging="171"/>
      </w:pPr>
      <w:rPr>
        <w:rFonts w:hint="default"/>
        <w:lang w:val="de-DE" w:eastAsia="en-US" w:bidi="ar-SA"/>
      </w:rPr>
    </w:lvl>
    <w:lvl w:ilvl="6">
      <w:numFmt w:val="bullet"/>
      <w:lvlText w:val="•"/>
      <w:lvlJc w:val="left"/>
      <w:pPr>
        <w:ind w:left="5868" w:hanging="171"/>
      </w:pPr>
      <w:rPr>
        <w:rFonts w:hint="default"/>
        <w:lang w:val="de-DE" w:eastAsia="en-US" w:bidi="ar-SA"/>
      </w:rPr>
    </w:lvl>
    <w:lvl w:ilvl="7">
      <w:numFmt w:val="bullet"/>
      <w:lvlText w:val="•"/>
      <w:lvlJc w:val="left"/>
      <w:pPr>
        <w:ind w:left="6866" w:hanging="171"/>
      </w:pPr>
      <w:rPr>
        <w:rFonts w:hint="default"/>
        <w:lang w:val="de-DE" w:eastAsia="en-US" w:bidi="ar-SA"/>
      </w:rPr>
    </w:lvl>
    <w:lvl w:ilvl="8">
      <w:numFmt w:val="bullet"/>
      <w:lvlText w:val="•"/>
      <w:lvlJc w:val="left"/>
      <w:pPr>
        <w:ind w:left="7864" w:hanging="171"/>
      </w:pPr>
      <w:rPr>
        <w:rFonts w:hint="default"/>
        <w:lang w:val="de-DE" w:eastAsia="en-US" w:bidi="ar-SA"/>
      </w:rPr>
    </w:lvl>
  </w:abstractNum>
  <w:abstractNum w:abstractNumId="1" w15:restartNumberingAfterBreak="0">
    <w:nsid w:val="3DA80D2F"/>
    <w:multiLevelType w:val="hybridMultilevel"/>
    <w:tmpl w:val="4C6C3028"/>
    <w:lvl w:ilvl="0" w:tplc="E57ED02E">
      <w:start w:val="1"/>
      <w:numFmt w:val="decimal"/>
      <w:lvlText w:val="%1."/>
      <w:lvlJc w:val="left"/>
      <w:pPr>
        <w:ind w:left="435" w:hanging="217"/>
        <w:jc w:val="right"/>
      </w:pPr>
      <w:rPr>
        <w:rFonts w:ascii="Arial" w:eastAsia="Arial" w:hAnsi="Arial" w:cs="Arial" w:hint="default"/>
        <w:b w:val="0"/>
        <w:bCs w:val="0"/>
        <w:i w:val="0"/>
        <w:iCs w:val="0"/>
        <w:spacing w:val="0"/>
        <w:w w:val="100"/>
        <w:sz w:val="18"/>
        <w:szCs w:val="18"/>
        <w:lang w:val="de-DE" w:eastAsia="en-US" w:bidi="ar-SA"/>
      </w:rPr>
    </w:lvl>
    <w:lvl w:ilvl="1" w:tplc="22405636">
      <w:start w:val="1"/>
      <w:numFmt w:val="lowerLetter"/>
      <w:lvlText w:val="%2)"/>
      <w:lvlJc w:val="left"/>
      <w:pPr>
        <w:ind w:left="676" w:hanging="210"/>
      </w:pPr>
      <w:rPr>
        <w:rFonts w:ascii="Arial" w:eastAsia="Arial" w:hAnsi="Arial" w:cs="Arial" w:hint="default"/>
        <w:b w:val="0"/>
        <w:bCs w:val="0"/>
        <w:i w:val="0"/>
        <w:iCs w:val="0"/>
        <w:spacing w:val="0"/>
        <w:w w:val="100"/>
        <w:sz w:val="18"/>
        <w:szCs w:val="18"/>
        <w:lang w:val="de-DE" w:eastAsia="en-US" w:bidi="ar-SA"/>
      </w:rPr>
    </w:lvl>
    <w:lvl w:ilvl="2" w:tplc="50727C02">
      <w:numFmt w:val="bullet"/>
      <w:lvlText w:val="•"/>
      <w:lvlJc w:val="left"/>
      <w:pPr>
        <w:ind w:left="1700" w:hanging="210"/>
      </w:pPr>
      <w:rPr>
        <w:rFonts w:hint="default"/>
        <w:lang w:val="de-DE" w:eastAsia="en-US" w:bidi="ar-SA"/>
      </w:rPr>
    </w:lvl>
    <w:lvl w:ilvl="3" w:tplc="E65A9F1C">
      <w:numFmt w:val="bullet"/>
      <w:lvlText w:val="•"/>
      <w:lvlJc w:val="left"/>
      <w:pPr>
        <w:ind w:left="2720" w:hanging="210"/>
      </w:pPr>
      <w:rPr>
        <w:rFonts w:hint="default"/>
        <w:lang w:val="de-DE" w:eastAsia="en-US" w:bidi="ar-SA"/>
      </w:rPr>
    </w:lvl>
    <w:lvl w:ilvl="4" w:tplc="67EE87A4">
      <w:numFmt w:val="bullet"/>
      <w:lvlText w:val="•"/>
      <w:lvlJc w:val="left"/>
      <w:pPr>
        <w:ind w:left="3740" w:hanging="210"/>
      </w:pPr>
      <w:rPr>
        <w:rFonts w:hint="default"/>
        <w:lang w:val="de-DE" w:eastAsia="en-US" w:bidi="ar-SA"/>
      </w:rPr>
    </w:lvl>
    <w:lvl w:ilvl="5" w:tplc="18783AEE">
      <w:numFmt w:val="bullet"/>
      <w:lvlText w:val="•"/>
      <w:lvlJc w:val="left"/>
      <w:pPr>
        <w:ind w:left="4760" w:hanging="210"/>
      </w:pPr>
      <w:rPr>
        <w:rFonts w:hint="default"/>
        <w:lang w:val="de-DE" w:eastAsia="en-US" w:bidi="ar-SA"/>
      </w:rPr>
    </w:lvl>
    <w:lvl w:ilvl="6" w:tplc="0B6CA01E">
      <w:numFmt w:val="bullet"/>
      <w:lvlText w:val="•"/>
      <w:lvlJc w:val="left"/>
      <w:pPr>
        <w:ind w:left="5780" w:hanging="210"/>
      </w:pPr>
      <w:rPr>
        <w:rFonts w:hint="default"/>
        <w:lang w:val="de-DE" w:eastAsia="en-US" w:bidi="ar-SA"/>
      </w:rPr>
    </w:lvl>
    <w:lvl w:ilvl="7" w:tplc="1A1E2FF6">
      <w:numFmt w:val="bullet"/>
      <w:lvlText w:val="•"/>
      <w:lvlJc w:val="left"/>
      <w:pPr>
        <w:ind w:left="6800" w:hanging="210"/>
      </w:pPr>
      <w:rPr>
        <w:rFonts w:hint="default"/>
        <w:lang w:val="de-DE" w:eastAsia="en-US" w:bidi="ar-SA"/>
      </w:rPr>
    </w:lvl>
    <w:lvl w:ilvl="8" w:tplc="758877D6">
      <w:numFmt w:val="bullet"/>
      <w:lvlText w:val="•"/>
      <w:lvlJc w:val="left"/>
      <w:pPr>
        <w:ind w:left="7820" w:hanging="210"/>
      </w:pPr>
      <w:rPr>
        <w:rFonts w:hint="default"/>
        <w:lang w:val="de-DE" w:eastAsia="en-US" w:bidi="ar-SA"/>
      </w:rPr>
    </w:lvl>
  </w:abstractNum>
  <w:abstractNum w:abstractNumId="2" w15:restartNumberingAfterBreak="0">
    <w:nsid w:val="6B1675B8"/>
    <w:multiLevelType w:val="hybridMultilevel"/>
    <w:tmpl w:val="C8E23D2C"/>
    <w:lvl w:ilvl="0" w:tplc="1ED64018">
      <w:numFmt w:val="bullet"/>
      <w:lvlText w:val="–"/>
      <w:lvlJc w:val="left"/>
      <w:pPr>
        <w:ind w:left="635" w:hanging="171"/>
      </w:pPr>
      <w:rPr>
        <w:rFonts w:ascii="Arial" w:eastAsia="Arial" w:hAnsi="Arial" w:cs="Arial" w:hint="default"/>
        <w:b w:val="0"/>
        <w:bCs w:val="0"/>
        <w:i w:val="0"/>
        <w:iCs w:val="0"/>
        <w:spacing w:val="0"/>
        <w:w w:val="89"/>
        <w:sz w:val="18"/>
        <w:szCs w:val="18"/>
        <w:lang w:val="de-DE" w:eastAsia="en-US" w:bidi="ar-SA"/>
      </w:rPr>
    </w:lvl>
    <w:lvl w:ilvl="1" w:tplc="6BE220CC">
      <w:numFmt w:val="bullet"/>
      <w:lvlText w:val="•"/>
      <w:lvlJc w:val="left"/>
      <w:pPr>
        <w:ind w:left="1562" w:hanging="171"/>
      </w:pPr>
      <w:rPr>
        <w:rFonts w:hint="default"/>
        <w:lang w:val="de-DE" w:eastAsia="en-US" w:bidi="ar-SA"/>
      </w:rPr>
    </w:lvl>
    <w:lvl w:ilvl="2" w:tplc="742C4D00">
      <w:numFmt w:val="bullet"/>
      <w:lvlText w:val="•"/>
      <w:lvlJc w:val="left"/>
      <w:pPr>
        <w:ind w:left="2484" w:hanging="171"/>
      </w:pPr>
      <w:rPr>
        <w:rFonts w:hint="default"/>
        <w:lang w:val="de-DE" w:eastAsia="en-US" w:bidi="ar-SA"/>
      </w:rPr>
    </w:lvl>
    <w:lvl w:ilvl="3" w:tplc="51269CF8">
      <w:numFmt w:val="bullet"/>
      <w:lvlText w:val="•"/>
      <w:lvlJc w:val="left"/>
      <w:pPr>
        <w:ind w:left="3406" w:hanging="171"/>
      </w:pPr>
      <w:rPr>
        <w:rFonts w:hint="default"/>
        <w:lang w:val="de-DE" w:eastAsia="en-US" w:bidi="ar-SA"/>
      </w:rPr>
    </w:lvl>
    <w:lvl w:ilvl="4" w:tplc="6A7CA634">
      <w:numFmt w:val="bullet"/>
      <w:lvlText w:val="•"/>
      <w:lvlJc w:val="left"/>
      <w:pPr>
        <w:ind w:left="4328" w:hanging="171"/>
      </w:pPr>
      <w:rPr>
        <w:rFonts w:hint="default"/>
        <w:lang w:val="de-DE" w:eastAsia="en-US" w:bidi="ar-SA"/>
      </w:rPr>
    </w:lvl>
    <w:lvl w:ilvl="5" w:tplc="BDFE6214">
      <w:numFmt w:val="bullet"/>
      <w:lvlText w:val="•"/>
      <w:lvlJc w:val="left"/>
      <w:pPr>
        <w:ind w:left="5250" w:hanging="171"/>
      </w:pPr>
      <w:rPr>
        <w:rFonts w:hint="default"/>
        <w:lang w:val="de-DE" w:eastAsia="en-US" w:bidi="ar-SA"/>
      </w:rPr>
    </w:lvl>
    <w:lvl w:ilvl="6" w:tplc="064E1954">
      <w:numFmt w:val="bullet"/>
      <w:lvlText w:val="•"/>
      <w:lvlJc w:val="left"/>
      <w:pPr>
        <w:ind w:left="6172" w:hanging="171"/>
      </w:pPr>
      <w:rPr>
        <w:rFonts w:hint="default"/>
        <w:lang w:val="de-DE" w:eastAsia="en-US" w:bidi="ar-SA"/>
      </w:rPr>
    </w:lvl>
    <w:lvl w:ilvl="7" w:tplc="15B05AF8">
      <w:numFmt w:val="bullet"/>
      <w:lvlText w:val="•"/>
      <w:lvlJc w:val="left"/>
      <w:pPr>
        <w:ind w:left="7094" w:hanging="171"/>
      </w:pPr>
      <w:rPr>
        <w:rFonts w:hint="default"/>
        <w:lang w:val="de-DE" w:eastAsia="en-US" w:bidi="ar-SA"/>
      </w:rPr>
    </w:lvl>
    <w:lvl w:ilvl="8" w:tplc="72E66C16">
      <w:numFmt w:val="bullet"/>
      <w:lvlText w:val="•"/>
      <w:lvlJc w:val="left"/>
      <w:pPr>
        <w:ind w:left="8016" w:hanging="171"/>
      </w:pPr>
      <w:rPr>
        <w:rFonts w:hint="default"/>
        <w:lang w:val="de-DE" w:eastAsia="en-US" w:bidi="ar-SA"/>
      </w:rPr>
    </w:lvl>
  </w:abstractNum>
  <w:abstractNum w:abstractNumId="3" w15:restartNumberingAfterBreak="0">
    <w:nsid w:val="78BC127D"/>
    <w:multiLevelType w:val="multilevel"/>
    <w:tmpl w:val="E1062E72"/>
    <w:lvl w:ilvl="0">
      <w:start w:val="2"/>
      <w:numFmt w:val="decimal"/>
      <w:lvlText w:val="%1"/>
      <w:lvlJc w:val="left"/>
      <w:pPr>
        <w:ind w:left="872" w:hanging="437"/>
      </w:pPr>
      <w:rPr>
        <w:rFonts w:hint="default"/>
        <w:lang w:val="de-DE" w:eastAsia="en-US" w:bidi="ar-SA"/>
      </w:rPr>
    </w:lvl>
    <w:lvl w:ilvl="1">
      <w:start w:val="8"/>
      <w:numFmt w:val="decimal"/>
      <w:lvlText w:val="%1.%2"/>
      <w:lvlJc w:val="left"/>
      <w:pPr>
        <w:ind w:left="872" w:hanging="437"/>
      </w:pPr>
      <w:rPr>
        <w:rFonts w:ascii="Arial" w:eastAsia="Arial" w:hAnsi="Arial" w:cs="Arial" w:hint="default"/>
        <w:b w:val="0"/>
        <w:bCs w:val="0"/>
        <w:i w:val="0"/>
        <w:iCs w:val="0"/>
        <w:spacing w:val="0"/>
        <w:w w:val="100"/>
        <w:sz w:val="18"/>
        <w:szCs w:val="18"/>
        <w:lang w:val="de-DE" w:eastAsia="en-US" w:bidi="ar-SA"/>
      </w:rPr>
    </w:lvl>
    <w:lvl w:ilvl="2">
      <w:start w:val="1"/>
      <w:numFmt w:val="decimal"/>
      <w:lvlText w:val="%1.%2.%3"/>
      <w:lvlJc w:val="left"/>
      <w:pPr>
        <w:ind w:left="435" w:hanging="591"/>
      </w:pPr>
      <w:rPr>
        <w:rFonts w:ascii="Arial" w:eastAsia="Arial" w:hAnsi="Arial" w:cs="Arial" w:hint="default"/>
        <w:b w:val="0"/>
        <w:bCs w:val="0"/>
        <w:i w:val="0"/>
        <w:iCs w:val="0"/>
        <w:spacing w:val="0"/>
        <w:w w:val="100"/>
        <w:sz w:val="18"/>
        <w:szCs w:val="18"/>
        <w:lang w:val="de-DE" w:eastAsia="en-US" w:bidi="ar-SA"/>
      </w:rPr>
    </w:lvl>
    <w:lvl w:ilvl="3">
      <w:start w:val="1"/>
      <w:numFmt w:val="decimal"/>
      <w:lvlText w:val="%1.%2.%3.%4"/>
      <w:lvlJc w:val="left"/>
      <w:pPr>
        <w:ind w:left="1180" w:hanging="745"/>
      </w:pPr>
      <w:rPr>
        <w:rFonts w:ascii="Arial" w:eastAsia="Arial" w:hAnsi="Arial" w:cs="Arial" w:hint="default"/>
        <w:b w:val="0"/>
        <w:bCs w:val="0"/>
        <w:i w:val="0"/>
        <w:iCs w:val="0"/>
        <w:spacing w:val="0"/>
        <w:w w:val="100"/>
        <w:sz w:val="18"/>
        <w:szCs w:val="18"/>
        <w:lang w:val="de-DE" w:eastAsia="en-US" w:bidi="ar-SA"/>
      </w:rPr>
    </w:lvl>
    <w:lvl w:ilvl="4">
      <w:numFmt w:val="bullet"/>
      <w:lvlText w:val="•"/>
      <w:lvlJc w:val="left"/>
      <w:pPr>
        <w:ind w:left="3350" w:hanging="745"/>
      </w:pPr>
      <w:rPr>
        <w:rFonts w:hint="default"/>
        <w:lang w:val="de-DE" w:eastAsia="en-US" w:bidi="ar-SA"/>
      </w:rPr>
    </w:lvl>
    <w:lvl w:ilvl="5">
      <w:numFmt w:val="bullet"/>
      <w:lvlText w:val="•"/>
      <w:lvlJc w:val="left"/>
      <w:pPr>
        <w:ind w:left="4435" w:hanging="745"/>
      </w:pPr>
      <w:rPr>
        <w:rFonts w:hint="default"/>
        <w:lang w:val="de-DE" w:eastAsia="en-US" w:bidi="ar-SA"/>
      </w:rPr>
    </w:lvl>
    <w:lvl w:ilvl="6">
      <w:numFmt w:val="bullet"/>
      <w:lvlText w:val="•"/>
      <w:lvlJc w:val="left"/>
      <w:pPr>
        <w:ind w:left="5520" w:hanging="745"/>
      </w:pPr>
      <w:rPr>
        <w:rFonts w:hint="default"/>
        <w:lang w:val="de-DE" w:eastAsia="en-US" w:bidi="ar-SA"/>
      </w:rPr>
    </w:lvl>
    <w:lvl w:ilvl="7">
      <w:numFmt w:val="bullet"/>
      <w:lvlText w:val="•"/>
      <w:lvlJc w:val="left"/>
      <w:pPr>
        <w:ind w:left="6605" w:hanging="745"/>
      </w:pPr>
      <w:rPr>
        <w:rFonts w:hint="default"/>
        <w:lang w:val="de-DE" w:eastAsia="en-US" w:bidi="ar-SA"/>
      </w:rPr>
    </w:lvl>
    <w:lvl w:ilvl="8">
      <w:numFmt w:val="bullet"/>
      <w:lvlText w:val="•"/>
      <w:lvlJc w:val="left"/>
      <w:pPr>
        <w:ind w:left="7690" w:hanging="745"/>
      </w:pPr>
      <w:rPr>
        <w:rFonts w:hint="default"/>
        <w:lang w:val="de-DE"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A2"/>
    <w:rsid w:val="001D7495"/>
    <w:rsid w:val="00326838"/>
    <w:rsid w:val="003A3CEF"/>
    <w:rsid w:val="004D1CBC"/>
    <w:rsid w:val="00515E5D"/>
    <w:rsid w:val="00634AF4"/>
    <w:rsid w:val="00693F62"/>
    <w:rsid w:val="007B018D"/>
    <w:rsid w:val="00BB11D9"/>
    <w:rsid w:val="00C532D2"/>
    <w:rsid w:val="00C752E8"/>
    <w:rsid w:val="00D21EA2"/>
    <w:rsid w:val="00E32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55ED2"/>
  <w15:docId w15:val="{D3A56BFC-1EE2-494A-9528-2E355F43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5">
    <w:name w:val="heading 5"/>
    <w:basedOn w:val="Normal"/>
    <w:next w:val="Normal"/>
    <w:link w:val="Heading5Char"/>
    <w:uiPriority w:val="9"/>
    <w:semiHidden/>
    <w:unhideWhenUsed/>
    <w:qFormat/>
    <w:rsid w:val="003A3CEF"/>
    <w:pPr>
      <w:keepNext/>
      <w:keepLines/>
      <w:widowControl/>
      <w:autoSpaceDE/>
      <w:autoSpaceDN/>
      <w:spacing w:before="80" w:after="40" w:line="259" w:lineRule="auto"/>
      <w:outlineLvl w:val="4"/>
    </w:pPr>
    <w:rPr>
      <w:rFonts w:asciiTheme="minorHAnsi" w:eastAsiaTheme="majorEastAsia" w:hAnsiTheme="minorHAnsi" w:cstheme="majorBidi"/>
      <w:color w:val="365F91"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75"/>
      <w:ind w:left="435"/>
    </w:pPr>
    <w:rPr>
      <w:sz w:val="18"/>
      <w:szCs w:val="18"/>
    </w:rPr>
  </w:style>
  <w:style w:type="paragraph" w:styleId="Title">
    <w:name w:val="Title"/>
    <w:basedOn w:val="Normal"/>
    <w:uiPriority w:val="10"/>
    <w:qFormat/>
    <w:pPr>
      <w:spacing w:before="45"/>
      <w:ind w:left="20"/>
    </w:pPr>
    <w:rPr>
      <w:b/>
      <w:bCs/>
      <w:sz w:val="32"/>
      <w:szCs w:val="32"/>
    </w:rPr>
  </w:style>
  <w:style w:type="paragraph" w:styleId="ListParagraph">
    <w:name w:val="List Paragraph"/>
    <w:basedOn w:val="Normal"/>
    <w:uiPriority w:val="1"/>
    <w:qFormat/>
    <w:pPr>
      <w:spacing w:before="82"/>
      <w:ind w:left="435" w:hanging="170"/>
      <w:jc w:val="both"/>
    </w:pPr>
  </w:style>
  <w:style w:type="paragraph" w:customStyle="1" w:styleId="TableParagraph">
    <w:name w:val="Table Paragraph"/>
    <w:basedOn w:val="Normal"/>
    <w:uiPriority w:val="1"/>
    <w:qFormat/>
    <w:pPr>
      <w:spacing w:before="8"/>
    </w:pPr>
  </w:style>
  <w:style w:type="paragraph" w:styleId="Header">
    <w:name w:val="header"/>
    <w:basedOn w:val="Normal"/>
    <w:link w:val="HeaderChar"/>
    <w:uiPriority w:val="99"/>
    <w:unhideWhenUsed/>
    <w:rsid w:val="00C752E8"/>
    <w:pPr>
      <w:tabs>
        <w:tab w:val="center" w:pos="4680"/>
        <w:tab w:val="right" w:pos="9360"/>
      </w:tabs>
    </w:pPr>
  </w:style>
  <w:style w:type="character" w:customStyle="1" w:styleId="HeaderChar">
    <w:name w:val="Header Char"/>
    <w:basedOn w:val="DefaultParagraphFont"/>
    <w:link w:val="Header"/>
    <w:uiPriority w:val="99"/>
    <w:rsid w:val="00C752E8"/>
    <w:rPr>
      <w:rFonts w:ascii="Arial" w:eastAsia="Arial" w:hAnsi="Arial" w:cs="Arial"/>
      <w:lang w:val="nl-NL"/>
    </w:rPr>
  </w:style>
  <w:style w:type="paragraph" w:styleId="Footer">
    <w:name w:val="footer"/>
    <w:basedOn w:val="Normal"/>
    <w:link w:val="FooterChar"/>
    <w:uiPriority w:val="99"/>
    <w:unhideWhenUsed/>
    <w:rsid w:val="00C752E8"/>
    <w:pPr>
      <w:tabs>
        <w:tab w:val="center" w:pos="4680"/>
        <w:tab w:val="right" w:pos="9360"/>
      </w:tabs>
    </w:pPr>
  </w:style>
  <w:style w:type="character" w:customStyle="1" w:styleId="FooterChar">
    <w:name w:val="Footer Char"/>
    <w:basedOn w:val="DefaultParagraphFont"/>
    <w:link w:val="Footer"/>
    <w:uiPriority w:val="99"/>
    <w:rsid w:val="00C752E8"/>
    <w:rPr>
      <w:rFonts w:ascii="Arial" w:eastAsia="Arial" w:hAnsi="Arial" w:cs="Arial"/>
      <w:lang w:val="nl-NL"/>
    </w:rPr>
  </w:style>
  <w:style w:type="table" w:styleId="TableGrid">
    <w:name w:val="Table Grid"/>
    <w:basedOn w:val="TableNormal"/>
    <w:uiPriority w:val="39"/>
    <w:rsid w:val="00C75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52E8"/>
    <w:rPr>
      <w:color w:val="0000FF" w:themeColor="hyperlink"/>
      <w:u w:val="single"/>
    </w:rPr>
  </w:style>
  <w:style w:type="character" w:styleId="UnresolvedMention">
    <w:name w:val="Unresolved Mention"/>
    <w:basedOn w:val="DefaultParagraphFont"/>
    <w:uiPriority w:val="99"/>
    <w:semiHidden/>
    <w:unhideWhenUsed/>
    <w:rsid w:val="00C752E8"/>
    <w:rPr>
      <w:color w:val="605E5C"/>
      <w:shd w:val="clear" w:color="auto" w:fill="E1DFDD"/>
    </w:rPr>
  </w:style>
  <w:style w:type="paragraph" w:styleId="FootnoteText">
    <w:name w:val="footnote text"/>
    <w:basedOn w:val="Normal"/>
    <w:link w:val="FootnoteTextChar"/>
    <w:uiPriority w:val="99"/>
    <w:semiHidden/>
    <w:unhideWhenUsed/>
    <w:rsid w:val="00C752E8"/>
    <w:rPr>
      <w:sz w:val="20"/>
      <w:szCs w:val="20"/>
    </w:rPr>
  </w:style>
  <w:style w:type="character" w:customStyle="1" w:styleId="FootnoteTextChar">
    <w:name w:val="Footnote Text Char"/>
    <w:basedOn w:val="DefaultParagraphFont"/>
    <w:link w:val="FootnoteText"/>
    <w:uiPriority w:val="99"/>
    <w:semiHidden/>
    <w:rsid w:val="00C752E8"/>
    <w:rPr>
      <w:rFonts w:ascii="Arial" w:eastAsia="Arial" w:hAnsi="Arial" w:cs="Arial"/>
      <w:sz w:val="20"/>
      <w:szCs w:val="20"/>
      <w:lang w:val="nl-NL"/>
    </w:rPr>
  </w:style>
  <w:style w:type="character" w:styleId="FootnoteReference">
    <w:name w:val="footnote reference"/>
    <w:basedOn w:val="DefaultParagraphFont"/>
    <w:uiPriority w:val="99"/>
    <w:semiHidden/>
    <w:unhideWhenUsed/>
    <w:rsid w:val="00C752E8"/>
    <w:rPr>
      <w:vertAlign w:val="superscript"/>
    </w:rPr>
  </w:style>
  <w:style w:type="character" w:customStyle="1" w:styleId="Heading5Char">
    <w:name w:val="Heading 5 Char"/>
    <w:basedOn w:val="DefaultParagraphFont"/>
    <w:link w:val="Heading5"/>
    <w:uiPriority w:val="9"/>
    <w:semiHidden/>
    <w:rsid w:val="003A3CEF"/>
    <w:rPr>
      <w:rFonts w:eastAsiaTheme="majorEastAsia" w:cstheme="majorBidi"/>
      <w:color w:val="365F91" w:themeColor="accent1" w:themeShade="BF"/>
      <w:kern w:val="2"/>
      <w14:ligatures w14:val="standardContextual"/>
    </w:rPr>
  </w:style>
  <w:style w:type="character" w:customStyle="1" w:styleId="BodyTextChar">
    <w:name w:val="Body Text Char"/>
    <w:basedOn w:val="DefaultParagraphFont"/>
    <w:link w:val="BodyText"/>
    <w:uiPriority w:val="1"/>
    <w:rsid w:val="003A3CEF"/>
    <w:rPr>
      <w:rFonts w:ascii="Arial" w:eastAsia="Arial" w:hAnsi="Arial" w:cs="Arial"/>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bundesanzeiger.d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B5B74-6FA0-4FD8-A0B2-24BF0B18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1400</Words>
  <Characters>8024</Characters>
  <Application>Microsoft Office Word</Application>
  <DocSecurity>0</DocSecurity>
  <Lines>243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Ragnhild Efraimsson</dc:creator>
  <cp:keywords>class='Internal'</cp:keywords>
  <cp:lastModifiedBy>Ragnhild Efraimsson</cp:lastModifiedBy>
  <cp:revision>2</cp:revision>
  <dcterms:created xsi:type="dcterms:W3CDTF">2024-07-24T13:20:00Z</dcterms:created>
  <dcterms:modified xsi:type="dcterms:W3CDTF">2024-07-24T13:20:00Z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Producer">
    <vt:lpwstr>PStill Engine 1.90</vt:lpwstr>
  </property>
  <property fmtid="{D5CDD505-2E9C-101B-9397-08002B2CF9AE}" pid="4" name="LastSaved">
    <vt:filetime>2024-06-21T00:00:00Z</vt:filetime>
  </property>
</Properties>
</file>