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Meddelelse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Offentliggjort mandag, 2. september 2024 BAnz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Side 1 af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FC786C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FC786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Forbundstidende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Udgivet af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Forbundsjustitsministeriet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FC786C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FC786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Forbundstidende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Udgivet af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Forbundsjustitsministeriet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FC786C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A16F63">
        <w:rPr>
          <w:rFonts w:ascii="Arial" w:hAnsi="Arial"/>
          <w:b/>
          <w:color w:val="000000"/>
          <w:sz w:val="27"/>
        </w:rPr>
        <w:t>Forbundsmiljøagenturet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Tredje ændring</w:t>
      </w:r>
      <w:r>
        <w:rPr>
          <w:rFonts w:ascii="Arial" w:hAnsi="Arial"/>
          <w:b/>
          <w:color w:val="000000"/>
          <w:sz w:val="20"/>
        </w:rPr>
        <w:br/>
        <w:t>af meddelelsen om vurderingsgrundlaget</w:t>
      </w:r>
      <w:r>
        <w:rPr>
          <w:rFonts w:ascii="Arial" w:hAnsi="Arial"/>
          <w:b/>
          <w:color w:val="000000"/>
          <w:sz w:val="20"/>
        </w:rPr>
        <w:br/>
        <w:t>for emaljer og keramiske materialer i kontakt med drikkevand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af 19. august 2024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Meddelelsen af 5. august 2019 om vurderingsgrundlaget for emaljer og keramiske materialer i kontakt med drikkevand (BAnz AT 12.09.2019 B8), som senest ændret ved anden ændring af vurderingsgrundlaget for emaljer og keramiske materialer i kontakt med drikkevand af 17. oktober 2023 (BAnz AT 24.10.2023 B5), ændres som følger: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Ændringer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I punkt 6.1.1 ændres tabel 1 som følger: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 1: Positivliste over mulige ingredienser i emaljer og andre glaslignende materialer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Uorganiske svovlforbindelser som urenheder med et samlet indhold på op til 0,5 % kan ignoreres. Chlorid som en urenhed med et samlet indhold på op til 0,5 % kan ignoreres.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I punkt 6.2.1 ændres tabel 3 som følger: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 3: Positivliste over tilladte ingredienser i 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  <w:sz w:val="18"/>
        </w:rPr>
        <w:t>- og SiO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-keramik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FC786C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A16F63">
        <w:rPr>
          <w:rFonts w:ascii="Arial" w:hAnsi="Arial"/>
          <w:color w:val="000000"/>
          <w:sz w:val="10"/>
        </w:rPr>
        <w:t xml:space="preserve">1 </w:t>
      </w:r>
      <w:r w:rsidR="00A16F63">
        <w:rPr>
          <w:rFonts w:ascii="Arial" w:hAnsi="Arial"/>
          <w:color w:val="000000"/>
          <w:sz w:val="14"/>
        </w:rPr>
        <w:t xml:space="preserve">  Notificeret i henhold til Europa-Parlamentets og Rådets direktiv (EU) 2015/1535 af 9. september 2015 om en informationsprocedure med hensyn til tekniske forskrifter samt forskrifter for informationssamfundets tjenester (EUT L 241 af 17. september 2015, s. 1)."</w:t>
      </w:r>
    </w:p>
    <w:p w14:paraId="70AC31A8" w14:textId="77777777" w:rsidR="00C4698F" w:rsidRDefault="00FC786C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A16F63">
        <w:rPr>
          <w:rFonts w:ascii="Arial" w:hAnsi="Arial"/>
          <w:color w:val="000000"/>
          <w:sz w:val="10"/>
        </w:rPr>
        <w:t xml:space="preserve">2 </w:t>
      </w:r>
      <w:r w:rsidR="00A16F63">
        <w:rPr>
          <w:rFonts w:ascii="Arial" w:hAnsi="Arial"/>
          <w:color w:val="000000"/>
          <w:sz w:val="14"/>
        </w:rPr>
        <w:t>Notificeret under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Meddelelse</w:t>
            </w:r>
          </w:p>
          <w:p w14:paraId="3EAF332B" w14:textId="77777777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Offentliggjort mandag, 2. september 2024 BAnz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Side 2 af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FC786C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FC786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Forbundstidende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Udgivet af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Forbundsjustitsministeriet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FC786C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FC786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Forbundstidende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Udgivet af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Forbundsjustitsministeriet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FC786C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A16F63">
        <w:rPr>
          <w:rFonts w:ascii="Arial" w:hAnsi="Arial"/>
          <w:color w:val="000000"/>
          <w:sz w:val="18"/>
        </w:rPr>
        <w:t>I punkt 6.2.1 ændres tabel 5 som følger: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 5: Positivliste over tilladte ingredienser i hård ferritkeramik.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I punkt 6.2.1 ændres tabel 6 som følger: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Tabel 6: Positivliste over tilladte ingredienser i siciliumcarbid (SiC)-keramik.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Stof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Indhold i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minimum</w:t>
            </w:r>
            <w:r>
              <w:rPr>
                <w:rFonts w:ascii="Arial" w:hAnsi="Arial"/>
                <w:color w:val="000000"/>
                <w:sz w:val="16"/>
              </w:rPr>
              <w:tab/>
              <w:t>maksimum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 punkt 7.1, i tabel 10, affattes overskriften i fjerde kolonne således: "Krav vedrørende frigivelse af grundstoffer eller organiske forbindelser"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I punkt 7.3 affattes tabel 11 som følger: </w:t>
      </w:r>
      <w:r>
        <w:rPr>
          <w:rFonts w:ascii="Arial" w:hAnsi="Arial"/>
          <w:color w:val="000000"/>
          <w:sz w:val="18"/>
        </w:rPr>
        <w:br/>
        <w:t>Tabel 11: Prøveværdier (PW) for forskellige grundstoffer</w:t>
      </w:r>
    </w:p>
    <w:p w14:paraId="7E2C7BB6" w14:textId="77777777" w:rsidR="00C4698F" w:rsidRPr="00F7040A" w:rsidRDefault="00FC786C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Grundstof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Reference for prøveværdien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Andel af prøveværdien i forhold til grænseværdien/den vejledende værdi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Prøveværdi i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Aluminium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Antimon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Barium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Bismuth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Bly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Kadmium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Chrom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Hafnium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Kobolt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Kobber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2A79C053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56F37C08" wp14:editId="2D9C28F6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Meddelelse</w:t>
            </w:r>
          </w:p>
          <w:p w14:paraId="27D535C4" w14:textId="03BAE1B1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Offentliggjort mandag, 2. september 2024 BAnz AT 02.09.2024 B4</w:t>
            </w:r>
          </w:p>
          <w:p w14:paraId="397C6E6E" w14:textId="56DC4494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Side 3 af 4</w:t>
            </w:r>
          </w:p>
        </w:tc>
      </w:tr>
    </w:tbl>
    <w:p w14:paraId="5F3D6175" w14:textId="5B3FCAD0" w:rsidR="00C4698F" w:rsidRDefault="00FC786C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B68C80" wp14:editId="524AF96D">
                <wp:simplePos x="0" y="0"/>
                <wp:positionH relativeFrom="column">
                  <wp:posOffset>685800</wp:posOffset>
                </wp:positionH>
                <wp:positionV relativeFrom="paragraph">
                  <wp:posOffset>-697230</wp:posOffset>
                </wp:positionV>
                <wp:extent cx="2558415" cy="762000"/>
                <wp:effectExtent l="0" t="0" r="0" b="0"/>
                <wp:wrapNone/>
                <wp:docPr id="560438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8D99B" w14:textId="77777777" w:rsidR="00FC786C" w:rsidRPr="00FC786C" w:rsidRDefault="00FC786C" w:rsidP="00FC786C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FC786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Forbundstidende</w:t>
                            </w:r>
                          </w:p>
                          <w:p w14:paraId="43D1034C" w14:textId="77777777" w:rsidR="00FC786C" w:rsidRPr="00183F04" w:rsidRDefault="00FC786C" w:rsidP="00FC786C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Udgivet af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Forbundsjustitsministeriet</w:t>
                            </w:r>
                          </w:p>
                          <w:p w14:paraId="44785B58" w14:textId="77777777" w:rsidR="00FC786C" w:rsidRPr="00183F04" w:rsidRDefault="00FC786C" w:rsidP="00FC786C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8C80" id="_x0000_s1028" type="#_x0000_t202" style="position:absolute;margin-left:54pt;margin-top:-54.9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UwJwIAAEsEAAAOAAAAZHJzL2Uyb0RvYy54bWysVE2P2jAQvVfqf7B8LwFa6CoirCgrqkqr&#10;3ZXYas/GsUkkx+OODQn99R07BLbbnqpenLFnPB/vPWdx2zWGHRX6GmzBJ6MxZ8pKKGu7L/j3582H&#10;G858ELYUBqwq+El5frt8/27RulxNoQJTKmSUxPq8dQWvQnB5lnlZqUb4EThlyakBGxFoi/usRNFS&#10;9sZk0/F4nrWApUOQyns6veudfJnya61keNTaq8BMwam3kFZM6y6u2XIh8j0KV9Xy3Ib4hy4aUVsq&#10;ekl1J4JgB6z/SNXUEsGDDiMJTQZa11KlGWiayfjNNNtKOJVmIXC8u8Dk/19a+XDcuidkofsCHREY&#10;AWmdzz0dxnk6jU38UqeM/ATh6QKb6gKTdDidzW4+TWacSfJ9nhMtCdfsetuhD18VNCwaBUeiJaEl&#10;jvc+UEUKHUJiMQ+mLje1MWkTpaDWBtlREIkmpB7pxm9RxrK24POPs3FKbCFe7zMbSwWuM0UrdLuO&#10;1SW1Psy7g/JEMCD0CvFObmrq9V748CSQJEGTk8zDIy3aANWCs8VZBfjzb+cxnpgiL2ctSazg/sdB&#10;oOLMfLPEYdTjYOBg7AbDHpo10MATekBOJpMuYDCDqRGaF1L/KlYhl7CSahU8DOY69EKn1yPVapWC&#10;SHVOhHu7dTKmjgBH5J+7F4HuTE8gYh9gEJ/I37DUx8abFlaHALpOFEZcexTPcJNiE7Pn1xWfxOt9&#10;irr+A5a/AAAA//8DAFBLAwQUAAYACAAAACEApJeAeeEAAAALAQAADwAAAGRycy9kb3ducmV2Lnht&#10;bEyPwU7DMBBE70j8g7VIXFBrt4I2hDgVIHFAAiFa1PM2NkmovQ6x26Z8PdsT3HY0o9l5xWLwTuxt&#10;H9tAGiZjBcJSFUxLtYaP1dMoAxETkkEXyGo42giL8vyswNyEA73b/TLVgkso5qihSanLpYxVYz3G&#10;cegssfcZeo+JZV9L0+OBy72TU6Vm0mNL/KHBzj42ttoud15Ddrx+vVrP5usv9/b80PzU3/SyRa0v&#10;L4b7OxDJDukvDKf5PB1K3rQJOzJRONYqY5akYTRRtwzBkRu+QGxO3hRkWcj/DOUvAAAA//8DAFBL&#10;AQItABQABgAIAAAAIQC2gziS/gAAAOEBAAATAAAAAAAAAAAAAAAAAAAAAABbQ29udGVudF9UeXBl&#10;c10ueG1sUEsBAi0AFAAGAAgAAAAhADj9If/WAAAAlAEAAAsAAAAAAAAAAAAAAAAALwEAAF9yZWxz&#10;Ly5yZWxzUEsBAi0AFAAGAAgAAAAhAL+atTAnAgAASwQAAA4AAAAAAAAAAAAAAAAALgIAAGRycy9l&#10;Mm9Eb2MueG1sUEsBAi0AFAAGAAgAAAAhAKSXgHnhAAAACwEAAA8AAAAAAAAAAAAAAAAAgQQAAGRy&#10;cy9kb3ducmV2LnhtbFBLBQYAAAAABAAEAPMAAACPBQAAAAA=&#10;" fillcolor="white [3201]" stroked="f" strokeweight=".5pt">
                <v:textbox inset="0,0,0,0">
                  <w:txbxContent>
                    <w:p w14:paraId="5648D99B" w14:textId="77777777" w:rsidR="00FC786C" w:rsidRPr="00FC786C" w:rsidRDefault="00FC786C" w:rsidP="00FC786C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FC786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Forbundstidende</w:t>
                      </w:r>
                    </w:p>
                    <w:p w14:paraId="43D1034C" w14:textId="77777777" w:rsidR="00FC786C" w:rsidRPr="00183F04" w:rsidRDefault="00FC786C" w:rsidP="00FC786C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Udgivet af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Forbundsjustitsministeriet</w:t>
                      </w:r>
                    </w:p>
                    <w:p w14:paraId="44785B58" w14:textId="77777777" w:rsidR="00FC786C" w:rsidRPr="00183F04" w:rsidRDefault="00FC786C" w:rsidP="00FC786C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0A689" w14:textId="77777777" w:rsidR="00C4698F" w:rsidRDefault="00FC786C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Grundstof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Reference for prøveværdien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Andel af prøveværdien i forhold til grænseværdien/den vejledende værdi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Prøveværdi i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Lanthan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Molybdæn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Nikkel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Palladium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Praseodym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Strontium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Wolfram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Yttrium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Zirkonium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I punkt 8.2.1 ændres tredje punktum som følger: </w:t>
      </w:r>
      <w:r>
        <w:rPr>
          <w:rFonts w:ascii="Arial" w:hAnsi="Arial"/>
          <w:color w:val="000000"/>
          <w:sz w:val="18"/>
        </w:rPr>
        <w:br/>
        <w:t>"Formålet med gennemgangen af sammensætningen er at: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udføre en kontrol af, at emaljer eller andre glaslignende materialer kun indeholder de ingredienser, der er anført i tabel 1 (jf. punkt 6.1) 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 xml:space="preserve">definere de grundstoffer, der skal vurderes i migrationsvandet 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identificere produktet."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Fodnote 4 ajourføres således: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"Prøveemnerne er i overensstemmelse med prøverne i henhold til DIN 4753-3: 2017-08."</w:t>
      </w:r>
    </w:p>
    <w:p w14:paraId="40F9591A" w14:textId="77777777" w:rsidR="00C4698F" w:rsidRPr="00310EB5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  <w:lang w:val="nb-NO"/>
        </w:rPr>
      </w:pPr>
      <w:r w:rsidRPr="00310EB5">
        <w:rPr>
          <w:rFonts w:ascii="Arial" w:hAnsi="Arial"/>
          <w:color w:val="000000"/>
          <w:sz w:val="18"/>
          <w:lang w:val="nb-NO"/>
        </w:rPr>
        <w:t>9. I punkt 8.3.3 ombyttes tiende og ellevte punktum som følger: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"Figur 2 viser en prøveopstilling, hvor tragte, der indeholder migrationsvandet, presses mod emaljepladerne. Det er dog også muligt med andre opstillinger til prøvning."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Punkt 8.3.4 affattes således: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"Bilag 1 viser migrationsvand i de respektive migrationsperioder, som skal udtages til analyse med henblik på koldtvandsprøvning. I bilag 2 fastsættes migrationsvand, der skal analyseres i forbindelse med prøvning af varmt og hedt vand. Migrationsvandet skal straks forsyres med koncentreret HNO</w:t>
      </w:r>
      <w:r>
        <w:rPr>
          <w:rFonts w:ascii="Arial" w:hAnsi="Arial"/>
          <w:color w:val="000000"/>
          <w:sz w:val="13"/>
        </w:rPr>
        <w:t xml:space="preserve">3 </w:t>
      </w:r>
      <w:r>
        <w:rPr>
          <w:rFonts w:ascii="Arial" w:hAnsi="Arial"/>
          <w:color w:val="000000"/>
          <w:sz w:val="18"/>
        </w:rPr>
        <w:t>til bestemmelse af grundstofferne (ikke til bestemmelse af PAH) til 2 % (v/v) syreindhold.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Emaljer/andre glaslignende materialer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Grundstoffer i emalje/andre glaslignende materialer med en prøveværdi i overensstemmelse med tabel 11 bestemmes. Bly- og kadmiumindholdet i de migrationsvandmængder, der analyseres, bør også bestemmes. Analysen udføres ved hjælp af en passende målemetode, f.eks. ICP-MS i overensstemmelse med DIN EN ISO 17294-1.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Borsilikatglas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Grundstoffer i borsilikatglas med en prøveværdi i overensstemmelse med tabel 11 bestemmes. Bly- og kadmiumindholdet i de migrationsvandmængder, der analyseres, bør også bestemmes. Analysen udføres ved hjælp af en passende målemetode, f.eks. ICP-MS i overensstemmelse med DIN EN ISO 17294-1.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Keramiske materialer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Grundstoffer i det keramiske materiale med en prøveværdi i overensstemmelse med tabel 11 bestemmes. Bly- og kadmiumindholdet i de migrationsvandmængder, der analyseres, bør også bestemmes. Analysen udføres ved hjælp af en passende målemetode, f.eks. ICP-MS i overensstemmelse med DIN EN ISO 17294-1.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Keramiske materialer fremstillet af kulstof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Med henblik på prøvning af kulstofholdige keramiske materialer bestemmes PAH'erne i de migrationsvande, der skal analyseres i overensstemmelse med tabel 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Belægninger af blandede oxider af metaller (mixed metal oxides — MMO)</w:t>
      </w:r>
    </w:p>
    <w:p w14:paraId="392E2A31" w14:textId="77777777" w:rsidR="00C4698F" w:rsidRDefault="00FC786C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A16F63">
        <w:rPr>
          <w:rFonts w:ascii="Arial" w:hAnsi="Arial"/>
          <w:color w:val="000000"/>
          <w:sz w:val="18"/>
        </w:rPr>
        <w:t>Hvis belægningerne af blandede oxider af metaller fremstilles som beskrevet i punkt 6.3, er migrationsprøvninger ikke nødvendige."</w:t>
      </w:r>
    </w:p>
    <w:p w14:paraId="3B15779D" w14:textId="77777777" w:rsidR="00C4698F" w:rsidRPr="00FC786C" w:rsidRDefault="00C4698F">
      <w:pPr>
        <w:sectPr w:rsidR="00C4698F" w:rsidRPr="00FC786C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3CC8B508" w:rsidR="00C4698F" w:rsidRDefault="00FC786C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BEF37F" wp14:editId="1C5E562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26670</wp:posOffset>
                      </wp:positionV>
                      <wp:extent cx="2558415" cy="762000"/>
                      <wp:effectExtent l="0" t="0" r="0" b="0"/>
                      <wp:wrapNone/>
                      <wp:docPr id="12714147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84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480BA" w14:textId="77777777" w:rsidR="00FC786C" w:rsidRPr="00FC786C" w:rsidRDefault="00FC786C" w:rsidP="00FC786C">
                                  <w:pPr>
                                    <w:spacing w:line="100" w:lineRule="atLeast"/>
                                    <w:rPr>
                                      <w:rFonts w:eastAsia="Times New Roman"/>
                                      <w:sz w:val="36"/>
                                      <w:szCs w:val="36"/>
                                    </w:rPr>
                                  </w:pPr>
                                  <w:r w:rsidRPr="00FC786C"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Forbundstidende</w:t>
                                  </w:r>
                                </w:p>
                                <w:p w14:paraId="79DB4060" w14:textId="77777777" w:rsidR="00FC786C" w:rsidRPr="00183F04" w:rsidRDefault="00FC786C" w:rsidP="00FC786C">
                                  <w:pPr>
                                    <w:spacing w:line="120" w:lineRule="atLeast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t>Udgivet af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br/>
                                    <w:t>Forbundsjustitsministeriet</w:t>
                                  </w:r>
                                </w:p>
                                <w:p w14:paraId="6B4196C9" w14:textId="77777777" w:rsidR="00FC786C" w:rsidRPr="00183F04" w:rsidRDefault="00FC786C" w:rsidP="00FC786C">
                                  <w:pPr>
                                    <w:spacing w:line="12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4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  <w:b/>
                                        <w:sz w:val="12"/>
                                      </w:rPr>
                                      <w:t>www.bundesanzelger.de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F37F" id="_x0000_s1029" type="#_x0000_t202" style="position:absolute;left:0;text-align:left;margin-left:54pt;margin-top:2.1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EVKAIAAEsEAAAOAAAAZHJzL2Uyb0RvYy54bWysVE2P2jAQvVfqf7B8LwG20FVEWFFWVJVW&#10;uyux1Z6NY5NIjscdGxL66zt2CLTbnqpenLFnPB/vPWdx1zWGHRX6GmzBJ6MxZ8pKKGu7L/i3l82H&#10;W858ELYUBqwq+El5frd8/27RulxNoQJTKmSUxPq8dQWvQnB5lnlZqUb4EThlyakBGxFoi/usRNFS&#10;9sZk0/F4nrWApUOQyns6ve+dfJnya61keNLaq8BMwam3kFZM6y6u2XIh8j0KV9Xy3Ib4hy4aUVsq&#10;ekl1L4JgB6z/SNXUEsGDDiMJTQZa11KlGWiayfjNNNtKOJVmIXC8u8Dk/19a+XjcumdkofsMHREY&#10;AWmdzz0dxnk6jU38UqeM/ATh6QKb6gKTdDidzW4/TmacSfJ9mhMtCdfsetuhD18UNCwaBUeiJaEl&#10;jg8+UEUKHUJiMQ+mLje1MWkTpaDWBtlREIkmpB7pxm9RxrK24POb2TglthCv95mNpQLXmaIVul3H&#10;6rLgN8O8OyhPBANCrxDv5KamXh+ED88CSRI0Ock8PNGiDVAtOFucVYA//nYe44kp8nLWksQK7r8f&#10;BCrOzFdLHEY9DgYOxm4w7KFZAw08oQfkZDLpAgYzmBqheSX1r2IVcgkrqVbBw2CuQy90ej1SrVYp&#10;iFTnRHiwWydj6ghwRP6lexXozvQEIvYRBvGJ/A1LfWy8aWF1CKDrRGHEtUfxDDcpNjF7fl3xSfy6&#10;T1HXf8DyJwAAAP//AwBQSwMEFAAGAAgAAAAhAKZFhbffAAAACQEAAA8AAABkcnMvZG93bnJldi54&#10;bWxMj8FOwzAQRO9I/IO1SFwQtRuVEkKcCpA4IFEhCup5G5sk1F6H2G1Tvp7lBMfZN5qdKRejd2Jv&#10;h9gF0jCdKBCW6mA6ajS8vz1e5iBiQjLoAlkNRxthUZ2elFiYcKBXu1+lRnAIxQI1tCn1hZSxbq3H&#10;OAm9JWYfYfCYWA6NNAMeONw7mSk1lx474g8t9vahtfV2tfMa8uNsebGeX68/3cvTffvdfNHzFrU+&#10;PxvvbkEkO6Y/M/zW5+pQcadN2JGJwrFWOW9JGmYZCOZXU3UDYsMg44usSvl/QfUDAAD//wMAUEsB&#10;Ai0AFAAGAAgAAAAhALaDOJL+AAAA4QEAABMAAAAAAAAAAAAAAAAAAAAAAFtDb250ZW50X1R5cGVz&#10;XS54bWxQSwECLQAUAAYACAAAACEAOP0h/9YAAACUAQAACwAAAAAAAAAAAAAAAAAvAQAAX3JlbHMv&#10;LnJlbHNQSwECLQAUAAYACAAAACEAPj2RFSgCAABLBAAADgAAAAAAAAAAAAAAAAAuAgAAZHJzL2Uy&#10;b0RvYy54bWxQSwECLQAUAAYACAAAACEApkWFt98AAAAJAQAADwAAAAAAAAAAAAAAAACCBAAAZHJz&#10;L2Rvd25yZXYueG1sUEsFBgAAAAAEAAQA8wAAAI4FAAAAAA==&#10;" fillcolor="white [3201]" stroked="f" strokeweight=".5pt">
                      <v:textbox inset="0,0,0,0">
                        <w:txbxContent>
                          <w:p w14:paraId="395480BA" w14:textId="77777777" w:rsidR="00FC786C" w:rsidRPr="00FC786C" w:rsidRDefault="00FC786C" w:rsidP="00FC786C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FC786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Forbundstidende</w:t>
                            </w:r>
                          </w:p>
                          <w:p w14:paraId="79DB4060" w14:textId="77777777" w:rsidR="00FC786C" w:rsidRPr="00183F04" w:rsidRDefault="00FC786C" w:rsidP="00FC786C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Udgivet af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Forbundsjustitsministeriet</w:t>
                            </w:r>
                          </w:p>
                          <w:p w14:paraId="6B4196C9" w14:textId="77777777" w:rsidR="00FC786C" w:rsidRPr="00183F04" w:rsidRDefault="00FC786C" w:rsidP="00FC786C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40A">
              <w:rPr>
                <w:noProof/>
              </w:rPr>
              <w:drawing>
                <wp:inline distT="0" distB="0" distL="0" distR="0" wp14:anchorId="4302CEF6" wp14:editId="5DCA9932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5505BC51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Meddelelse</w:t>
            </w:r>
          </w:p>
          <w:p w14:paraId="6EE9388C" w14:textId="59BCD874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Offentliggjort mandag, 2. september 2024 BAnz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Side 4 af 4</w:t>
            </w:r>
          </w:p>
        </w:tc>
      </w:tr>
    </w:tbl>
    <w:p w14:paraId="1E605B73" w14:textId="77777777" w:rsidR="00C4698F" w:rsidRDefault="00C4698F">
      <w:pPr>
        <w:spacing w:after="49" w:line="20" w:lineRule="exact"/>
      </w:pPr>
    </w:p>
    <w:p w14:paraId="71A112C8" w14:textId="77777777" w:rsidR="00C4698F" w:rsidRDefault="00FC786C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A16F63">
        <w:rPr>
          <w:rFonts w:ascii="Arial" w:hAnsi="Arial"/>
          <w:color w:val="000000"/>
          <w:sz w:val="18"/>
        </w:rPr>
        <w:t xml:space="preserve">11. I punkt 8.3.5 tilføjes følgende i slutningen: </w:t>
      </w:r>
      <w:r w:rsidR="00A16F63">
        <w:rPr>
          <w:rFonts w:ascii="Arial" w:hAnsi="Arial"/>
          <w:color w:val="000000"/>
          <w:sz w:val="18"/>
        </w:rPr>
        <w:br/>
        <w:t>"BEMÆRKNING: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Der er en stigende tendens i de målte prøveværdier, hvis f.eks. følgende kriterier er opfyldt samtidig: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- den målte koncentration i den vurderingsrelevante migrationsperiode er over 1/10 af migrationsbegrænsningen 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- den målte koncentration i den vurderingsrelevante migrationsperiode er blevet væsentligt fordoblet i forhold til den laveste målte koncentration (højere end måleusikkerheden) 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den målte koncentration i den vurderingsrelevante migrationsperiode er den højeste målte værdi i migrationsserien."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Ikrafttræden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Disse ændringer træder i kraft dagen efter offentliggørelsen i Tysklands Statstidende.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19. august 2024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Forbundsmiljøagenturet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Stedfortræder</w:t>
      </w:r>
    </w:p>
    <w:p w14:paraId="5E269ED4" w14:textId="77777777" w:rsidR="00C4698F" w:rsidRDefault="00FC786C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A16F63">
        <w:rPr>
          <w:rFonts w:ascii="Arial" w:hAnsi="Arial"/>
          <w:color w:val="000000"/>
          <w:sz w:val="18"/>
        </w:rPr>
        <w:t>Prof. Dr.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18E6" w14:textId="77777777" w:rsidR="00A16F63" w:rsidRDefault="00A16F63">
      <w:r>
        <w:separator/>
      </w:r>
    </w:p>
  </w:endnote>
  <w:endnote w:type="continuationSeparator" w:id="0">
    <w:p w14:paraId="32DD30F9" w14:textId="77777777" w:rsidR="00A16F63" w:rsidRDefault="00A1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4DD0" w14:textId="77777777" w:rsidR="00A16F63" w:rsidRDefault="00A16F63"/>
  </w:footnote>
  <w:footnote w:type="continuationSeparator" w:id="0">
    <w:p w14:paraId="1746335D" w14:textId="77777777" w:rsidR="00A16F63" w:rsidRDefault="00A1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928949">
    <w:abstractNumId w:val="1"/>
  </w:num>
  <w:num w:numId="2" w16cid:durableId="120232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183F04"/>
    <w:rsid w:val="002377CC"/>
    <w:rsid w:val="00310EB5"/>
    <w:rsid w:val="00325D7A"/>
    <w:rsid w:val="003510F0"/>
    <w:rsid w:val="003A4307"/>
    <w:rsid w:val="004510A7"/>
    <w:rsid w:val="004668A2"/>
    <w:rsid w:val="004B2D0E"/>
    <w:rsid w:val="008F28EA"/>
    <w:rsid w:val="008F48C5"/>
    <w:rsid w:val="00A16F63"/>
    <w:rsid w:val="00C4698F"/>
    <w:rsid w:val="00D76B33"/>
    <w:rsid w:val="00EB515C"/>
    <w:rsid w:val="00F704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2024-10-07T12:20:00Z</dcterms:created>
  <dcterms:modified xsi:type="dcterms:W3CDTF">2024-10-10T11:41:00Z</dcterms:modified>
</cp:coreProperties>
</file>