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Pr="00AC079C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  <w:lang w:val="da-DK"/>
              </w:rPr>
            </w:pPr>
            <w:r w:rsidRPr="00AC079C">
              <w:rPr>
                <w:rFonts w:ascii="Arial" w:hAnsi="Arial"/>
                <w:b/>
                <w:color w:val="000000"/>
                <w:sz w:val="32"/>
                <w:lang w:val="da-DK"/>
              </w:rPr>
              <w:t>Meddelande</w:t>
            </w:r>
          </w:p>
          <w:p w14:paraId="3D397BBC" w14:textId="77777777" w:rsidR="00C4698F" w:rsidRPr="00AC079C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  <w:lang w:val="da-DK"/>
              </w:rPr>
            </w:pPr>
            <w:r w:rsidRPr="00AC079C">
              <w:rPr>
                <w:rFonts w:ascii="Arial" w:hAnsi="Arial"/>
                <w:color w:val="000000"/>
                <w:sz w:val="18"/>
                <w:lang w:val="da-DK"/>
              </w:rPr>
              <w:t>Offentliggjort torsdagen den 2 september 2024 BAnz AT 02.09.2024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Sida 1 av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5C98CB3B">
                <wp:simplePos x="0" y="0"/>
                <wp:positionH relativeFrom="column">
                  <wp:posOffset>585470</wp:posOffset>
                </wp:positionH>
                <wp:positionV relativeFrom="paragraph">
                  <wp:posOffset>-728345</wp:posOffset>
                </wp:positionV>
                <wp:extent cx="3002280" cy="762000"/>
                <wp:effectExtent l="0" t="0" r="762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AC079C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C079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Tysklands officiella tidning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Offentliggjord av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Förbundsjustitieministeriet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7.35pt;width:236.4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" fillcolor="white [3201]" stroked="f" strokeweight=".5pt">
                <v:textbox inset="0,0,0,0">
                  <w:txbxContent>
                    <w:p w14:paraId="0B0F1018" w14:textId="77777777" w:rsidR="00183F04" w:rsidRPr="00AC079C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C079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Tysklands officiella tidning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Offentliggjord av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Förbundsjustitieministeriet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AC079C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7831FA">
        <w:rPr>
          <w:rFonts w:ascii="Arial" w:hAnsi="Arial"/>
          <w:b/>
          <w:color w:val="000000"/>
          <w:sz w:val="27"/>
        </w:rPr>
        <w:t>Federala miljöbyrån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  <w:sz w:val="20"/>
        </w:rPr>
        <w:t>Tredje ändringen av</w:t>
      </w:r>
      <w:r>
        <w:rPr>
          <w:rFonts w:ascii="Arial" w:hAnsi="Arial"/>
          <w:b/>
          <w:color w:val="000000"/>
          <w:sz w:val="20"/>
        </w:rPr>
        <w:br/>
        <w:t>meddelandet om underlaget för bedömning av emaljer och keramiska material som kommer i kontakt med dricksvatten</w:t>
      </w:r>
      <w:r>
        <w:rPr>
          <w:rFonts w:ascii="Arial" w:hAnsi="Arial"/>
          <w:b/>
          <w:color w:val="000000"/>
          <w:sz w:val="15"/>
        </w:rPr>
        <w:t>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Av den 19 augusti 2024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Meddelandet om underlaget för bedömning av emaljer och keramiska material som kommer i kontakt med dricksvatten av den 5 augusti 2019 (BAnz AT 12.09.2019 B8), senast ändrat genom den andra ändringen av underlaget för bedömning av emaljer och keramiska material som kommer i kontakt med dricksvatten av den 17 oktober 2023 (BAnz AT 24.10.2023 B5), ska ändras på följande sätt.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Ändringar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Tabell 1 i punkt 6.1.1 ska ändras på följande sätt: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 1: Positiv förteckning över möjliga ingredienser i emaljer och andra glasliknande material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Oorganiska svavelarter i form av föroreningar med ett totalt innehåll på upp till 0,5 % kan bortses från. Klorid som förorening med ett totalt innehåll på upp till 0,5 % kan bortses från.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Tabell 3 i punkt 6.2.1 ska ändras på följande sätt: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 3: Positiv förteckning över tillåtna ingredienser i Al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O</w:t>
      </w:r>
      <w:r>
        <w:rPr>
          <w:rFonts w:ascii="Arial" w:hAnsi="Arial"/>
          <w:color w:val="000000"/>
          <w:sz w:val="12"/>
        </w:rPr>
        <w:t>3</w:t>
      </w:r>
      <w:r>
        <w:rPr>
          <w:rFonts w:ascii="Arial" w:hAnsi="Arial"/>
          <w:color w:val="000000"/>
          <w:sz w:val="18"/>
        </w:rPr>
        <w:t>- och SiO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-keramik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AC079C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7831FA">
        <w:rPr>
          <w:rFonts w:ascii="Arial" w:hAnsi="Arial"/>
          <w:color w:val="000000"/>
          <w:sz w:val="10"/>
        </w:rPr>
        <w:t xml:space="preserve">1 </w:t>
      </w:r>
      <w:r w:rsidR="007831FA">
        <w:rPr>
          <w:rFonts w:ascii="Arial" w:hAnsi="Arial"/>
          <w:color w:val="000000"/>
          <w:sz w:val="14"/>
        </w:rPr>
        <w:t xml:space="preserve">  Anmäld i enlighet med Europaparlamentets och rådets direktiv (EU) 2015/1535 av den 9 september 2015 om ett informationsförfarande beträffande tekniska föreskrifter och beträffande föreskrifter för informationssamhällets tjänster (EUT L 241, 17.9.2015, s. 1).</w:t>
      </w:r>
    </w:p>
    <w:p w14:paraId="70AC31A8" w14:textId="77777777" w:rsidR="00C4698F" w:rsidRDefault="00AC079C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7831FA">
        <w:rPr>
          <w:rFonts w:ascii="Arial" w:hAnsi="Arial"/>
          <w:color w:val="000000"/>
          <w:sz w:val="10"/>
        </w:rPr>
        <w:t xml:space="preserve">2 </w:t>
      </w:r>
      <w:r w:rsidR="007831FA">
        <w:rPr>
          <w:rFonts w:ascii="Arial" w:hAnsi="Arial"/>
          <w:color w:val="000000"/>
          <w:sz w:val="14"/>
        </w:rPr>
        <w:t>Anmält som nummer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158AFB69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79B410A9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7777777" w:rsidR="00C4698F" w:rsidRPr="00AC079C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  <w:lang w:val="da-DK"/>
              </w:rPr>
            </w:pPr>
            <w:r w:rsidRPr="00AC079C">
              <w:rPr>
                <w:rFonts w:ascii="Arial" w:hAnsi="Arial"/>
                <w:b/>
                <w:color w:val="000000"/>
                <w:sz w:val="32"/>
                <w:lang w:val="da-DK"/>
              </w:rPr>
              <w:t>Meddelande</w:t>
            </w:r>
          </w:p>
          <w:p w14:paraId="3EAF332B" w14:textId="77777777" w:rsidR="00C4698F" w:rsidRPr="00AC079C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  <w:lang w:val="da-DK"/>
              </w:rPr>
            </w:pPr>
            <w:r w:rsidRPr="00AC079C">
              <w:rPr>
                <w:rFonts w:ascii="Arial" w:hAnsi="Arial"/>
                <w:color w:val="000000"/>
                <w:sz w:val="18"/>
                <w:lang w:val="da-DK"/>
              </w:rPr>
              <w:t>Offentliggjort torsdagen den 2 september 2024 BAnz AT 02.09.2024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Sida 2 av 4</w:t>
            </w:r>
          </w:p>
        </w:tc>
      </w:tr>
    </w:tbl>
    <w:p w14:paraId="5A87EAA3" w14:textId="29ED28D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1E475306">
                <wp:simplePos x="0" y="0"/>
                <wp:positionH relativeFrom="column">
                  <wp:posOffset>705485</wp:posOffset>
                </wp:positionH>
                <wp:positionV relativeFrom="paragraph">
                  <wp:posOffset>-728345</wp:posOffset>
                </wp:positionV>
                <wp:extent cx="2941320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AC079C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C079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Tysklands officiella tidning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Offentliggjord av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Förbundsjustitieministeriet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55pt;margin-top:-57.35pt;width:231.6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" fillcolor="window" stroked="f" strokeweight=".5pt">
                <v:textbox inset="0,0,0,0">
                  <w:txbxContent>
                    <w:p w14:paraId="29AA6F1C" w14:textId="77777777" w:rsidR="00183F04" w:rsidRPr="00AC079C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C079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Tysklands officiella tidning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Offentliggjord av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Förbundsjustitieministeriet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AC079C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7831FA">
        <w:rPr>
          <w:rFonts w:ascii="Arial" w:hAnsi="Arial"/>
          <w:color w:val="000000"/>
          <w:sz w:val="18"/>
        </w:rPr>
        <w:t>I punkt 6.2.1 ska tabell 5 ändras på följande sätt: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 5: Positiv förteckning över tillåtna ingredienser i keramik av hård ferrit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FeO/Fe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Tabell 6 i punkt 6.2.1 ska ändras på följande sätt: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Tabell 6: Positiv förteckning över tillåtna ingredienser i keramik av kiselkarbid (SiC)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Ämne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Innehåll i 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Min.</w:t>
            </w:r>
            <w:r>
              <w:rPr>
                <w:rFonts w:ascii="Arial" w:hAnsi="Arial"/>
                <w:color w:val="000000"/>
                <w:sz w:val="16"/>
              </w:rPr>
              <w:tab/>
              <w:t>max.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 punkt 7.1 tabell 10 ska rubriken till den fjärde kolumnen ändras på följande sätt: ”Krav för frisättning av grundelement eller organiska föreningar”.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I punkt 7.3 ska tabell 11 ändras på följande sätt: </w:t>
      </w:r>
      <w:r>
        <w:rPr>
          <w:rFonts w:ascii="Arial" w:hAnsi="Arial"/>
          <w:color w:val="000000"/>
          <w:sz w:val="18"/>
        </w:rPr>
        <w:br/>
        <w:t>Tabell 11: Kriterier (PW) för olika beståndsdelar</w:t>
      </w:r>
    </w:p>
    <w:p w14:paraId="7E2C7BB6" w14:textId="77777777" w:rsidR="00C4698F" w:rsidRPr="00F7040A" w:rsidRDefault="00AC079C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Beståndsdel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Referensvärde för kriteriet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Kriterium som andel av gräns-/riktvärdet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Kriterium i µg/l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Aluminium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Antimon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Barium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Vismut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Bly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Kadmium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Krom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Hafnium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Kobolt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Koppar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77777777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77996453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56F37C08" wp14:editId="78DA6FCE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06292116" w:rsidR="00C4698F" w:rsidRPr="00AC079C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  <w:lang w:val="da-DK"/>
              </w:rPr>
            </w:pPr>
            <w:r w:rsidRPr="00AC079C">
              <w:rPr>
                <w:rFonts w:ascii="Arial" w:hAnsi="Arial"/>
                <w:b/>
                <w:color w:val="000000"/>
                <w:sz w:val="32"/>
                <w:lang w:val="da-DK"/>
              </w:rPr>
              <w:t>Meddelande</w:t>
            </w:r>
          </w:p>
          <w:p w14:paraId="27D535C4" w14:textId="6E2B19B3" w:rsidR="00C4698F" w:rsidRPr="00AC079C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  <w:lang w:val="da-DK"/>
              </w:rPr>
            </w:pPr>
            <w:r w:rsidRPr="00AC079C">
              <w:rPr>
                <w:rFonts w:ascii="Arial" w:hAnsi="Arial"/>
                <w:color w:val="000000"/>
                <w:sz w:val="18"/>
                <w:lang w:val="da-DK"/>
              </w:rPr>
              <w:t>Offentliggjort torsdagen den 2 september 2024 BAnz AT 02.09.2024 B4</w:t>
            </w:r>
          </w:p>
          <w:p w14:paraId="397C6E6E" w14:textId="77777777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Sida 3 av 4</w:t>
            </w:r>
          </w:p>
        </w:tc>
      </w:tr>
    </w:tbl>
    <w:p w14:paraId="5F3D6175" w14:textId="0685E888" w:rsidR="00C4698F" w:rsidRDefault="00AC079C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1B7EB8" wp14:editId="13EA67B6">
                <wp:simplePos x="0" y="0"/>
                <wp:positionH relativeFrom="column">
                  <wp:posOffset>731520</wp:posOffset>
                </wp:positionH>
                <wp:positionV relativeFrom="paragraph">
                  <wp:posOffset>-701675</wp:posOffset>
                </wp:positionV>
                <wp:extent cx="3002280" cy="762000"/>
                <wp:effectExtent l="0" t="0" r="7620" b="0"/>
                <wp:wrapNone/>
                <wp:docPr id="920372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8CAEC" w14:textId="77777777" w:rsidR="00AC079C" w:rsidRPr="00AC079C" w:rsidRDefault="00AC079C" w:rsidP="00AC079C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C079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Tysklands officiella tidning</w:t>
                            </w:r>
                          </w:p>
                          <w:p w14:paraId="509D8CFC" w14:textId="77777777" w:rsidR="00AC079C" w:rsidRPr="00183F04" w:rsidRDefault="00AC079C" w:rsidP="00AC079C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Offentliggjord av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Förbundsjustitieministeriet</w:t>
                            </w:r>
                          </w:p>
                          <w:p w14:paraId="473683CD" w14:textId="77777777" w:rsidR="00AC079C" w:rsidRPr="00183F04" w:rsidRDefault="00AC079C" w:rsidP="00AC079C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7EB8" id="_x0000_s1028" type="#_x0000_t202" style="position:absolute;margin-left:57.6pt;margin-top:-55.25pt;width:236.4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" fillcolor="white [3201]" stroked="f" strokeweight=".5pt">
                <v:textbox inset="0,0,0,0">
                  <w:txbxContent>
                    <w:p w14:paraId="3148CAEC" w14:textId="77777777" w:rsidR="00AC079C" w:rsidRPr="00AC079C" w:rsidRDefault="00AC079C" w:rsidP="00AC079C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C079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Tysklands officiella tidning</w:t>
                      </w:r>
                    </w:p>
                    <w:p w14:paraId="509D8CFC" w14:textId="77777777" w:rsidR="00AC079C" w:rsidRPr="00183F04" w:rsidRDefault="00AC079C" w:rsidP="00AC079C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Offentliggjord av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Förbundsjustitieministeriet</w:t>
                      </w:r>
                    </w:p>
                    <w:p w14:paraId="473683CD" w14:textId="77777777" w:rsidR="00AC079C" w:rsidRPr="00183F04" w:rsidRDefault="00AC079C" w:rsidP="00AC079C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D0A689" w14:textId="77777777" w:rsidR="00C4698F" w:rsidRDefault="00AC079C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Beståndsdel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Referensvärde för kriteriet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Kriterium som andel av gräns-/riktvärdet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Kriterium i µg/l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Lantan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Mangan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Molybden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WHO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Nickel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Palladium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Praseodym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Strontium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Volfram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Yttrium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Zirkonium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I punkt 8.2.1 ska tredje meningen ändras på följande sätt: </w:t>
      </w:r>
      <w:r>
        <w:rPr>
          <w:rFonts w:ascii="Arial" w:hAnsi="Arial"/>
          <w:color w:val="000000"/>
          <w:sz w:val="18"/>
        </w:rPr>
        <w:br/>
        <w:t>”Syftet med granskningen av sammansättningen är att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kontrollera att emaljer/andra glasliknande material endast innehåller de ingredienser som anges i tabell 1 (se punkt 6.1), och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ange de beståndsdelar som ska bedömas i migrationsvatten, och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identifiera produkten.”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Fotnot 4 ska uppdateras på följande sätt: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”Provkropparna överensstämmer med proven enligt DIN 4753-3: 2017-08.”</w:t>
      </w:r>
    </w:p>
    <w:p w14:paraId="40F9591A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9. I punkt 8.3.3 ska de tionde och elfte meningarna bytas ut enligt följande: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”Figur 2 visar en testuppställning där trattar som innehåller migrationsvattnet pressas mot emaljplattorna. Men även andra strukturer kan användas för testning.”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Punkt 8.3.4 ska formuleras om enligt följande: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”I bilaga 1 visas vilka migrationsvatten under respektive migrationsperioder som ska tas för analys för kallvattenprovning. I bilaga 2 ska det anges vilka migrationsvatten som ska analyseras för varm- och hetvattenprovning. Migrationsvattnet ska omedelbart försuras med koncentrerad HNO</w:t>
      </w:r>
      <w:r>
        <w:rPr>
          <w:rFonts w:ascii="Arial" w:hAnsi="Arial"/>
          <w:color w:val="000000"/>
          <w:sz w:val="13"/>
        </w:rPr>
        <w:t xml:space="preserve">3 </w:t>
      </w:r>
      <w:r>
        <w:rPr>
          <w:rFonts w:ascii="Arial" w:hAnsi="Arial"/>
          <w:color w:val="000000"/>
          <w:sz w:val="18"/>
        </w:rPr>
        <w:t>för bestämning av beståndsdelarna (inte för bestämning av PAH) till 2 % (v/v) surhetsgrad.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Emaljer/andra glasliknande material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Beståndsdelar av emalj/andra glasliknande material med ett kriterium i enlighet med tabell 11 ska bestämmas. Bly- och kadmiumhalten i de migrationsvattenmängder som analyseras bör också fastställas. Analysen ska utföras med hjälp av en lämplig mätmetod, t.ex. ICP-MS i enlighet med DIN EN ISO 17294-1.”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Borosilikatglas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Beståndsdelar av borosilikatglas med ett kriterium i enlighet med tabell 11 ska fastställas. Bly- och kadmiumhalten i de migrationsvattenmängder som analyseras bör också fastställas. Analysen ska utföras med hjälp av en lämplig mätmetod, t.ex. ICP-MS i enlighet med DIN EN ISO 17294-1.”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Keramiska material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Beståndsdelar i det keramiska materialet med ett kriterium i enlighet med tabell 11 ska fastställas. Bly- och kadmiumhalten i de migrationsvattenmängder som analyseras bör också fastställas. Analysen ska utföras med hjälp av en lämplig mätmetod, t.ex. ICP-MS i enlighet med DIN EN ISO 17294-1.”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Keramiska material av kol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För provning av kolhaltiga keramiska material ska PAH bestämmas i de migrationsvatten som ska analyseras i enlighet med tabell 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Beläggningar av blandad metalloxid</w:t>
      </w:r>
    </w:p>
    <w:p w14:paraId="392E2A31" w14:textId="77777777" w:rsidR="00C4698F" w:rsidRDefault="00AC079C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7831FA">
        <w:rPr>
          <w:rFonts w:ascii="Arial" w:hAnsi="Arial"/>
          <w:color w:val="000000"/>
          <w:sz w:val="18"/>
        </w:rPr>
        <w:t>Om beläggningarna av blandad metalloxid tillverkas enligt beskrivningen i punkt 6.3 är migrationsprovningar inte nödvändiga.”</w:t>
      </w:r>
    </w:p>
    <w:p w14:paraId="3B15779D" w14:textId="77777777" w:rsidR="00C4698F" w:rsidRPr="00AC079C" w:rsidRDefault="00C4698F">
      <w:pPr>
        <w:sectPr w:rsidR="00C4698F" w:rsidRPr="00AC079C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23C627C5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302CEF6" wp14:editId="3CE3B600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22C47B86" w:rsidR="00C4698F" w:rsidRPr="00AC079C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  <w:lang w:val="da-DK"/>
              </w:rPr>
            </w:pPr>
            <w:r w:rsidRPr="00AC079C">
              <w:rPr>
                <w:rFonts w:ascii="Arial" w:hAnsi="Arial"/>
                <w:b/>
                <w:color w:val="000000"/>
                <w:sz w:val="32"/>
                <w:lang w:val="da-DK"/>
              </w:rPr>
              <w:t>Meddelande</w:t>
            </w:r>
          </w:p>
          <w:p w14:paraId="6EE9388C" w14:textId="222B32E0" w:rsidR="00C4698F" w:rsidRPr="00AC079C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  <w:lang w:val="da-DK"/>
              </w:rPr>
            </w:pPr>
            <w:r w:rsidRPr="00AC079C">
              <w:rPr>
                <w:rFonts w:ascii="Arial" w:hAnsi="Arial"/>
                <w:color w:val="000000"/>
                <w:sz w:val="18"/>
                <w:lang w:val="da-DK"/>
              </w:rPr>
              <w:t>Offentliggjort torsdagen den 2 september 2024 BAnz AT 02.09.2024 B4</w:t>
            </w:r>
          </w:p>
          <w:p w14:paraId="042B4A26" w14:textId="77777777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Sida 4 av 4</w:t>
            </w:r>
          </w:p>
        </w:tc>
      </w:tr>
    </w:tbl>
    <w:p w14:paraId="1E605B73" w14:textId="6E4B7631" w:rsidR="00C4698F" w:rsidRDefault="00AC079C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3D536C" wp14:editId="6FB6F289">
                <wp:simplePos x="0" y="0"/>
                <wp:positionH relativeFrom="column">
                  <wp:posOffset>716280</wp:posOffset>
                </wp:positionH>
                <wp:positionV relativeFrom="paragraph">
                  <wp:posOffset>-699770</wp:posOffset>
                </wp:positionV>
                <wp:extent cx="3002280" cy="762000"/>
                <wp:effectExtent l="0" t="0" r="7620" b="0"/>
                <wp:wrapNone/>
                <wp:docPr id="6501006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670A9" w14:textId="77777777" w:rsidR="00AC079C" w:rsidRPr="00AC079C" w:rsidRDefault="00AC079C" w:rsidP="00AC079C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C079C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Tysklands officiella tidning</w:t>
                            </w:r>
                          </w:p>
                          <w:p w14:paraId="758CF9A1" w14:textId="77777777" w:rsidR="00AC079C" w:rsidRPr="00183F04" w:rsidRDefault="00AC079C" w:rsidP="00AC079C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Offentliggjord av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Förbundsjustitieministeriet</w:t>
                            </w:r>
                          </w:p>
                          <w:p w14:paraId="3C518774" w14:textId="77777777" w:rsidR="00AC079C" w:rsidRPr="00183F04" w:rsidRDefault="00AC079C" w:rsidP="00AC079C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536C" id="_x0000_s1029" type="#_x0000_t202" style="position:absolute;margin-left:56.4pt;margin-top:-55.1pt;width:236.4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" fillcolor="white [3201]" stroked="f" strokeweight=".5pt">
                <v:textbox inset="0,0,0,0">
                  <w:txbxContent>
                    <w:p w14:paraId="5A3670A9" w14:textId="77777777" w:rsidR="00AC079C" w:rsidRPr="00AC079C" w:rsidRDefault="00AC079C" w:rsidP="00AC079C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C079C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Tysklands officiella tidning</w:t>
                      </w:r>
                    </w:p>
                    <w:p w14:paraId="758CF9A1" w14:textId="77777777" w:rsidR="00AC079C" w:rsidRPr="00183F04" w:rsidRDefault="00AC079C" w:rsidP="00AC079C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Offentliggjord av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Förbundsjustitieministeriet</w:t>
                      </w:r>
                    </w:p>
                    <w:p w14:paraId="3C518774" w14:textId="77777777" w:rsidR="00AC079C" w:rsidRPr="00183F04" w:rsidRDefault="00AC079C" w:rsidP="00AC079C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A112C8" w14:textId="77777777" w:rsidR="00C4698F" w:rsidRDefault="00AC079C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7831FA">
        <w:rPr>
          <w:rFonts w:ascii="Arial" w:hAnsi="Arial"/>
          <w:color w:val="000000"/>
          <w:sz w:val="18"/>
        </w:rPr>
        <w:t xml:space="preserve">11. I punkt 8.3.5 ska följande läggas till i slutet: </w:t>
      </w:r>
      <w:r w:rsidR="007831FA">
        <w:rPr>
          <w:rFonts w:ascii="Arial" w:hAnsi="Arial"/>
          <w:color w:val="000000"/>
          <w:sz w:val="18"/>
        </w:rPr>
        <w:br/>
        <w:t>”ANMÄRKNING: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Det finns en ökande trend i de uppmätta testvärdena om t.ex. följande kriterier uppfylls samtidigt: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den uppmätta koncentrationen under den migrationsperiod som är relevant för bedömningen överstiger 1/10 av migrationsbegränsningen, och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den uppmätta koncentrationen under den migrationsperiod som är relevant för bedömningen har fördubblats avsevärt jämfört med den lägsta uppmätta koncentrationen (högre än mätosäkerheten), och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den uppmätta koncentrationen under den migrationsperiod som är relevant för bedömningen är det högsta uppmätta värdet i migrationsserien.”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Ikraftträdande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Dessa ändringar träder i kraft dagen efter det att de har offentliggjorts i Tysklands officiella tidning.</w:t>
      </w:r>
    </w:p>
    <w:p w14:paraId="1524C81D" w14:textId="77777777" w:rsidR="00C4698F" w:rsidRPr="00AC079C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  <w:lang w:val="it-IT"/>
        </w:rPr>
      </w:pPr>
      <w:r w:rsidRPr="00AC079C">
        <w:rPr>
          <w:rFonts w:ascii="Arial" w:hAnsi="Arial"/>
          <w:color w:val="000000"/>
          <w:sz w:val="18"/>
          <w:lang w:val="it-IT"/>
        </w:rPr>
        <w:t>Dessau-Roßlau den 19 augusti 2024</w:t>
      </w:r>
    </w:p>
    <w:p w14:paraId="3F1DC40C" w14:textId="77777777" w:rsidR="00C4698F" w:rsidRPr="00AC079C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  <w:lang w:val="it-IT"/>
        </w:rPr>
      </w:pPr>
      <w:r w:rsidRPr="00AC079C">
        <w:rPr>
          <w:rFonts w:ascii="Arial" w:hAnsi="Arial"/>
          <w:color w:val="000000"/>
          <w:sz w:val="18"/>
          <w:lang w:val="it-IT"/>
        </w:rPr>
        <w:t>Federala miljöbyrån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Genom ombud</w:t>
      </w:r>
    </w:p>
    <w:p w14:paraId="5E269ED4" w14:textId="77777777" w:rsidR="00C4698F" w:rsidRDefault="00AC079C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7831FA">
        <w:rPr>
          <w:rFonts w:ascii="Arial" w:hAnsi="Arial"/>
          <w:color w:val="000000"/>
          <w:sz w:val="18"/>
        </w:rPr>
        <w:t>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ACA9" w14:textId="77777777" w:rsidR="007831FA" w:rsidRDefault="007831FA">
      <w:r>
        <w:separator/>
      </w:r>
    </w:p>
  </w:endnote>
  <w:endnote w:type="continuationSeparator" w:id="0">
    <w:p w14:paraId="3248DDA3" w14:textId="77777777" w:rsidR="007831FA" w:rsidRDefault="0078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6116" w14:textId="77777777" w:rsidR="007831FA" w:rsidRDefault="007831FA"/>
  </w:footnote>
  <w:footnote w:type="continuationSeparator" w:id="0">
    <w:p w14:paraId="08444EF7" w14:textId="77777777" w:rsidR="007831FA" w:rsidRDefault="0078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48382">
    <w:abstractNumId w:val="1"/>
  </w:num>
  <w:num w:numId="2" w16cid:durableId="154822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304A4"/>
    <w:rsid w:val="0007617D"/>
    <w:rsid w:val="00183F04"/>
    <w:rsid w:val="002377CC"/>
    <w:rsid w:val="00325D7A"/>
    <w:rsid w:val="003510F0"/>
    <w:rsid w:val="003A4307"/>
    <w:rsid w:val="004510A7"/>
    <w:rsid w:val="004668A2"/>
    <w:rsid w:val="004B2D0E"/>
    <w:rsid w:val="007831FA"/>
    <w:rsid w:val="008F28EA"/>
    <w:rsid w:val="00AC079C"/>
    <w:rsid w:val="00C4698F"/>
    <w:rsid w:val="00D76B33"/>
    <w:rsid w:val="00E55D40"/>
    <w:rsid w:val="00EB515C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2024-10-07T12:25:00Z</dcterms:created>
  <dcterms:modified xsi:type="dcterms:W3CDTF">2024-10-10T11:46:00Z</dcterms:modified>
</cp:coreProperties>
</file>