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93" w:rsidRDefault="00B24FEF">
      <w:pPr>
        <w:pStyle w:val="Szvegtrzs"/>
        <w:jc w:val="center"/>
        <w:rPr>
          <w:b/>
          <w:bCs/>
          <w:rFonts w:ascii="Times New Roman" w:hAnsi="Times New Roman"/>
        </w:rPr>
      </w:pPr>
      <w:r>
        <w:rPr>
          <w:b/>
          <w:rFonts w:ascii="Times New Roman" w:hAnsi="Times New Roman"/>
        </w:rPr>
        <w:t xml:space="preserve">Att […] tal-2024</w:t>
      </w:r>
      <w:r>
        <w:rPr>
          <w:b/>
          <w:rFonts w:ascii="Times New Roman" w:hAnsi="Times New Roman"/>
        </w:rPr>
        <w:t xml:space="preserve"> </w:t>
      </w:r>
    </w:p>
    <w:p w:rsidR="00F27993" w:rsidRDefault="00B24FEF">
      <w:pPr>
        <w:pStyle w:val="Szvegtrzs"/>
        <w:spacing w:before="240" w:after="480" w:line="240" w:lineRule="auto"/>
        <w:jc w:val="center"/>
        <w:rPr>
          <w:b/>
          <w:bCs/>
          <w:rFonts w:ascii="Times New Roman" w:hAnsi="Times New Roman"/>
        </w:rPr>
      </w:pPr>
      <w:r>
        <w:rPr>
          <w:b/>
          <w:rFonts w:ascii="Times New Roman" w:hAnsi="Times New Roman"/>
        </w:rPr>
        <w:t xml:space="preserve">dwar ir-restrizzjoni tal-aċċess għall-kontenut pornografiku fuq l-internet għall-protezzjoni tat-tfal, u l-emendar ta’ ċerti atti relatati mas-servizzi tal-kummerċ elettroniku u r-reklamar</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Emenda tal-Att CVIII tal-2001 dwar ċerti aspetti tas-servizzi tal-kummerċ elettroniku u s-servizzi tas-soċjetà tal-informazzjoni</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1</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Il-paragrafu (13a) li ġej għandu jiżdied mal-Artikolu 13 tal-Att CVIII tal-2001 dwar ċerti aspetti tas-servizzi tal-kummerċ elettroniku u s-servizzi tas-soċjetà tal-informazzjoni:</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“(13a) Il-fornitur tas-servizz għandu jopera sistema elettronika aċċessibbli faċilment, trasparenti u faċli għall-utent fuq is-sit web tiegħu, sabiex jiffaċilita s-sottomissjoni tar-rapporti msemmija fil-paragrafu 13.”</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L-Artikolu 13(14)(e) tal-Att CVIII tal-2001 dwar ċerti aspetti tas-servizzi tal-kummerċ elettroniku u s-servizzi tas-soċjetà tal-informazzjoni għandu jiġi sostitwit b’dan li ġej:</w:t>
      </w:r>
      <w:r>
        <w:rPr>
          <w:rFonts w:ascii="Times New Roman" w:hAnsi="Times New Roman"/>
        </w:rPr>
        <w:t xml:space="preserve"> </w:t>
      </w:r>
    </w:p>
    <w:p w:rsidR="00F27993" w:rsidRDefault="00B24FEF">
      <w:pPr>
        <w:pStyle w:val="Szvegtrzs"/>
        <w:spacing w:before="240" w:after="0" w:line="240" w:lineRule="auto"/>
        <w:jc w:val="both"/>
        <w:rPr>
          <w:i/>
          <w:iCs/>
          <w:rFonts w:ascii="Times New Roman" w:hAnsi="Times New Roman"/>
        </w:rPr>
      </w:pPr>
      <w:r>
        <w:rPr>
          <w:i/>
          <w:rFonts w:ascii="Times New Roman" w:hAnsi="Times New Roman"/>
        </w:rPr>
        <w:t xml:space="preserve">[Fil-każ ta’ ksur skont il-paragrafu 13, il-proċedura għandha titwettaq f’konformità mal-paragrafi 2 sa 12, bid-derogi li ġejjin:]</w:t>
      </w:r>
    </w:p>
    <w:p w:rsidR="00F27993" w:rsidRDefault="00B24FEF">
      <w:pPr>
        <w:pStyle w:val="Szvegtrzs"/>
        <w:spacing w:after="240" w:line="240" w:lineRule="auto"/>
        <w:ind w:left="580" w:hanging="560"/>
        <w:jc w:val="both"/>
        <w:rPr>
          <w:rFonts w:ascii="Times New Roman" w:hAnsi="Times New Roman"/>
        </w:rPr>
      </w:pPr>
      <w:r>
        <w:rPr>
          <w:rFonts w:ascii="Times New Roman" w:hAnsi="Times New Roman"/>
        </w:rPr>
        <w:t xml:space="preserve">“</w:t>
      </w:r>
      <w:r>
        <w:rPr>
          <w:i/>
          <w:rFonts w:ascii="Times New Roman" w:hAnsi="Times New Roman"/>
        </w:rPr>
        <w:t xml:space="preserve">(e)</w:t>
      </w:r>
      <w:r>
        <w:rPr>
          <w:rFonts w:ascii="Times New Roman" w:hAnsi="Times New Roman"/>
        </w:rPr>
        <w:tab/>
      </w:r>
      <w:r>
        <w:rPr>
          <w:rFonts w:ascii="Times New Roman" w:hAnsi="Times New Roman"/>
        </w:rPr>
        <w:t xml:space="preserve">il-fornitur tas-servizz jista’ jirrifjuta li jagħmel l-informazzjoni kkritikata inaċċessibbli jekk, abbażi tar-raġunijiet iddikjarati fir-rapport imsemmi fil-paragrafu (13), huwa jsib li l-ksur tad-drittijiet tal-personalità tal-minuri mhux ġustifikat, filwaqt li jsostni li f’każ bħal dan il-fornitur tas-servizz għandu jipprovdi lill-applikant informazzjoni ċara u dettaljata dwar ir-raġunijiet għar-rifjut fil-mument tar-rifjut.”</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2</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L-Artikolu 15/D(1)(d) tal-Att CVIII tal-2001 dwar ċerti aspetti tas-servizzi tal-kummerċ elettroniku u s-servizzi tas-soċjetà tal-informazzjoni għandu jiġi sostitwit b’dan li ġej:</w:t>
      </w:r>
      <w:r>
        <w:rPr>
          <w:rFonts w:ascii="Times New Roman" w:hAnsi="Times New Roman"/>
        </w:rPr>
        <w:t xml:space="preserve"> </w:t>
      </w:r>
    </w:p>
    <w:p w:rsidR="00F27993" w:rsidRDefault="00B24FEF">
      <w:pPr>
        <w:pStyle w:val="Szvegtrzs"/>
        <w:spacing w:before="240" w:after="0" w:line="240" w:lineRule="auto"/>
        <w:jc w:val="both"/>
        <w:rPr>
          <w:i/>
          <w:iCs/>
          <w:rFonts w:ascii="Times New Roman" w:hAnsi="Times New Roman"/>
        </w:rPr>
      </w:pPr>
      <w:r>
        <w:rPr>
          <w:i/>
          <w:rFonts w:ascii="Times New Roman" w:hAnsi="Times New Roman"/>
        </w:rPr>
        <w:t xml:space="preserve">(Sabiex jiġu protetti l-utenti tas-servizz, il-fornitur ta’ servizz ta’ pjattaforma ta’ video-sharing għandu japplika l-miżuri u s-soluzzjonijiet tekniċi msemmija fl-Artikolu 15/F jekk)</w:t>
      </w:r>
    </w:p>
    <w:p w:rsidR="00F27993" w:rsidRDefault="00B24FEF">
      <w:pPr>
        <w:pStyle w:val="Szvegtrzs"/>
        <w:spacing w:after="240" w:line="240" w:lineRule="auto"/>
        <w:ind w:left="580" w:hanging="560"/>
        <w:jc w:val="both"/>
        <w:rPr>
          <w:rFonts w:ascii="Times New Roman" w:hAnsi="Times New Roman"/>
        </w:rPr>
      </w:pPr>
      <w:r>
        <w:rPr>
          <w:rFonts w:ascii="Times New Roman" w:hAnsi="Times New Roman"/>
        </w:rPr>
        <w:t xml:space="preserve">“</w:t>
      </w:r>
      <w:r>
        <w:rPr>
          <w:i/>
          <w:rFonts w:ascii="Times New Roman" w:hAnsi="Times New Roman"/>
        </w:rPr>
        <w:t xml:space="preserve">(d)</w:t>
      </w:r>
      <w:r>
        <w:rPr>
          <w:rFonts w:ascii="Times New Roman" w:hAnsi="Times New Roman"/>
        </w:rPr>
        <w:tab/>
      </w:r>
      <w:r>
        <w:rPr>
          <w:rFonts w:ascii="Times New Roman" w:hAnsi="Times New Roman"/>
        </w:rPr>
        <w:t xml:space="preserve">il-komunikazzjoni kummerċjali ppubblikata mill-utent tas-servizz ta’ pjattaforma ta’ video-sharing ma tikkonformax mad-dispożizzjonijiet tal-Artikolu 20(1)–(7) tal-Att CIV tal-2010 dwar il-libertà tal-istampa u r-regoli fundamentali tal-kontenut tal-media (minn hawn ’il quddiem:</w:t>
      </w:r>
      <w:r>
        <w:rPr>
          <w:rFonts w:ascii="Times New Roman" w:hAnsi="Times New Roman"/>
        </w:rPr>
        <w:t xml:space="preserve"> </w:t>
      </w:r>
      <w:r>
        <w:rPr>
          <w:rFonts w:ascii="Times New Roman" w:hAnsi="Times New Roman"/>
        </w:rPr>
        <w:t xml:space="preserve">l-Att dwar l-Istampa) u mad-dispożizzjonijiet tal-Artikolu 24 u l-Artikolu 30(3)(b) tal-Att dwar il-Media.”</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Il-paragrafu (2) fl-Artikolu 15/D tal-Att CVIII tal-2001 dwar ċerti aspetti tas-servizzi tal-kummerċ elettroniku u s-servizzi tas-soċjetà tal-informazzjoni għandu jiġi sostitwit b’dan li ġej:</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Il-komunikazzjoni kummerċjali organizzata distribwita u mibjugħa mill-fornitur tal-pjattaforma ta’ video-sharing trid tikkonforma mar-rekwiżiti tal-Artikolu 20(1)–(7) tal-Att dwar l-Istampa, u mal-Artikolu 24 u l-Artikolu 30(3)(b) tal-Att dwar il-Media.”</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3</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Il-paragrafi (2) u (3) tal-Artikolu 15/E tal-Att CVIII tal-2001 dwar ċerti aspetti tas-servizzi tal-kummerċ elettroniku u s-servizzi tas-soċjetà tal-informazzjoni għandhom jiġu sostitwiti b’dan li ġej:</w:t>
      </w:r>
      <w:r>
        <w:rPr>
          <w:rFonts w:ascii="Times New Roman" w:hAnsi="Times New Roman"/>
        </w:rPr>
        <w:t xml:space="preserve"> </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Il-fornitur ta’ servizzi ta’ pjattaforma ta’ video-sharing għandu jinkludi fit-termini u l-kondizzjonijiet ġenerali tiegħu r-rekwiżiti stabbiliti fl-Artikolu 24 u l-Artikolu 30(3)(b) tal-Att dwar il-Media kif ukoll ir-rekwiżiti stabbiliti fl-Artikolu 20(1)–(7) tal-Att dwar l-Istampa, fir-rigward tal-komunikazzjonijiet kummerċjali ppubblikati mill-utent tas-servizz ta’ pjattaforma ta’ video-sharing.</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It-termini u l-kondizzjonijiet ġenerali tal-fornitur ta’ servizzi ta’ pjattaforma ta’ video-sharing għandhom jinkludu informazzjoni dwar proċeduri ta’ rimedju barra mill-qorti u fil-qorti għas-soluzzjoni ta’ tilwim bejn l-utenti u l-fornitur ta’ servizzi ta’ pjattaforma ta’ video-sharing fir-rigward tal-applikazzjoni tal-Artikoli 15/F u 15/G.”</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4</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Il-paragrafu (7) tal-Artikolu 15/F tal-Att CVIII tal-2001 dwar ċerti aspetti tas-servizzi tal-kummerċ elettroniku u s-servizzi tas-soċjetà tal-informazzjoni għandu jiġi sostitwit b’dan li ġej:</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“(7)</w:t>
      </w:r>
      <w:r>
        <w:rPr>
          <w:rFonts w:ascii="Times New Roman" w:hAnsi="Times New Roman"/>
        </w:rPr>
        <w:t xml:space="preserve"> </w:t>
      </w:r>
      <w:r>
        <w:rPr>
          <w:rFonts w:ascii="Times New Roman" w:hAnsi="Times New Roman"/>
        </w:rPr>
        <w:t xml:space="preserve">L-awtorità tista’ tippubblika rakkomandazzjoni dwar l-aħjar prattiki li jikkonċernaw ir-rekwiżiti stabbiliti fil-paragrafi 1 u 2 u fl-Artikolu 15/D(2).</w:t>
      </w:r>
      <w:r>
        <w:rPr>
          <w:rFonts w:ascii="Times New Roman" w:hAnsi="Times New Roman"/>
        </w:rPr>
        <w:t xml:space="preserve">  </w:t>
      </w:r>
      <w:r>
        <w:rPr>
          <w:rFonts w:ascii="Times New Roman" w:hAnsi="Times New Roman"/>
        </w:rPr>
        <w:t xml:space="preserve">Ir-rakkomandazzjoni ma għandhiex tkun vinkolanti.”</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5</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Il-paragrafu (3) tal-Artikolu 18 tal-Att CVIII tal-2001 dwar ċerti aspetti tas-servizzi tal-kummerċ elettroniku u s-servizzi tas-soċjetà tal-informazzjoni għandu jiġi sostitwit b’dan li ġej:</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L-abbozzi tal-Artikolu 2, l-Artikolu 3/B, l-Artikolu 13(13a), l-Artikolu 13(14)(e), l-Artikolu 15/D (1) (d), l-Artikolu 15/D (2), l-Artikolu 15/E(2) u (3), l-Artikolu 15/F(7) ta’ dan l-Att ġew innotifikati minn qabel skont l-Artikoli 5-7 tad-Direttiva (UE) 2015/1535 tal-Parlament Ewropew u tal-Kunsill tad-9 ta’ Settembru 2015 li tistabbilixxi proċedura għall-għoti ta’ informazzjoni fil-qasam tar-regolamenti tekniċi u tar-regoli dwar is-servizzi tas-Soċjetà tal-Informatika.”</w:t>
      </w:r>
      <w:r>
        <w:rPr>
          <w:rFonts w:ascii="Times New Roman" w:hAnsi="Times New Roman"/>
        </w:rPr>
        <w:t xml:space="preserve">        </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Emenda tal-Att C tal-2003 dwar il-komunikazzjonijiet elettroniċi</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6</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L-Artikolu 149/F li ġejja għandha tiddaħħal taħt l-intestatura “Protezzjoni tal-Minorenni” fl-Att C tal-2003 dwar il-komunikazzjonijiet elettroniċi:</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149/F</w:t>
      </w:r>
      <w:r>
        <w:rPr>
          <w:b/>
          <w:rFonts w:ascii="Times New Roman" w:hAnsi="Times New Roman"/>
        </w:rPr>
        <w:t xml:space="preserve"> </w:t>
      </w:r>
    </w:p>
    <w:p w:rsidR="009B2A35" w:rsidRPr="008F37E3" w:rsidRDefault="009B2A35" w:rsidP="008F37E3">
      <w:pPr>
        <w:pStyle w:val="Szvegtrzs"/>
        <w:jc w:val="both"/>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Bħala parti mis-servizz u abbażi tad-dikjarazzjoni tal-abbonat, il-fornitur tas-servizz ta’ aċċess għall-internet</w:t>
      </w:r>
      <w:bookmarkStart w:id="1" w:name="_Hlk167178857"/>
      <w:r>
        <w:t xml:space="preserve"> </w:t>
      </w:r>
      <w:r>
        <w:rPr>
          <w:rFonts w:ascii="Times New Roman" w:hAnsi="Times New Roman"/>
        </w:rPr>
        <w:t xml:space="preserve">għandu jagħmilha possibbli li l-utent tas-servizz ta’ aċċess għall-internet jiġi pprojbit milli jaċċessa s-siti web fil-lista stabbilita fil-paragrafu 3, permezz ta’ soluzzjoni teknika xierqa, li għandha tiġi pprovduta mingħajr ħlas lill-abbonati individwali</w:t>
      </w:r>
      <w:bookmarkEnd w:id="1"/>
      <w:r>
        <w:rPr>
          <w:rFonts w:ascii="Times New Roman" w:hAnsi="Times New Roman"/>
        </w:rPr>
        <w:t xml:space="preserve"> </w:t>
      </w:r>
      <w:r>
        <w:rPr>
          <w:rFonts w:ascii="Times New Roman" w:hAnsi="Times New Roman"/>
        </w:rPr>
        <w:t xml:space="preserve">(minn hawn ’il quddiem imsejjaħ “servizz sikur ipprovdut fir-rigward ta’ utenti taħt l-età”).</w:t>
      </w:r>
      <w:r>
        <w:rPr>
          <w:rFonts w:ascii="Times New Roman" w:hAnsi="Times New Roman"/>
        </w:rPr>
        <w:t xml:space="preserve"> </w:t>
      </w:r>
      <w:r>
        <w:rPr>
          <w:rFonts w:ascii="Times New Roman" w:hAnsi="Times New Roman"/>
        </w:rPr>
        <w:t xml:space="preserve">Qabel il-konklużjoni tal-kuntratt ta’ abbonament u matul ir-rikonċiljazzjoni tad-data skont l-Artikolu 129(2b), il-fornitur tas-servizz għandu jinforma lill-abbonat bil-possibbiltà li jagħmel użu minn servizz sikur (li huwa pprovdut fir-rigward ta’ utenti taħt l-età) u bil-fatt li huwa pprovdut mingħajr ħlas għal abbonati individwali.</w:t>
      </w:r>
      <w:r>
        <w:rPr>
          <w:rFonts w:ascii="Times New Roman" w:hAnsi="Times New Roman"/>
        </w:rPr>
        <w:t xml:space="preserve">  </w:t>
      </w:r>
      <w:r>
        <w:rPr>
          <w:rFonts w:ascii="Times New Roman" w:hAnsi="Times New Roman"/>
        </w:rPr>
        <w:t xml:space="preserve">L-abbonat għandu jkollu d-dritt li jagħmel bidliet fid-dikjarazzjoni tiegħu dwar l-użu tas-servizz sikur (li huwa pprovdut fir-rigward tal-utenti taħt l-età), u jista’ jagħmel dan mingħajr ħlas fi kwalunkwe ħin sakemm il-kuntratt tal-abbonat ikun validu, mingħajr preġudizzju għal termini oħra tal-kuntratt.</w:t>
      </w:r>
    </w:p>
    <w:p w:rsidR="009B2A35" w:rsidRPr="008F37E3" w:rsidRDefault="009B2A35" w:rsidP="008F37E3">
      <w:pPr>
        <w:pStyle w:val="Szvegtrzs"/>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Fuq il-bażi tad-dikjarazzjoni tal-abbonat, il-fornitur tas-servizz ta’ aċċess fiss għall-internet għandu jippermetti wkoll li l-abbonat individwali jkollu aċċess simultanju għas-servizz sikur (li huwa pprovdut fir-rigward tal-utenti taħt l-età) u għas-servizz tal-internet mhux iffiltrat mill-istess punt ta’ aċċess għall-abbonati, anke separatament, fil-qafas tas-servizz ta’ abbonament, u dan għandu jiġi żgurat mingħajr ħlas għall-abbonati individwali.</w:t>
      </w:r>
      <w:r>
        <w:rPr>
          <w:rFonts w:ascii="Times New Roman" w:hAnsi="Times New Roman"/>
        </w:rPr>
        <w:t xml:space="preserve"> </w:t>
      </w:r>
    </w:p>
    <w:p w:rsidR="009B2A35" w:rsidRPr="009B2A35" w:rsidRDefault="009B2A35" w:rsidP="008F37E3">
      <w:pPr>
        <w:pStyle w:val="Szvegtrzs"/>
        <w:jc w:val="both"/>
        <w:rPr>
          <w:rFonts w:ascii="Times New Roman" w:hAnsi="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Sabiex jiġi żgurat il-forniment ta’ dan is-servizz sikur, li jiġi pprovdut fir-rigward tal-utenti taħt l-età, il-President għandu jfassal lista tas-siti web li l-aktar iżuruhom nies mill-Ungerija u li huma ddedikati għal kontenut pornografiku.</w:t>
      </w:r>
    </w:p>
    <w:p w:rsidR="009B2A35" w:rsidRPr="009B2A35" w:rsidRDefault="009B2A35" w:rsidP="008F37E3">
      <w:pPr>
        <w:pStyle w:val="Szvegtrzs"/>
        <w:spacing w:line="240" w:lineRule="auto"/>
        <w:jc w:val="both"/>
        <w:rPr>
          <w:rFonts w:ascii="Times New Roman" w:hAnsi="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Il-President għandu jistabbilixxi, permezz ta’ digriet, regoli dettaljati għall-provvista ta’ informazzjoni dwar l-abbonati u l-metodu ta’ provvista ta’ servizzi fir-rigward tas-servizz sigur (li jiġi pprovdut fir-rigward tal-utenti taħt l-età), kif imsemmi fil-paragrafu 1, kif ukoll regoli dettaljati għall-kompilazzjoni, ir-reviżjoni u l-pubblikazzjoni tal-lista msemmija fil-paragrafu 3.”</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7</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L-Artikolu 163/Q li ġej jiżdied mal-Att C tal-2003 dwar il-komunikazzjonijiet elettroniċi:</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163/Q</w:t>
      </w:r>
      <w:r>
        <w:rPr>
          <w:b/>
          <w:rFonts w:ascii="Times New Roman" w:hAnsi="Times New Roman"/>
        </w:rPr>
        <w:t xml:space="preserve"> </w:t>
      </w:r>
    </w:p>
    <w:p w:rsidR="00C02533" w:rsidRPr="00AF480D" w:rsidRDefault="00C02533" w:rsidP="003A1216">
      <w:pPr>
        <w:pStyle w:val="Szvegtrzs"/>
        <w:jc w:val="both"/>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Il-President għandu jiġbor il-lista msemmija fl-Artikolu 149/F(3) tal-Att Nru... tal-2024 li jirrestrinġi l-aċċess għal kontenut pornografiku fuq l-internet għall-protezzjoni tat-tfal, u li jemenda ċerti atti relatati mas-servizzi tal-kummerċ elettroniku u r-reklamar (minn hawn ’il quddiem “l-Att Emendatorju 3”), fi żmien 120 jum mid-dħul fis-seħħ tal-Att Emendatorju 3, għall-protezzjoni tat-tfal.</w:t>
      </w:r>
      <w:r>
        <w:rPr>
          <w:rFonts w:ascii="Times New Roman" w:hAnsi="Times New Roman"/>
        </w:rPr>
        <w:t xml:space="preserve">  </w:t>
      </w:r>
    </w:p>
    <w:p w:rsidR="00C02533" w:rsidRPr="00AF480D" w:rsidRDefault="00C02533" w:rsidP="003A1216">
      <w:pPr>
        <w:pStyle w:val="Szvegtrzs"/>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Dwar l-Artikolu 149/F, kif stabbilit mill-Att Emendatorju 3,</w:t>
      </w:r>
      <w:r>
        <w:rPr>
          <w:rFonts w:ascii="Times New Roman" w:hAnsi="Times New Roman"/>
        </w:rPr>
        <w:t xml:space="preserve"> </w:t>
      </w:r>
    </w:p>
    <w:p w:rsidR="00C02533" w:rsidRPr="00AF480D" w:rsidRDefault="00C02533" w:rsidP="003A1216">
      <w:pPr>
        <w:pStyle w:val="Szvegtrzs"/>
        <w:jc w:val="both"/>
        <w:rPr>
          <w:rFonts w:ascii="Times New Roman" w:hAnsi="Times New Roman"/>
        </w:rPr>
      </w:pPr>
      <w:r>
        <w:rPr>
          <w:i/>
          <w:rFonts w:ascii="Times New Roman" w:hAnsi="Times New Roman"/>
        </w:rPr>
        <w:t xml:space="preserve">(a)</w:t>
      </w:r>
      <w:r>
        <w:rPr>
          <w:rFonts w:ascii="Times New Roman" w:hAnsi="Times New Roman"/>
        </w:rPr>
        <w:t xml:space="preserve"> id-dispożizzjonijiet tal-paragrafu (1) għandhom ikunu applikabbli għas-servizz tal-aċċess għall-internet mobbli ta’ fornitur tas-servizz tal-aċċess għall-internet mobbli mill-1 ta’ Jannar 2026,</w:t>
      </w:r>
    </w:p>
    <w:p w:rsidR="00C02533" w:rsidRPr="00AF480D" w:rsidRDefault="00C02533" w:rsidP="003A1216">
      <w:pPr>
        <w:pStyle w:val="Szvegtrzs"/>
        <w:jc w:val="both"/>
        <w:rPr>
          <w:rFonts w:ascii="Times New Roman" w:hAnsi="Times New Roman"/>
        </w:rPr>
      </w:pPr>
      <w:r>
        <w:rPr>
          <w:i/>
          <w:rFonts w:ascii="Times New Roman" w:hAnsi="Times New Roman"/>
        </w:rPr>
        <w:t xml:space="preserve">(b)</w:t>
      </w:r>
      <w:r>
        <w:rPr>
          <w:rFonts w:ascii="Times New Roman" w:hAnsi="Times New Roman"/>
        </w:rPr>
        <w:t xml:space="preserve"> id-dispożizzjonijiet tal-paragrafu (1) u (2) għandhom ikunu applikabbli għall-fornituri tas-servizzi tal-aċċess għall-internet b’10 000 abbonat jew aktar mill-1 ta’ Mejju 2026,</w:t>
      </w:r>
    </w:p>
    <w:p w:rsidR="00C02533" w:rsidRPr="00AF480D" w:rsidRDefault="00C02533" w:rsidP="003A1216">
      <w:pPr>
        <w:pStyle w:val="Szvegtrzs"/>
        <w:jc w:val="both"/>
        <w:rPr>
          <w:rFonts w:ascii="Times New Roman" w:hAnsi="Times New Roman"/>
        </w:rPr>
      </w:pPr>
      <w:r>
        <w:rPr>
          <w:i/>
          <w:rFonts w:ascii="Times New Roman" w:hAnsi="Times New Roman"/>
        </w:rPr>
        <w:t xml:space="preserve">(c)</w:t>
      </w:r>
      <w:r>
        <w:rPr>
          <w:rFonts w:ascii="Times New Roman" w:hAnsi="Times New Roman"/>
        </w:rPr>
        <w:t xml:space="preserve"> id-dispożizzjonijiet tal-paragrafu (1) u (2) għandhom ikunu applikabbli għall-fornituri tas-servizzi tal-aċċess għall-internet b’inqas minn 10 000 abbonat mill-1 ta’ Jannar 2027.</w:t>
      </w:r>
    </w:p>
    <w:p w:rsidR="00C02533" w:rsidRPr="00AF480D" w:rsidRDefault="00C02533" w:rsidP="003A1216">
      <w:pPr>
        <w:pStyle w:val="Szvegtrzs"/>
        <w:jc w:val="both"/>
        <w:rPr>
          <w:rFonts w:ascii="Times New Roman" w:hAnsi="Times New Roman"/>
        </w:rPr>
      </w:pPr>
    </w:p>
    <w:p w:rsidR="00C02533" w:rsidRPr="00AF480D" w:rsidRDefault="00C02533" w:rsidP="003A1216">
      <w:pPr>
        <w:pStyle w:val="Szvegtrzs"/>
        <w:spacing w:after="0" w:line="240" w:lineRule="auto"/>
        <w:jc w:val="both"/>
        <w:rPr>
          <w:rFonts w:ascii="Times New Roman" w:hAnsi="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Għall-finijiet tal-paragrafu (2), “servizz tal-aċċess għall-internet mobbli” tfisser servizz tal-aċċess għall-internet ipprovdut fuq netwerk tal-komunikazzjoni bir-radju li jista’ jintuża mill-utent aħħari anke waqt li jkun qed jiċċaqlaq fiż-żona tas-servizz.</w:t>
      </w:r>
    </w:p>
    <w:p w:rsidR="00A90E2C" w:rsidRPr="00AF480D" w:rsidRDefault="00A90E2C" w:rsidP="003A1216">
      <w:pPr>
        <w:pStyle w:val="Szvegtrzs"/>
        <w:spacing w:after="0" w:line="240" w:lineRule="auto"/>
        <w:jc w:val="both"/>
        <w:rPr>
          <w:rFonts w:ascii="Times New Roman" w:hAnsi="Times New Roman"/>
        </w:rPr>
      </w:pPr>
    </w:p>
    <w:p w:rsidR="00C02533" w:rsidRPr="00AF480D" w:rsidRDefault="00C02533" w:rsidP="00A90E2C">
      <w:pPr>
        <w:pStyle w:val="Szvegtrzs"/>
        <w:spacing w:after="0" w:line="240" w:lineRule="auto"/>
        <w:jc w:val="both"/>
        <w:rPr>
          <w:rFonts w:ascii="Times New Roman" w:hAnsi="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Il-paragrafi (1) u (2) tal-Artikolu 149/F tal-Att Emendatorju 3 għandhom japplikaw ukoll għal kuntratti ta’ abbonati konklużi qabel id-dati speċifikati fil-paragrafu (2), bil-kundizzjoni li fi żmien sena wara d-dati speċifikati fil-paragrafu (2) il-fornitur tas-servizz ikkonċernat għandu joffri lill-abbonat individwali l-possibbiltà li juża s-servizz sikur (li huwa pprovdut fir-rigward ta’ utenti taħt l-età) kif definit fl-Artikolu 149/F, u għandu joffri dan mingħajr ħlas, bi skadenza ta’ mill-inqas 30 jum.”</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8</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Il-punt 7 li ġej għandu jiżdied mal-Artikolu 182(3) tal-Att C tal-2003 dwar il-komunikazzjonijiet elettroniċi:</w:t>
      </w:r>
      <w:r>
        <w:rPr>
          <w:rFonts w:ascii="Times New Roman" w:hAnsi="Times New Roman"/>
        </w:rPr>
        <w:t xml:space="preserve"> </w:t>
      </w:r>
    </w:p>
    <w:p w:rsidR="00AF480D" w:rsidRPr="001553AC" w:rsidRDefault="00B24FEF" w:rsidP="003A1216">
      <w:pPr>
        <w:pStyle w:val="Szvegtrzs"/>
        <w:spacing w:before="240" w:after="0" w:line="240" w:lineRule="auto"/>
        <w:jc w:val="both"/>
        <w:rPr>
          <w:rFonts w:ascii="Times New Roman" w:hAnsi="Times New Roman"/>
        </w:rPr>
      </w:pPr>
      <w:r>
        <w:rPr>
          <w:i/>
          <w:rFonts w:ascii="Times New Roman" w:hAnsi="Times New Roman"/>
        </w:rPr>
        <w:t xml:space="preserve">(Il-President għandu s-setgħa li jistabbilixxi permezz ta’ digriet:)</w:t>
      </w:r>
    </w:p>
    <w:p w:rsidR="00AF480D" w:rsidRPr="001553AC" w:rsidRDefault="00AF480D" w:rsidP="003A1216">
      <w:pPr>
        <w:pStyle w:val="Szvegtrzs"/>
        <w:ind w:left="567" w:hanging="560"/>
        <w:jc w:val="both"/>
        <w:rPr>
          <w:rFonts w:ascii="Times New Roman" w:hAnsi="Times New Roman"/>
        </w:rPr>
      </w:pPr>
      <w:r>
        <w:rPr>
          <w:rFonts w:ascii="Times New Roman" w:hAnsi="Times New Roman"/>
        </w:rPr>
        <w:t xml:space="preserve">“7. regoli dettaljati għall-forniment ta’ informazzjoni dwar l-abbonati u l-metodu ta’ forniment ta’ servizz fir-rigward tas-servizz sikur (li huwa pprovdut fir-rigward ta’ utenti taħt l-età), kif ukoll regoli dettaljati għall-kompilazzjoni, ir-reviżjoni u l-pubblikazzjoni tal-lista msemmija fl-Artikolu 149/F(3);”.</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9</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L-Artikolu 187(3) tal-Att C tal-2003 dwar il-komunikazzjonijiet elettroniċi għandha tiġi sostitwita b’dan li ġej:</w:t>
      </w:r>
      <w:r>
        <w:rPr>
          <w:rFonts w:ascii="Times New Roman" w:hAnsi="Times New Roman"/>
        </w:rPr>
        <w:t xml:space="preserve"> </w:t>
      </w:r>
    </w:p>
    <w:p w:rsidR="001553AC" w:rsidRDefault="001553AC" w:rsidP="0064144A">
      <w:pPr>
        <w:pStyle w:val="Szvegtrzs"/>
        <w:jc w:val="both"/>
        <w:rPr>
          <w:rFonts w:ascii="Times New Roman" w:hAnsi="Times New Roman"/>
        </w:rPr>
      </w:pPr>
    </w:p>
    <w:p w:rsidR="001553AC" w:rsidRPr="00146EC1" w:rsidRDefault="001553AC" w:rsidP="0064144A">
      <w:pPr>
        <w:pStyle w:val="Szvegtrzs"/>
        <w:jc w:val="both"/>
        <w:rPr>
          <w:rFonts w:ascii="Times New Roman" w:hAnsi="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L-abbozzi tal-Artikolu 92/C, l-Artikolu 145/A, l-Artikolu 149/F(1) u (2), l-Artikolu 163/Q(2)–(4) u l-Artikolu 182(1)(h) ta’ dan l-Att ġew innotifikati bil-quddiem skont l-Artikoli 5–7 tad-Direttiva (UE) 2015/1535 tal-Parlament Ewropew u tal-Kunsill tad-9 ta’ Settembru 2015 li tistabbilixxi proċedura għall-għoti ta’ informazzjoni fil-qasam tar-regolamenti tekniċi u tar-regoli dwar is-servizzi tas-Soċjetà tal-Informatika.”</w:t>
      </w:r>
      <w:r>
        <w:rPr>
          <w:rFonts w:ascii="Times New Roman" w:hAnsi="Times New Roman"/>
        </w:rPr>
        <w:t xml:space="preserve">     </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Emenda tal-Att XLVIII tal-2008 dwar ir-rekwiżiti bażiċi għal attivitajiet ta’ reklamar kummerċjali u ċerti restrizzjonijiet fuqhom</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10</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L-Artikolu 4/A li ġejja għandha tiżdied mal-Att XLVIII tal-2008 dwar ir-rekwiżiti bażiċi għal u ċerti restrizzjonijiet fuq attivitajiet ta’ reklamar kummerċjali:</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4/A</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Reklami permezz ta’ fornituri tal-applikazzjonijiet u fornituri ta’ servizzi ta’ pjattaforma ta’ video-sharing skont it-tifsira tal-Att CVIII tal-2001 dwar ċerti aspetti tas-servizzi tal-kummerċ elettroniku u tas-servizzi tas-soċjetà tal-informazzjoni (minn hawn ’il quddiem:</w:t>
      </w:r>
      <w:r>
        <w:rPr>
          <w:rFonts w:ascii="Times New Roman" w:hAnsi="Times New Roman"/>
        </w:rPr>
        <w:t xml:space="preserve"> </w:t>
      </w:r>
      <w:r>
        <w:rPr>
          <w:rFonts w:ascii="Times New Roman" w:hAnsi="Times New Roman"/>
        </w:rPr>
        <w:t xml:space="preserve">l-Att dwar il-Kummerċ Elettroniku) jista’ jiġi ppubblikat b’indikazzjoni ta’ referenza għan-natura tar-reklamar.</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Jekk ir-reklam imsemmi fil-paragrafu (1) ikun indirizzat lit-tfal jew lill-minorenni, ir-referenza għan-natura tar-reklamar għandha tinkludi wkoll referenza għal dan il-fatt.”</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11</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Il-paragrafu (5) li ġej għandu jiżdied mal-Artikolu 8 tal-Att XLVIII tal-2008 dwar ir-rekwiżiti bażiċi għal u ċerti restrizzjonijiet fuq attivitajiet ta’ reklamar kummerċjali:</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“(5)</w:t>
      </w:r>
      <w:r>
        <w:rPr>
          <w:rFonts w:ascii="Times New Roman" w:hAnsi="Times New Roman"/>
        </w:rPr>
        <w:t xml:space="preserve"> </w:t>
      </w:r>
      <w:r>
        <w:rPr>
          <w:rFonts w:ascii="Times New Roman" w:hAnsi="Times New Roman"/>
        </w:rPr>
        <w:t xml:space="preserve">Huwa pprojbit li jiġu rreklamati oġġetti jew prodotti jew l-użu tagħhom lit-tfal jew lill-minorenni b’mod li jkun ta’ ħsara jew perikoluż għall-ħajja, għas-saħħa jew għall-integrità fiżika.”</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12</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Il-paragrafu (2) fl-Artikolu 18 tal-Att XLVIII tal-2008 dwar ir-rekwiżiti bażiċi għal u ċerti restrizzjonijiet fuq attivitajiet ta’ reklamar kummerċjali għandu jiġi sostitwit b’dan li ġej:</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Huwa pprojbit li jiġi ppubblikat kwalunkwe reklamar ta’ xorb alkoħoliku</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(a)</w:t>
      </w:r>
      <w:r>
        <w:rPr>
          <w:rFonts w:ascii="Times New Roman" w:hAnsi="Times New Roman"/>
        </w:rPr>
        <w:tab/>
      </w:r>
      <w:r>
        <w:rPr>
          <w:rFonts w:ascii="Times New Roman" w:hAnsi="Times New Roman"/>
        </w:rPr>
        <w:t xml:space="preserve">fuq il-wiċċ ta’ barra tal-qoxra ta’ quddiem ta’ prodott stampat jew, fil-każ ta’ sit web, fuq il-paġna tal-ftuħ,</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(b)</w:t>
      </w:r>
      <w:r>
        <w:rPr>
          <w:rFonts w:ascii="Times New Roman" w:hAnsi="Times New Roman"/>
        </w:rPr>
        <w:tab/>
      </w:r>
      <w:r>
        <w:rPr>
          <w:rFonts w:ascii="Times New Roman" w:hAnsi="Times New Roman"/>
        </w:rPr>
        <w:t xml:space="preserve">f’teatri jew ċinemas qabel it-8 ta’ filgħaxija</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(c)</w:t>
      </w:r>
      <w:r>
        <w:rPr>
          <w:rFonts w:ascii="Times New Roman" w:hAnsi="Times New Roman"/>
        </w:rPr>
        <w:tab/>
      </w:r>
      <w:r>
        <w:rPr>
          <w:rFonts w:ascii="Times New Roman" w:hAnsi="Times New Roman"/>
        </w:rPr>
        <w:t xml:space="preserve">immedjatament qabel, matul u immedjatament wara programm għat-tfal jew il-minorenni,</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(d)</w:t>
      </w:r>
      <w:r>
        <w:rPr>
          <w:rFonts w:ascii="Times New Roman" w:hAnsi="Times New Roman"/>
        </w:rPr>
        <w:tab/>
      </w:r>
      <w:r>
        <w:rPr>
          <w:rFonts w:ascii="Times New Roman" w:hAnsi="Times New Roman"/>
        </w:rPr>
        <w:t xml:space="preserve">immedjatament qabel, matul u immedjatament wara li kwalunkwe kontenut maħsub għat-tfal jew għall-minorenni jiġi ppubblikat permezz ta’ fornitur ta’ applikazzjoni jew fornitur ta’ servizzi ta’ pjattaforma ta’ video-sharing skont it-tifsira tal-Att dwar il-Kummerċ Elettroniku,</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(e)</w:t>
      </w:r>
      <w:r>
        <w:rPr>
          <w:rFonts w:ascii="Times New Roman" w:hAnsi="Times New Roman"/>
        </w:rPr>
        <w:tab/>
      </w:r>
      <w:r>
        <w:rPr>
          <w:rFonts w:ascii="Times New Roman" w:hAnsi="Times New Roman"/>
        </w:rPr>
        <w:t xml:space="preserve">fuq prodotti maħsuba b’mod ċar għal-logħob u fuq l-imballaġġ tagħhom, jew</w:t>
      </w:r>
    </w:p>
    <w:p w:rsidR="00F27993" w:rsidRDefault="00B24FEF">
      <w:pPr>
        <w:pStyle w:val="Szvegtrzs"/>
        <w:spacing w:after="240" w:line="240" w:lineRule="auto"/>
        <w:ind w:left="580" w:hanging="560"/>
        <w:jc w:val="both"/>
        <w:rPr>
          <w:rFonts w:ascii="Times New Roman" w:hAnsi="Times New Roman"/>
        </w:rPr>
      </w:pPr>
      <w:r>
        <w:rPr>
          <w:i/>
          <w:rFonts w:ascii="Times New Roman" w:hAnsi="Times New Roman"/>
        </w:rPr>
        <w:t xml:space="preserve">(f)</w:t>
      </w:r>
      <w:r>
        <w:rPr>
          <w:rFonts w:ascii="Times New Roman" w:hAnsi="Times New Roman"/>
        </w:rPr>
        <w:tab/>
      </w:r>
      <w:r>
        <w:rPr>
          <w:rFonts w:ascii="Times New Roman" w:hAnsi="Times New Roman"/>
        </w:rPr>
        <w:t xml:space="preserve">fi stabbiliment pubbliku tal-edukazzjoni jew tas-saħħa, jew f’post tar-reklamar fil-beraħ, f’tieqa ta’ ħanut jew fi kwalunkwe superfiċje li tkun viżibbli b’mod ieħor minn post pubbliku, li tkun f’distanza ta’ 200 metru (minn triq pubblika jew minn post pubbliku) minn daħla ta’ dak l-istabbiliment.”</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13</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Il-paragrafu (2) li ġej għandu jiżdied mal-Artikolu 45 tal-Att XLVIII tal-2008 dwar ir-rekwiżiti bażiċi għal u ċerti restrizzjonijiet fuq attivitajiet ta’ reklamar kummerċjali:</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L-abbozzi tal-Artikolu 4/A, l-Artikolu 8(5), l-Artikolu 18(2)(d) u (e) ta’ dan l-Att ġew innotifikati minn qabel skont l-Artikoli 5–7 tad-Direttiva (UE) 2015/1535 tal-Parlament Ewropew u tal-Kunsill tad-9 ta’ Settembru 2015 li tistabbilixxi proċedura għall-għoti ta’ informazzjoni fil-qasam tar-regolamenti tekniċi u tar-regoli dwar is-servizzi tas-Soċjetà tal-Informatika.”</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14</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Fl-Artikolu 23(2)(a) tal-Att XLVIII tal-2008 dwar ir-rekwiżiti bażiċi għal u ċerti restrizzjonijiet fuq attivitajiet ta’ reklamar kummerċjali, il-kliem “Att CVIII tal-2001 dwar ċerti aspetti tas-servizzi tas-soċjetà tal-informazzjoni (minn hawn ’il quddiem:</w:t>
      </w:r>
      <w:r>
        <w:rPr>
          <w:rFonts w:ascii="Times New Roman" w:hAnsi="Times New Roman"/>
        </w:rPr>
        <w:t xml:space="preserve"> </w:t>
      </w:r>
      <w:r>
        <w:rPr>
          <w:rFonts w:ascii="Times New Roman" w:hAnsi="Times New Roman"/>
        </w:rPr>
        <w:t xml:space="preserve">l-Att dwar il-Kummerċ Elettroniku)” huwa sostitwit bil-kliem “Att dwar il-Kummerċ Elettroniku”.</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Dispożizzjonijiet finali</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15</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Dan l-Att jidħol fis-seħħ fl-1 ta’ Jannar 2025.</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Artikolu 16</w:t>
      </w:r>
      <w:r>
        <w:rPr>
          <w:b/>
          <w:rFonts w:ascii="Times New Roman" w:hAnsi="Times New Roman"/>
        </w:rPr>
        <w:t xml:space="preserve"> </w:t>
      </w:r>
    </w:p>
    <w:p w:rsidR="00F27993" w:rsidRDefault="00B24FEF" w:rsidP="00172FF1">
      <w:pPr>
        <w:pStyle w:val="Szvegtrzs"/>
        <w:spacing w:after="0" w:line="240" w:lineRule="auto"/>
        <w:jc w:val="both"/>
        <w:rPr>
          <w:rFonts w:ascii="Times New Roman" w:hAnsi="Times New Roman"/>
        </w:rPr>
      </w:pPr>
      <w:r>
        <w:rPr>
          <w:rFonts w:ascii="Times New Roman" w:hAnsi="Times New Roman"/>
        </w:rPr>
        <w:t xml:space="preserve">Ir-rekwiżit għan-notifika minn qabel ta’ dan l-abbozz ta’ Att, kif stipulat fl-Artikoli 5–7 tad-Direttiva (UE) 2015/1535 tal-Parlament Ewropew u tal-Kunsill tad-9 ta’ Settembru 2015 li tistabbilixxi proċedura għall-għoti ta’ informazzjoni fil-qasam tar-regolamenti tekniċi u tar-regoli dwar is-servizzi tas-Soċjetà tal-Informatika, ġie sodisfatt.</w:t>
      </w:r>
      <w:r>
        <w:rPr>
          <w:rFonts w:ascii="Times New Roman" w:hAnsi="Times New Roman"/>
        </w:rPr>
        <w:t xml:space="preserve"> </w:t>
      </w:r>
    </w:p>
    <w:sectPr w:rsidR="00F27993">
      <w:footerReference w:type="default" r:id="rId7"/>
      <w:pgSz w:w="11906" w:h="16838"/>
      <w:pgMar w:top="1212" w:right="1134" w:bottom="1698" w:left="1134" w:header="42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C06" w:rsidRDefault="00A74C06">
      <w:r>
        <w:separator/>
      </w:r>
    </w:p>
  </w:endnote>
  <w:endnote w:type="continuationSeparator" w:id="0">
    <w:p w:rsidR="00A74C06" w:rsidRDefault="00A7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93" w:rsidRDefault="00B24FEF">
    <w:pPr>
      <w:pStyle w:val="llb"/>
      <w:jc w:val="center"/>
    </w:pPr>
    <w:r>
      <w:fldChar w:fldCharType="begin"/>
    </w:r>
    <w:r>
      <w:instrText>PAGE</w:instrText>
    </w:r>
    <w:r>
      <w:fldChar w:fldCharType="separate"/>
    </w:r>
    <w:r w:rsidR="00FB3C0F">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C06" w:rsidRDefault="00A74C06">
      <w:r>
        <w:separator/>
      </w:r>
    </w:p>
  </w:footnote>
  <w:footnote w:type="continuationSeparator" w:id="0">
    <w:p w:rsidR="00A74C06" w:rsidRDefault="00A7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56164"/>
    <w:multiLevelType w:val="multilevel"/>
    <w:tmpl w:val="19902422"/>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pStyle w:val="Cmsor5"/>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93"/>
    <w:rsid w:val="000C1A7D"/>
    <w:rsid w:val="00132DF5"/>
    <w:rsid w:val="00146EC1"/>
    <w:rsid w:val="001553AC"/>
    <w:rsid w:val="00172FF1"/>
    <w:rsid w:val="00283D57"/>
    <w:rsid w:val="003A1216"/>
    <w:rsid w:val="003A6E57"/>
    <w:rsid w:val="00427469"/>
    <w:rsid w:val="00461A47"/>
    <w:rsid w:val="0054081D"/>
    <w:rsid w:val="00625BDD"/>
    <w:rsid w:val="0064144A"/>
    <w:rsid w:val="00644753"/>
    <w:rsid w:val="00685FC7"/>
    <w:rsid w:val="006F288E"/>
    <w:rsid w:val="008D41E8"/>
    <w:rsid w:val="008F37E3"/>
    <w:rsid w:val="009A06C2"/>
    <w:rsid w:val="009B2A35"/>
    <w:rsid w:val="00A74C06"/>
    <w:rsid w:val="00A90E2C"/>
    <w:rsid w:val="00AD206A"/>
    <w:rsid w:val="00AF480D"/>
    <w:rsid w:val="00B24FEF"/>
    <w:rsid w:val="00B34223"/>
    <w:rsid w:val="00B81AFB"/>
    <w:rsid w:val="00C02533"/>
    <w:rsid w:val="00D30018"/>
    <w:rsid w:val="00D91A9D"/>
    <w:rsid w:val="00DB1D41"/>
    <w:rsid w:val="00EC08F0"/>
    <w:rsid w:val="00F017E9"/>
    <w:rsid w:val="00F105A9"/>
    <w:rsid w:val="00F27993"/>
    <w:rsid w:val="00FB1F5A"/>
    <w:rsid w:val="00FB3C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C599E-6685-44D7-9468-1495F040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2"/>
        <w:sz w:val="24"/>
        <w:szCs w:val="24"/>
        <w:lang w:val="mt-M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p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qFormat/>
    <w:rPr>
      <w:sz w:val="16"/>
      <w:szCs w:val="16"/>
    </w:rPr>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Stlus2">
    <w:name w:val="Stílus2"/>
    <w:basedOn w:val="Norml"/>
    <w:qFormat/>
    <w:pPr>
      <w:spacing w:after="240" w:line="360" w:lineRule="auto"/>
      <w:jc w:val="center"/>
    </w:pPr>
    <w:rPr>
      <w:rFonts w:ascii="Georgia" w:hAnsi="Georgia" w:cs="Georgia"/>
      <w:b/>
    </w:rPr>
  </w:style>
  <w:style w:type="paragraph" w:customStyle="1" w:styleId="Keret">
    <w:name w:val="Keret"/>
    <w:basedOn w:val="Norml"/>
    <w:qFormat/>
    <w:pPr>
      <w:pBdr>
        <w:top w:val="single" w:sz="6" w:space="1" w:color="00000A"/>
        <w:left w:val="single" w:sz="6" w:space="1" w:color="00000A"/>
        <w:bottom w:val="single" w:sz="6" w:space="1" w:color="00000A"/>
        <w:right w:val="single" w:sz="6" w:space="1" w:color="00000A"/>
      </w:pBdr>
      <w:tabs>
        <w:tab w:val="left" w:pos="0"/>
      </w:tabs>
    </w:pPr>
    <w:rPr>
      <w:color w:val="000000"/>
      <w:sz w:val="20"/>
    </w:rPr>
  </w:style>
  <w:style w:type="paragraph" w:customStyle="1" w:styleId="TableContents">
    <w:name w:val="Table Contents"/>
    <w:basedOn w:val="Norml"/>
    <w:qFormat/>
    <w:pPr>
      <w:suppressLineNumbers/>
    </w:pPr>
  </w:style>
  <w:style w:type="paragraph" w:customStyle="1" w:styleId="Quotations">
    <w:name w:val="Quotations"/>
    <w:basedOn w:val="Norml"/>
    <w:qFormat/>
    <w:pPr>
      <w:spacing w:after="283"/>
      <w:ind w:left="567" w:right="567"/>
    </w:pPr>
  </w:style>
  <w:style w:type="paragraph" w:styleId="Cm">
    <w:name w:val="Title"/>
    <w:basedOn w:val="Heading"/>
    <w:next w:val="Szvegtrzs"/>
    <w:qFormat/>
    <w:pPr>
      <w:jc w:val="center"/>
    </w:pPr>
    <w:rPr>
      <w:b/>
      <w:bCs/>
      <w:sz w:val="56"/>
      <w:szCs w:val="56"/>
    </w:rPr>
  </w:style>
  <w:style w:type="paragraph" w:styleId="Alcm">
    <w:name w:val="Subtitle"/>
    <w:basedOn w:val="Heading"/>
    <w:next w:val="Szvegtrzs"/>
    <w:qFormat/>
    <w:pPr>
      <w:spacing w:before="60"/>
      <w:jc w:val="center"/>
    </w:pPr>
    <w:rPr>
      <w:sz w:val="36"/>
      <w:szCs w:val="36"/>
    </w:rPr>
  </w:style>
  <w:style w:type="paragraph" w:customStyle="1" w:styleId="HeaderandFooter">
    <w:name w:val="Header and Footer"/>
    <w:basedOn w:val="Norml"/>
    <w:qFormat/>
    <w:pPr>
      <w:suppressLineNumbers/>
      <w:tabs>
        <w:tab w:val="center" w:pos="4819"/>
        <w:tab w:val="right" w:pos="9638"/>
      </w:tabs>
    </w:pPr>
  </w:style>
  <w:style w:type="paragraph" w:styleId="llb">
    <w:name w:val="footer"/>
    <w:basedOn w:val="Norml"/>
    <w:pPr>
      <w:suppressLineNumbers/>
      <w:tabs>
        <w:tab w:val="center" w:pos="4819"/>
        <w:tab w:val="right" w:pos="9638"/>
      </w:tabs>
    </w:pPr>
  </w:style>
  <w:style w:type="paragraph" w:styleId="lfej">
    <w:name w:val="header"/>
    <w:basedOn w:val="Norml"/>
    <w:pPr>
      <w:suppressLineNumbers/>
      <w:tabs>
        <w:tab w:val="center" w:pos="4819"/>
        <w:tab w:val="right" w:pos="9638"/>
      </w:tabs>
    </w:pPr>
  </w:style>
  <w:style w:type="paragraph" w:customStyle="1" w:styleId="HeaderLeft">
    <w:name w:val="Header Left"/>
    <w:basedOn w:val="Norml"/>
    <w:qFormat/>
    <w:pPr>
      <w:suppressLineNumbers/>
      <w:tabs>
        <w:tab w:val="center" w:pos="4819"/>
        <w:tab w:val="right" w:pos="9638"/>
      </w:tab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F105A9"/>
    <w:rPr>
      <w:rFonts w:ascii="Segoe UI" w:hAnsi="Segoe UI" w:cs="Mangal"/>
      <w:sz w:val="18"/>
      <w:szCs w:val="16"/>
    </w:rPr>
  </w:style>
  <w:style w:type="character" w:customStyle="1" w:styleId="BuborkszvegChar">
    <w:name w:val="Buborékszöveg Char"/>
    <w:basedOn w:val="Bekezdsalapbettpusa"/>
    <w:link w:val="Buborkszveg"/>
    <w:uiPriority w:val="99"/>
    <w:semiHidden/>
    <w:rsid w:val="00F105A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92866">
      <w:bodyDiv w:val="1"/>
      <w:marLeft w:val="0"/>
      <w:marRight w:val="0"/>
      <w:marTop w:val="0"/>
      <w:marBottom w:val="0"/>
      <w:divBdr>
        <w:top w:val="none" w:sz="0" w:space="0" w:color="auto"/>
        <w:left w:val="none" w:sz="0" w:space="0" w:color="auto"/>
        <w:bottom w:val="none" w:sz="0" w:space="0" w:color="auto"/>
        <w:right w:val="none" w:sz="0" w:space="0" w:color="auto"/>
      </w:divBdr>
    </w:div>
    <w:div w:id="478225996">
      <w:bodyDiv w:val="1"/>
      <w:marLeft w:val="0"/>
      <w:marRight w:val="0"/>
      <w:marTop w:val="0"/>
      <w:marBottom w:val="0"/>
      <w:divBdr>
        <w:top w:val="none" w:sz="0" w:space="0" w:color="auto"/>
        <w:left w:val="none" w:sz="0" w:space="0" w:color="auto"/>
        <w:bottom w:val="none" w:sz="0" w:space="0" w:color="auto"/>
        <w:right w:val="none" w:sz="0" w:space="0" w:color="auto"/>
      </w:divBdr>
    </w:div>
    <w:div w:id="553395021">
      <w:bodyDiv w:val="1"/>
      <w:marLeft w:val="0"/>
      <w:marRight w:val="0"/>
      <w:marTop w:val="0"/>
      <w:marBottom w:val="0"/>
      <w:divBdr>
        <w:top w:val="none" w:sz="0" w:space="0" w:color="auto"/>
        <w:left w:val="none" w:sz="0" w:space="0" w:color="auto"/>
        <w:bottom w:val="none" w:sz="0" w:space="0" w:color="auto"/>
        <w:right w:val="none" w:sz="0" w:space="0" w:color="auto"/>
      </w:divBdr>
    </w:div>
    <w:div w:id="583421635">
      <w:bodyDiv w:val="1"/>
      <w:marLeft w:val="0"/>
      <w:marRight w:val="0"/>
      <w:marTop w:val="0"/>
      <w:marBottom w:val="0"/>
      <w:divBdr>
        <w:top w:val="none" w:sz="0" w:space="0" w:color="auto"/>
        <w:left w:val="none" w:sz="0" w:space="0" w:color="auto"/>
        <w:bottom w:val="none" w:sz="0" w:space="0" w:color="auto"/>
        <w:right w:val="none" w:sz="0" w:space="0" w:color="auto"/>
      </w:divBdr>
    </w:div>
    <w:div w:id="671420741">
      <w:bodyDiv w:val="1"/>
      <w:marLeft w:val="0"/>
      <w:marRight w:val="0"/>
      <w:marTop w:val="0"/>
      <w:marBottom w:val="0"/>
      <w:divBdr>
        <w:top w:val="none" w:sz="0" w:space="0" w:color="auto"/>
        <w:left w:val="none" w:sz="0" w:space="0" w:color="auto"/>
        <w:bottom w:val="none" w:sz="0" w:space="0" w:color="auto"/>
        <w:right w:val="none" w:sz="0" w:space="0" w:color="auto"/>
      </w:divBdr>
    </w:div>
    <w:div w:id="1107892076">
      <w:bodyDiv w:val="1"/>
      <w:marLeft w:val="0"/>
      <w:marRight w:val="0"/>
      <w:marTop w:val="0"/>
      <w:marBottom w:val="0"/>
      <w:divBdr>
        <w:top w:val="none" w:sz="0" w:space="0" w:color="auto"/>
        <w:left w:val="none" w:sz="0" w:space="0" w:color="auto"/>
        <w:bottom w:val="none" w:sz="0" w:space="0" w:color="auto"/>
        <w:right w:val="none" w:sz="0" w:space="0" w:color="auto"/>
      </w:divBdr>
    </w:div>
    <w:div w:id="1114058014">
      <w:bodyDiv w:val="1"/>
      <w:marLeft w:val="0"/>
      <w:marRight w:val="0"/>
      <w:marTop w:val="0"/>
      <w:marBottom w:val="0"/>
      <w:divBdr>
        <w:top w:val="none" w:sz="0" w:space="0" w:color="auto"/>
        <w:left w:val="none" w:sz="0" w:space="0" w:color="auto"/>
        <w:bottom w:val="none" w:sz="0" w:space="0" w:color="auto"/>
        <w:right w:val="none" w:sz="0" w:space="0" w:color="auto"/>
      </w:divBdr>
    </w:div>
    <w:div w:id="114250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11606</Characters>
  <Application>Microsoft Office Word</Application>
  <DocSecurity>4</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Orbán Szabolcs Dr.</dc:creator>
  <dc:description/>
  <cp:lastModifiedBy>Juhász Krisztina dr.</cp:lastModifiedBy>
  <cp:revision>2</cp:revision>
  <dcterms:created xsi:type="dcterms:W3CDTF">2024-06-27T11:42:00Z</dcterms:created>
  <dcterms:modified xsi:type="dcterms:W3CDTF">2024-06-27T11:42:00Z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