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4919" w14:textId="77777777" w:rsidR="00BB5F5A" w:rsidRDefault="00522792">
      <w:pPr>
        <w:spacing w:after="324" w:line="259" w:lineRule="auto"/>
        <w:ind w:left="0" w:right="1" w:firstLine="0"/>
        <w:jc w:val="center"/>
      </w:pPr>
      <w:r>
        <w:rPr>
          <w:rFonts w:ascii="Calibri" w:hAnsi="Calibri"/>
          <w:color w:val="0093D1"/>
          <w:sz w:val="43"/>
        </w:rPr>
        <w:t xml:space="preserve">Dekretai, nutarimai, aplinkraščiai </w:t>
      </w:r>
    </w:p>
    <w:p w14:paraId="4AC62185" w14:textId="77777777" w:rsidR="00BB5F5A" w:rsidRDefault="00522792">
      <w:pPr>
        <w:spacing w:after="420" w:line="259" w:lineRule="auto"/>
        <w:ind w:left="0" w:right="1" w:firstLine="0"/>
        <w:jc w:val="center"/>
      </w:pPr>
      <w:r>
        <w:rPr>
          <w:rFonts w:ascii="Calibri" w:hAnsi="Calibri"/>
          <w:color w:val="393C96"/>
          <w:sz w:val="28"/>
        </w:rPr>
        <w:t xml:space="preserve">BENDRIEJI DOKUMENTAI </w:t>
      </w:r>
    </w:p>
    <w:p w14:paraId="2E00BDAA" w14:textId="77777777" w:rsidR="00BB5F5A" w:rsidRDefault="00522792">
      <w:pPr>
        <w:pStyle w:val="Heading1"/>
        <w:spacing w:after="273"/>
        <w:ind w:right="0"/>
        <w:jc w:val="center"/>
      </w:pPr>
      <w:r>
        <w:rPr>
          <w:rFonts w:ascii="Calibri" w:hAnsi="Calibri"/>
          <w:b/>
          <w:color w:val="393C96"/>
          <w:sz w:val="20"/>
        </w:rPr>
        <w:t xml:space="preserve">EKONOMIKOS, FINANSŲ IR PRAMONĖS MINISTERIJA </w:t>
      </w:r>
    </w:p>
    <w:p w14:paraId="6D78EE22" w14:textId="77777777" w:rsidR="00BB5F5A" w:rsidRDefault="00522792">
      <w:pPr>
        <w:spacing w:after="130" w:line="216" w:lineRule="auto"/>
        <w:ind w:right="1" w:hanging="215"/>
      </w:pPr>
      <w:r>
        <w:rPr>
          <w:rFonts w:ascii="Calibri" w:hAnsi="Calibri"/>
          <w:b/>
          <w:color w:val="5C5D61"/>
        </w:rPr>
        <w:t xml:space="preserve">2024 m. lapkričio 6 d. Įsakymas Nr. 2024-978, kuriuo iš dalies keičiamas 2023 m. birželio 9 d. Įstatymas Nr. 2023-451, kuriuo siekiama reguliuoti komercinę įtaką ir kovoti su nuomonės formuotojų piktnaudžiavimu socialiniuose tinkluose </w:t>
      </w:r>
    </w:p>
    <w:p w14:paraId="53548437" w14:textId="77777777" w:rsidR="00BB5F5A" w:rsidRDefault="00522792">
      <w:pPr>
        <w:spacing w:after="317" w:line="259" w:lineRule="auto"/>
        <w:ind w:left="0" w:right="1" w:firstLine="0"/>
        <w:jc w:val="center"/>
      </w:pPr>
      <w:r>
        <w:rPr>
          <w:rFonts w:ascii="Calibri" w:hAnsi="Calibri"/>
          <w:color w:val="2053A6"/>
          <w:sz w:val="16"/>
        </w:rPr>
        <w:t xml:space="preserve">NOR: </w:t>
      </w:r>
      <w:r>
        <w:rPr>
          <w:rFonts w:ascii="Calibri" w:hAnsi="Calibri"/>
          <w:i/>
          <w:sz w:val="16"/>
        </w:rPr>
        <w:t xml:space="preserve">ECOI2418969R </w:t>
      </w:r>
    </w:p>
    <w:p w14:paraId="6C61012D" w14:textId="77777777" w:rsidR="00BB5F5A" w:rsidRDefault="00522792">
      <w:pPr>
        <w:ind w:firstLine="0"/>
      </w:pPr>
      <w:r>
        <w:t>R</w:t>
      </w:r>
      <w:r>
        <w:t xml:space="preserve">ESPUBLIKOS PREZIDENTAS, </w:t>
      </w:r>
    </w:p>
    <w:p w14:paraId="60771B53" w14:textId="77777777" w:rsidR="00BB5F5A" w:rsidRDefault="00522792">
      <w:pPr>
        <w:spacing w:after="88"/>
        <w:ind w:firstLine="0"/>
      </w:pPr>
      <w:r>
        <w:t xml:space="preserve">dėl Ministro Pirmininko ir ekonomikos, finansų ir pramonės ministro pranešimo; </w:t>
      </w:r>
    </w:p>
    <w:p w14:paraId="54602248" w14:textId="77777777" w:rsidR="00BB5F5A" w:rsidRDefault="00522792">
      <w:pPr>
        <w:spacing w:after="30"/>
        <w:ind w:firstLine="0"/>
      </w:pPr>
      <w:r>
        <w:t xml:space="preserve">atsižvelgdamas į Konstituciją, ypač į jos 38 straipsnį; </w:t>
      </w:r>
    </w:p>
    <w:p w14:paraId="071009EA" w14:textId="77777777" w:rsidR="00BB5F5A" w:rsidRDefault="00522792">
      <w:pPr>
        <w:spacing w:after="24"/>
        <w:ind w:left="-15"/>
      </w:pPr>
      <w:r>
        <w:t xml:space="preserve">atsižvelgdamas į 2000 m. birželio 8 d. Europos Parlamento ir Tarybos direktyvą 2000/31/EB dėl </w:t>
      </w:r>
      <w:r>
        <w:t xml:space="preserve">tam tikrų informacinės visuomenės paslaugų, visų pirma elektroninės komercijos, teisinių aspektų vidaus rinkoje (toliau – Elektroninės komercijos direktyva); </w:t>
      </w:r>
    </w:p>
    <w:p w14:paraId="0D58FCC0" w14:textId="77777777" w:rsidR="00BB5F5A" w:rsidRDefault="00522792">
      <w:pPr>
        <w:spacing w:after="24"/>
        <w:ind w:left="-15"/>
      </w:pPr>
      <w:r>
        <w:t>atsižvelgdamas į 2005 m. gegužės 11 d. Europos Parlamento ir Tarybos direktyvą 2005/29/EB dėl nes</w:t>
      </w:r>
      <w:r>
        <w:t>ąžiningos įmonių komercinės veiklos vartotojų atžvilgiu vidaus rinkoje ir iš dalies keičiančią Tarybos direktyvą 84/450/EEB, Europos Parlamento ir Tarybos direktyvas 97/7/EB, 98/27/EB bei 2002/65/EB ir Europos Parlamento ir Tarybos reglamentą (EB) Nr. 2006</w:t>
      </w:r>
      <w:r>
        <w:t xml:space="preserve">/2004 („Nesąžiningos komercinės veiklos direktyva“). </w:t>
      </w:r>
    </w:p>
    <w:p w14:paraId="29E501B5" w14:textId="77777777" w:rsidR="00BB5F5A" w:rsidRDefault="00522792">
      <w:pPr>
        <w:spacing w:after="23"/>
        <w:ind w:left="-15"/>
      </w:pPr>
      <w:r>
        <w:t>atsižvelgdamas į 2010 m. kovo 10 d. Europos Parlamento ir Tarybos direktyvą 2010/13/ES dėl valstybių narių įstatymuose ir kituose teisės aktuose išdėstytų tam tikrų nuostatų, susijusių su audiovizualinė</w:t>
      </w:r>
      <w:r>
        <w:t xml:space="preserve">s žiniasklaidos paslaugų teikimu, derinimo (Audiovizualinės žiniasklaidos paslaugų direktyva); </w:t>
      </w:r>
    </w:p>
    <w:p w14:paraId="517F39D2" w14:textId="77777777" w:rsidR="00BB5F5A" w:rsidRDefault="00522792">
      <w:pPr>
        <w:ind w:left="-15"/>
      </w:pPr>
      <w:r>
        <w:t>atsižvelgdamas į 2015 m. rugsėjo 9 d. Europos Parlamento ir Tarybos direktyvą (ES) 2015/1535, kuria nustatoma informacijos apie techninius reglamentus ir inform</w:t>
      </w:r>
      <w:r>
        <w:t xml:space="preserve">acinės visuomenės paslaugų taisykles teikimo tvarka; </w:t>
      </w:r>
    </w:p>
    <w:p w14:paraId="18DA088E" w14:textId="77777777" w:rsidR="00BB5F5A" w:rsidRDefault="00522792">
      <w:pPr>
        <w:spacing w:after="30"/>
        <w:ind w:firstLine="0"/>
      </w:pPr>
      <w:r>
        <w:t xml:space="preserve">atsižvelgdamas į Administracinio teisingumo kodeksą, ypač į jo R. 123–20 straipsnį; </w:t>
      </w:r>
    </w:p>
    <w:p w14:paraId="7F86EC33" w14:textId="77777777" w:rsidR="00BB5F5A" w:rsidRDefault="00522792">
      <w:pPr>
        <w:spacing w:after="25"/>
        <w:ind w:left="-15"/>
      </w:pPr>
      <w:r>
        <w:t xml:space="preserve">atsižvelgdamas į 2023 m. birželio 9 d. Įstatymą Nr. 2023-451, kuriuo siekiama reguliuoti komercinę įtaką ir kovoti su nuomonės formuotojų piktnaudžiavimu socialiniuose tinkluose; </w:t>
      </w:r>
    </w:p>
    <w:p w14:paraId="76205EB4" w14:textId="77777777" w:rsidR="00BB5F5A" w:rsidRDefault="00522792">
      <w:pPr>
        <w:ind w:left="-15"/>
      </w:pPr>
      <w:r>
        <w:t>atsižvelgdamas į 2024 m. balandžio 22 d. Įstatymą Nr. 2024-364, kuriuo nusta</w:t>
      </w:r>
      <w:r>
        <w:t xml:space="preserve">tomos įvairios nuostatos, kuriomis prie Europos Sąjungos teisės pritaikomi ekonomikos, finansų, ekologinės pertvarkos, baudžiamosios teisės, socialinės teisės ir žemės ūkio klausimai, ypač į jo 3 straipsnį; </w:t>
      </w:r>
    </w:p>
    <w:p w14:paraId="52DE1B19" w14:textId="77777777" w:rsidR="00BB5F5A" w:rsidRDefault="00522792">
      <w:pPr>
        <w:ind w:firstLine="0"/>
      </w:pPr>
      <w:r>
        <w:t>atsižvelgdamas į 2024 m. liepos 3 d. Europos Kom</w:t>
      </w:r>
      <w:r>
        <w:t xml:space="preserve">isijai pateiktą pranešimą Nr. 2024/0379/FR; </w:t>
      </w:r>
    </w:p>
    <w:p w14:paraId="2DC263BA" w14:textId="77777777" w:rsidR="00BB5F5A" w:rsidRDefault="00522792">
      <w:pPr>
        <w:spacing w:after="214"/>
        <w:ind w:right="5040" w:firstLine="0"/>
      </w:pPr>
      <w:r>
        <w:t xml:space="preserve">išklausęs Valstybės Tarybos (Finansų skyriaus), išklausęs Ministrų Tarybą; </w:t>
      </w:r>
    </w:p>
    <w:p w14:paraId="1578A1A7" w14:textId="77777777" w:rsidR="00BB5F5A" w:rsidRDefault="00522792">
      <w:pPr>
        <w:spacing w:after="146"/>
        <w:ind w:left="1077" w:firstLine="0"/>
      </w:pPr>
      <w:r>
        <w:t xml:space="preserve">ĮSAKO: </w:t>
      </w:r>
    </w:p>
    <w:p w14:paraId="4FDE374B" w14:textId="77777777" w:rsidR="00BB5F5A" w:rsidRDefault="00522792">
      <w:pPr>
        <w:spacing w:after="105" w:line="259" w:lineRule="auto"/>
        <w:ind w:left="10" w:right="1" w:hanging="10"/>
        <w:jc w:val="center"/>
      </w:pPr>
      <w:r>
        <w:rPr>
          <w:rFonts w:ascii="Calibri" w:hAnsi="Calibri"/>
          <w:b/>
        </w:rPr>
        <w:t>1 straipsnis</w:t>
      </w:r>
      <w:r>
        <w:rPr>
          <w:rFonts w:ascii="Calibri" w:hAnsi="Calibri"/>
          <w:b/>
          <w:sz w:val="17"/>
          <w:vertAlign w:val="superscript"/>
        </w:rPr>
        <w:t xml:space="preserve"> </w:t>
      </w:r>
    </w:p>
    <w:p w14:paraId="1AFC17DB" w14:textId="77777777" w:rsidR="00BB5F5A" w:rsidRDefault="00522792">
      <w:pPr>
        <w:spacing w:after="119"/>
        <w:ind w:left="-15"/>
      </w:pPr>
      <w:r>
        <w:t>2023 m. birželio 9 d. Įstatymas Nr. 2023-451, kuriuo siekiama reguliuoti komercinę įtaką ir kovoti su nuomonės fo</w:t>
      </w:r>
      <w:r>
        <w:t xml:space="preserve">rmuotojų piktnaudžiavimu socialiniuose tinkluose, iš dalies keičiamas taip: </w:t>
      </w:r>
    </w:p>
    <w:p w14:paraId="542BFDB4" w14:textId="77777777" w:rsidR="00BB5F5A" w:rsidRDefault="00522792">
      <w:pPr>
        <w:numPr>
          <w:ilvl w:val="0"/>
          <w:numId w:val="1"/>
        </w:numPr>
        <w:spacing w:after="85"/>
        <w:ind w:hanging="305"/>
      </w:pPr>
      <w:r>
        <w:t xml:space="preserve">– 1 straipsnis pakeičiamas šiomis nuostatomis: </w:t>
      </w:r>
    </w:p>
    <w:p w14:paraId="36B0D7BB" w14:textId="77777777" w:rsidR="00BB5F5A" w:rsidRDefault="00522792">
      <w:pPr>
        <w:spacing w:after="135"/>
        <w:ind w:left="-15"/>
      </w:pPr>
      <w:r>
        <w:t xml:space="preserve">„ </w:t>
      </w:r>
      <w:r>
        <w:rPr>
          <w:i/>
        </w:rPr>
        <w:t xml:space="preserve">1 straipsnis. – </w:t>
      </w:r>
      <w:r>
        <w:t>Fiziniai ar juridiniai asmenys, kurie už atlygį, naudodamiesi reputacija savo auditorijoje, elektroninėmis priemo</w:t>
      </w:r>
      <w:r>
        <w:t xml:space="preserve">nėmis perduoda visuomenei turinį, skirtą tiesiogiai ar netiesiogiai reklamuoti prekėms, paslaugoms ar kitiems dalykams, vykdo komercinės įtakos darymo elektroninėmis priemonėmis veiklą.“ </w:t>
      </w:r>
    </w:p>
    <w:p w14:paraId="3950E5A5" w14:textId="77777777" w:rsidR="00BB5F5A" w:rsidRDefault="00522792">
      <w:pPr>
        <w:numPr>
          <w:ilvl w:val="0"/>
          <w:numId w:val="1"/>
        </w:numPr>
        <w:spacing w:after="79"/>
        <w:ind w:hanging="305"/>
      </w:pPr>
      <w:r>
        <w:t xml:space="preserve">– 4 straipsnis pakeičiamas šiomis nuostatomis: </w:t>
      </w:r>
    </w:p>
    <w:p w14:paraId="6F86B412" w14:textId="77777777" w:rsidR="00BB5F5A" w:rsidRDefault="00522792">
      <w:pPr>
        <w:ind w:left="-15"/>
      </w:pPr>
      <w:r>
        <w:t xml:space="preserve">„ </w:t>
      </w:r>
      <w:r>
        <w:rPr>
          <w:i/>
        </w:rPr>
        <w:t xml:space="preserve">4 straipsnis. – </w:t>
      </w:r>
      <w:r>
        <w:t>I.</w:t>
      </w:r>
      <w:r>
        <w:t> –  Asmenims, vykdantiems komercinės įtakos darymo elektroninėmis priemonėmis veiklą, draudžiama tiesiogiai ar netiesioginiai reklamuoti estetinių tikslų turinčius veiksmus, procesus, technikas ir metodus, galinčius kelti pavojų Visuomenės sveikatos kodeks</w:t>
      </w:r>
      <w:r>
        <w:t xml:space="preserve">o L. 1151-2 straipsnyje nurodytų asmenų sveikatai, ir draudžiamos šio kodekso L. 6322-1 straipsnyje nurodytos intervencijos. </w:t>
      </w:r>
    </w:p>
    <w:p w14:paraId="1DB6FB2C" w14:textId="77777777" w:rsidR="00BB5F5A" w:rsidRDefault="00522792">
      <w:pPr>
        <w:ind w:left="-15"/>
      </w:pPr>
      <w:r>
        <w:lastRenderedPageBreak/>
        <w:t>II. –  Asmenims, vykdantiems komercinės įtakos darymo elektroninėmis priemonėmis veiklą, draudžiama tiesiogiai ar netiesiogiai rek</w:t>
      </w:r>
      <w:r>
        <w:t xml:space="preserve">lamuoti neterapinius produktus, veiksmus, procesus, technikas ir metodus, kurie pateikiami kaip panašūs arba pageidautini terapinių veiksmų, protokolų ar receptų pakaitalai. </w:t>
      </w:r>
    </w:p>
    <w:p w14:paraId="0FCE785E" w14:textId="77777777" w:rsidR="00BB5F5A" w:rsidRDefault="00522792">
      <w:pPr>
        <w:ind w:left="-15"/>
      </w:pPr>
      <w:r>
        <w:t>III. –  Asmenims, vykdantiems komercinės įtakos darymo elektroninėmis priemonėmis</w:t>
      </w:r>
      <w:r>
        <w:t xml:space="preserve"> veiklą, draudžiama tiesiogiai ar netiesiogiai reklamuoti nikotino produktus, kurie gali būti vartojami ir pagaminti iš nikotino, nors ir iš dalies. </w:t>
      </w:r>
    </w:p>
    <w:p w14:paraId="7EEC5628" w14:textId="77777777" w:rsidR="00BB5F5A" w:rsidRDefault="00522792">
      <w:pPr>
        <w:spacing w:after="130"/>
        <w:ind w:left="-15"/>
      </w:pPr>
      <w:r>
        <w:t>IV. –  Asmenims, vykdantiems komercinės įtakos darymo elektroninėmis priemonėmis veiklą, draudžiama bet ko</w:t>
      </w:r>
      <w:r>
        <w:t>kia tiesioginė ar netiesioginė reklama, susijusi su gyvūnais, neįtrauktais į Aplinkos apsaugos kodekso L. 413-1 A straipsnio I dalyje nurodytą sąrašą. Šis draudimas netaikomas ūkiams, kuriems leidžiama laikyti tuos gyvūnus pagal to kodekso L. 413-3 straips</w:t>
      </w:r>
      <w:r>
        <w:t xml:space="preserve">nį. </w:t>
      </w:r>
    </w:p>
    <w:p w14:paraId="4BB23C95" w14:textId="77777777" w:rsidR="00BB5F5A" w:rsidRDefault="00522792">
      <w:pPr>
        <w:spacing w:after="77"/>
        <w:ind w:left="-15"/>
      </w:pPr>
      <w:r>
        <w:t xml:space="preserve">V. –  Asmenims, vykdantiems komercinės įtakos darymo elektroninėmis priemonėmis veiklą, draudžiama tiesiogiai ar netiesiogiai reklamuoti šiuos finansinius produktus ir paslaugas: </w:t>
      </w:r>
    </w:p>
    <w:p w14:paraId="0FCB0A4E" w14:textId="77777777" w:rsidR="00BB5F5A" w:rsidRDefault="00522792">
      <w:pPr>
        <w:ind w:firstLine="0"/>
      </w:pPr>
      <w:r>
        <w:t>„1.</w:t>
      </w:r>
      <w:r>
        <w:rPr>
          <w:sz w:val="17"/>
          <w:vertAlign w:val="superscript"/>
        </w:rPr>
        <w:t xml:space="preserve">o </w:t>
      </w:r>
      <w:r>
        <w:t xml:space="preserve">finansines sutartis, apibrėžtas Pinigų ir finansų kodekso L. 533-12-7 straipsnyje; </w:t>
      </w:r>
    </w:p>
    <w:p w14:paraId="7B571492" w14:textId="77777777" w:rsidR="00BB5F5A" w:rsidRDefault="00522792">
      <w:pPr>
        <w:spacing w:after="34"/>
        <w:ind w:left="-15"/>
      </w:pPr>
      <w:r>
        <w:t>„2.</w:t>
      </w:r>
      <w:r>
        <w:rPr>
          <w:sz w:val="17"/>
          <w:vertAlign w:val="superscript"/>
        </w:rPr>
        <w:t xml:space="preserve">o </w:t>
      </w:r>
      <w:r>
        <w:t>skaitmeninio turto paslaugų, kaip jos suprantamos pagal šio kodekso L. 54-10-2 straipsnį, teikimą, išskyrus paslaugas, dėl kurių reklamuotojas įregistruotas pagal šio kodekso L. 54-10-3 straipsnyje nustatytas sąlygas arba gavęs leidimą pagal šio kodekso L.</w:t>
      </w:r>
      <w:r>
        <w:t xml:space="preserve"> 54-10-5 straipsnyje nustatytas sąlygas; </w:t>
      </w:r>
    </w:p>
    <w:p w14:paraId="56BD14C2" w14:textId="77777777" w:rsidR="00BB5F5A" w:rsidRDefault="00522792">
      <w:pPr>
        <w:spacing w:after="31"/>
        <w:ind w:left="-15"/>
      </w:pPr>
      <w:r>
        <w:t>„3.</w:t>
      </w:r>
      <w:r>
        <w:rPr>
          <w:sz w:val="17"/>
          <w:vertAlign w:val="superscript"/>
        </w:rPr>
        <w:t xml:space="preserve">o </w:t>
      </w:r>
      <w:r>
        <w:t xml:space="preserve">viešą žetonų siūlymą, kaip tai suprantama pagal to paties kodekso L. 552-3 straipsnį, išskyrus atvejus, kai reklamuotojas gavo šio kodekso L. 552-4 straipsnyje numatytą vizą; </w:t>
      </w:r>
    </w:p>
    <w:p w14:paraId="2ED229B9" w14:textId="77777777" w:rsidR="00BB5F5A" w:rsidRDefault="00522792">
      <w:pPr>
        <w:ind w:left="-15"/>
      </w:pPr>
      <w:r>
        <w:t>„4.</w:t>
      </w:r>
      <w:r>
        <w:rPr>
          <w:sz w:val="17"/>
          <w:vertAlign w:val="superscript"/>
        </w:rPr>
        <w:t xml:space="preserve">o </w:t>
      </w:r>
      <w:r>
        <w:t xml:space="preserve">skaitmeninį turtą, išskyrus </w:t>
      </w:r>
      <w:r>
        <w:t>skaitmeninį turtą, susijusį su paslaugomis, kurių teikimui reklamuotojas yra įregistruotas pagal šio kodekso L. 54-10-3 straipsnyje nustatytas sąlygas arba patvirtintas pagal šio kodekso L. 5410-5 straipsnyje nustatytas sąlygas, t. y. kai reklamuotojas nep</w:t>
      </w:r>
      <w:r>
        <w:t xml:space="preserve">atenka į to paties kodekso L. 54-10-3 ir L. 54-10-5 straipsnių taikymo sritį. </w:t>
      </w:r>
    </w:p>
    <w:p w14:paraId="4F97707A" w14:textId="77777777" w:rsidR="00BB5F5A" w:rsidRDefault="00522792">
      <w:pPr>
        <w:ind w:left="-15"/>
      </w:pPr>
      <w:r>
        <w:t>„ Už šios V dalies nuostatų pažeidimą taikomos Vartotojų kodekso L. 222-16-1 straipsnio penktoje pastraipoje ir L. 222-16-2 straipsnio priešpaskutinėje pastraipoje numatytos san</w:t>
      </w:r>
      <w:r>
        <w:t xml:space="preserve">kcijos. </w:t>
      </w:r>
    </w:p>
    <w:p w14:paraId="7FC2E317" w14:textId="77777777" w:rsidR="00BB5F5A" w:rsidRDefault="00522792">
      <w:pPr>
        <w:ind w:left="-15"/>
      </w:pPr>
      <w:r>
        <w:t xml:space="preserve">„ Asmenims, vykdantiems komercinės įtakos darymo elektroninėmis priemonėmis veiklą, draudžiama tiesiogiai ar netiesiogiai reklamuoti sporto patarimų ar lažybų prenumeratą. </w:t>
      </w:r>
    </w:p>
    <w:p w14:paraId="728EE356" w14:textId="77777777" w:rsidR="00BB5F5A" w:rsidRDefault="00522792">
      <w:pPr>
        <w:ind w:left="-15"/>
      </w:pPr>
      <w:r>
        <w:t>VII. – Šio įstatymo 1 straipsnyje nurodytų asmenų elektroninėmis priemonėm</w:t>
      </w:r>
      <w:r>
        <w:t xml:space="preserve">is siunčiami komerciniai pranešimai, susiję su azartiniais lošimais, kaip apibrėžta Vidaus saugumo kodekso L. 320-1 ir L. 320-6 straipsniuose, leidžiami tik interneto platformose, kuriose suteikiama techninė galimybė pašalinti iš tokio turinio auditorijos </w:t>
      </w:r>
      <w:r>
        <w:t xml:space="preserve">visus jaunesnius nei aštuoniolikos metų naudotojus, ir jei šie asmenys iš tikrųjų aktyvina tokį pašalinimo mechanizmą. </w:t>
      </w:r>
    </w:p>
    <w:p w14:paraId="6EB44F5A" w14:textId="77777777" w:rsidR="00BB5F5A" w:rsidRDefault="00522792">
      <w:pPr>
        <w:ind w:left="-15"/>
      </w:pPr>
      <w:r>
        <w:t>Kartu su tokiais komerciniais pranešimais pateikiama nuoroda į tokio turinio draudimą jaunesniems nei 18 metų asmenims.  Šis teiginys tu</w:t>
      </w:r>
      <w:r>
        <w:t xml:space="preserve">ri būti aiškus, įskaitomas ir suprantamas bet kurioje naudojamoje laikmenoje. </w:t>
      </w:r>
    </w:p>
    <w:p w14:paraId="16552C4E" w14:textId="77777777" w:rsidR="00BB5F5A" w:rsidRDefault="00522792">
      <w:pPr>
        <w:ind w:left="-15"/>
      </w:pPr>
      <w:r>
        <w:t>Šiame VII straipsnyje numatyti pašalinimo mechanizmai turi atitikti Audiovizualinių ir skaitmeninių ryšių reguliavimo institucijos, pasikonsultavusios su Nacionaline lošimų inst</w:t>
      </w:r>
      <w:r>
        <w:t xml:space="preserve">itucija ir Nacionaline informatikos ir laisvių komisija, nustatytą orientacinę sistemą.  </w:t>
      </w:r>
    </w:p>
    <w:p w14:paraId="5C916282" w14:textId="77777777" w:rsidR="00BB5F5A" w:rsidRDefault="00522792">
      <w:pPr>
        <w:ind w:left="-15"/>
      </w:pPr>
      <w:r>
        <w:t>Į reklamos sutartis su azartinių lošimų organizatoriais įtraukiama sąlyga, kuria šio įstatymo 1 straipsnyje nurodyti asmenys patvirtina, kad yra susipažinę su komerci</w:t>
      </w:r>
      <w:r>
        <w:t xml:space="preserve">niams pranešimams, susijusiems su azartiniais lošimais, taikomais įstatymais ir kitais teisės aktais ir įsipareigoja jų laikytis.  </w:t>
      </w:r>
    </w:p>
    <w:p w14:paraId="507CFB94" w14:textId="77777777" w:rsidR="00BB5F5A" w:rsidRDefault="00522792">
      <w:pPr>
        <w:spacing w:after="122"/>
        <w:ind w:left="-15"/>
      </w:pPr>
      <w:r>
        <w:t xml:space="preserve">Už šios VII dalies nuostatų pažeidimą skiriama Vidaus saugumo kodekso L. 324-8-1 straipsnyje numatyta bauda.  </w:t>
      </w:r>
    </w:p>
    <w:p w14:paraId="65CC3B40" w14:textId="77777777" w:rsidR="00BB5F5A" w:rsidRDefault="00522792">
      <w:pPr>
        <w:spacing w:after="93"/>
        <w:ind w:firstLine="0"/>
      </w:pPr>
      <w:r>
        <w:t xml:space="preserve">„ VIII. – Po </w:t>
      </w:r>
      <w:r>
        <w:t>Darbo kodekso L. 6323-8-1 straipsnio 2</w:t>
      </w:r>
      <w:r>
        <w:rPr>
          <w:sz w:val="17"/>
          <w:vertAlign w:val="superscript"/>
        </w:rPr>
        <w:t xml:space="preserve">o </w:t>
      </w:r>
      <w:r>
        <w:t xml:space="preserve">punkto įterpiama ši pastraipa: </w:t>
      </w:r>
    </w:p>
    <w:p w14:paraId="6709E1F6" w14:textId="77777777" w:rsidR="00BB5F5A" w:rsidRDefault="00522792">
      <w:pPr>
        <w:ind w:left="-15"/>
      </w:pPr>
      <w:r>
        <w:t xml:space="preserve">„Taip pat draudžiamas bet koks produkto pardavimas ar reklaminis pasiūlymas arba bet koks mokėjimas už tame pačiame L. 6323-6 straipsnyje nurodytų programų prenumeratą. </w:t>
      </w:r>
    </w:p>
    <w:p w14:paraId="012E80CC" w14:textId="77777777" w:rsidR="00BB5F5A" w:rsidRDefault="00522792">
      <w:pPr>
        <w:ind w:left="-15"/>
      </w:pPr>
      <w:r>
        <w:t>„ IX. – Už šio</w:t>
      </w:r>
      <w:r>
        <w:t xml:space="preserve"> straipsnio I–IV ir VI nuostatų pažeidimą skiriama Vartotojų kodekso L. 132-2 straipsnyje numatyta sankcija. </w:t>
      </w:r>
    </w:p>
    <w:p w14:paraId="700FD132" w14:textId="77777777" w:rsidR="00BB5F5A" w:rsidRDefault="00522792">
      <w:pPr>
        <w:spacing w:after="143"/>
        <w:ind w:left="-15"/>
      </w:pPr>
      <w:r>
        <w:t>„ Už šias nusikalstamas veikas ir VII dalyje numatytą nusikalstamą veiką kaltininkui taip pat gali būti galutinai arba laikinai uždrausta Baudžiam</w:t>
      </w:r>
      <w:r>
        <w:t xml:space="preserve">ojo kodekso 131-27 straipsnyje nustatyta tvarka vykdyti profesinę ar socialinę veiklą, kuria verčiantis buvo padaryta nusikalstama veika, arba šio įstatymo 1 straipsnyje apibrėžtą komercinės įtakos darymo elektroninėmis priemonėmis veiklą. </w:t>
      </w:r>
    </w:p>
    <w:p w14:paraId="29D9691F" w14:textId="77777777" w:rsidR="00BB5F5A" w:rsidRDefault="00522792">
      <w:pPr>
        <w:spacing w:after="81"/>
        <w:ind w:firstLine="0"/>
      </w:pPr>
      <w:r>
        <w:t>„ X. – Po Varto</w:t>
      </w:r>
      <w:r>
        <w:t>tojų kodekso L. 511-7 straipsnio 31</w:t>
      </w:r>
      <w:r>
        <w:rPr>
          <w:sz w:val="17"/>
          <w:vertAlign w:val="superscript"/>
        </w:rPr>
        <w:t xml:space="preserve">o </w:t>
      </w:r>
      <w:r>
        <w:t>punkto įterpiamas 32</w:t>
      </w:r>
      <w:r>
        <w:rPr>
          <w:sz w:val="17"/>
          <w:vertAlign w:val="superscript"/>
        </w:rPr>
        <w:t xml:space="preserve">o </w:t>
      </w:r>
      <w:r>
        <w:t xml:space="preserve">punktas: </w:t>
      </w:r>
    </w:p>
    <w:p w14:paraId="14A29651" w14:textId="77777777" w:rsidR="00BB5F5A" w:rsidRDefault="00522792">
      <w:pPr>
        <w:spacing w:after="0" w:line="302" w:lineRule="auto"/>
        <w:ind w:left="-15" w:right="-15"/>
        <w:jc w:val="left"/>
      </w:pPr>
      <w:r>
        <w:t>„32</w:t>
      </w:r>
      <w:r>
        <w:rPr>
          <w:sz w:val="17"/>
          <w:vertAlign w:val="superscript"/>
        </w:rPr>
        <w:t xml:space="preserve">o </w:t>
      </w:r>
      <w:r>
        <w:t>2023 m. birželio 9 d. Įstatymo Nr. 2023-451, kuriuo siekiama reguliuoti komercinę įtaką ir kovoti su nuomonės formuotojų piktnaudžiavimu socialiniuose tinkluose, 4 straipsnio V dalis</w:t>
      </w:r>
      <w:r>
        <w:t xml:space="preserve">.“ III. – 5 straipsnis pakeičiamas šiomis nuostatomis: </w:t>
      </w:r>
    </w:p>
    <w:p w14:paraId="3C6D62EA" w14:textId="77777777" w:rsidR="00BB5F5A" w:rsidRDefault="00522792">
      <w:pPr>
        <w:ind w:left="-15"/>
      </w:pPr>
      <w:r>
        <w:lastRenderedPageBreak/>
        <w:t xml:space="preserve">„ </w:t>
      </w:r>
      <w:r>
        <w:rPr>
          <w:i/>
        </w:rPr>
        <w:t xml:space="preserve">5 straipsnis. – </w:t>
      </w:r>
      <w:r>
        <w:t xml:space="preserve">I. – Šio įstatymo 1 straipsnyje nurodytų asmenų perduotas turinys, kurį sudaro vaizdai, kurie buvo: </w:t>
      </w:r>
    </w:p>
    <w:p w14:paraId="4B787B68" w14:textId="77777777" w:rsidR="00BB5F5A" w:rsidRDefault="00522792">
      <w:pPr>
        <w:spacing w:after="31"/>
        <w:ind w:left="-15"/>
      </w:pPr>
      <w:r>
        <w:t>„1</w:t>
      </w:r>
      <w:r>
        <w:rPr>
          <w:sz w:val="17"/>
          <w:vertAlign w:val="superscript"/>
        </w:rPr>
        <w:t xml:space="preserve">o </w:t>
      </w:r>
      <w:r>
        <w:t>Pakeisti atliekant bet kokį vaizdo apdorojimo procesą, siekiant patobulinti a</w:t>
      </w:r>
      <w:r>
        <w:t xml:space="preserve">r sutankinti siluetą arba pakeisti veido išvaizdą, kartu pateikiami žodžiai: „Redaguoti vaizdai“. </w:t>
      </w:r>
    </w:p>
    <w:p w14:paraId="68231ACC" w14:textId="77777777" w:rsidR="00BB5F5A" w:rsidRDefault="00522792">
      <w:pPr>
        <w:ind w:left="-15"/>
      </w:pPr>
      <w:r>
        <w:t>„2</w:t>
      </w:r>
      <w:r>
        <w:rPr>
          <w:sz w:val="17"/>
          <w:vertAlign w:val="superscript"/>
        </w:rPr>
        <w:t xml:space="preserve">o </w:t>
      </w:r>
      <w:r>
        <w:t xml:space="preserve">Prie bet kokio dirbtinio intelekto proceso, skirto veidui ar siluetui atvaizduoti, pridedami terminai: „Virtualūs vaizdai“. </w:t>
      </w:r>
    </w:p>
    <w:p w14:paraId="25C7F208" w14:textId="77777777" w:rsidR="00BB5F5A" w:rsidRDefault="00522792">
      <w:pPr>
        <w:ind w:left="-15"/>
      </w:pPr>
      <w:r>
        <w:t xml:space="preserve">„ </w:t>
      </w:r>
      <w:r>
        <w:t xml:space="preserve">Šioje I dalyje pateikiami terminai turi būti aiškūs, įskaitomi ir suprantami bet kurioje naudojamoje laikmenoje. Juos galima pakeisti lygiaverčiu terminu, pritaikytu prie įtakos darymo veiklos ypatybių ir naudojamos komunikacijos priemonės formato. </w:t>
      </w:r>
    </w:p>
    <w:p w14:paraId="029CE24B" w14:textId="77777777" w:rsidR="00BB5F5A" w:rsidRDefault="00522792">
      <w:pPr>
        <w:ind w:left="-15"/>
      </w:pPr>
      <w:r>
        <w:t>„ II. </w:t>
      </w:r>
      <w:r>
        <w:t>– Jeigu reklamą vykdo šio įstatymo 1 straipsnyje nurodyti asmenys ir ji susijusi su registracija į Darbo kodekso L. 6313-1 straipsnyje nurodytą profesinio mokymo veiklą, kurią finansuoja viena iš šio kodekso L. 6316-1 straipsnyje nurodytų įstaigų, šio stra</w:t>
      </w:r>
      <w:r>
        <w:t>ipsnio 5-2 straipsnyje nurodytoje nuorodoje pateikiama informacija, susijusi su atitinkamu finansavimu, įsipareigojimais ir tinkamumo taisyklėmis, už šias mokymo programas atsakingo (-ų) teikėjo (-ų) ir teikėjo, nurodyto to paties kodekso L. 6323-9 straips</w:t>
      </w:r>
      <w:r>
        <w:t xml:space="preserve">nyje nurodytoje elektroninėje paslaugoje, identifikaciniai duomenys. </w:t>
      </w:r>
    </w:p>
    <w:p w14:paraId="57A2125D" w14:textId="77777777" w:rsidR="00BB5F5A" w:rsidRDefault="00522792">
      <w:pPr>
        <w:ind w:left="-15"/>
      </w:pPr>
      <w:r>
        <w:t xml:space="preserve">„ III. – Už šio straipsnio I ir II dalių nuostatų pažeidimą baudžiama vienų metų laisvės atėmimo bausme ir 4 500 EUR bauda. </w:t>
      </w:r>
    </w:p>
    <w:p w14:paraId="7FA75FB0" w14:textId="77777777" w:rsidR="00BB5F5A" w:rsidRDefault="00522792">
      <w:pPr>
        <w:spacing w:after="143"/>
        <w:ind w:firstLine="0"/>
      </w:pPr>
      <w:r>
        <w:t>„ IV. – Šio straipsnio I ir II dalių taikymo taisyklės nustat</w:t>
      </w:r>
      <w:r>
        <w:t xml:space="preserve">omos dekretu, priimtu išklausius Valstybės Tarybą.“; </w:t>
      </w:r>
    </w:p>
    <w:p w14:paraId="530ED4FA" w14:textId="77777777" w:rsidR="00BB5F5A" w:rsidRDefault="00522792">
      <w:pPr>
        <w:spacing w:after="92"/>
        <w:ind w:firstLine="0"/>
      </w:pPr>
      <w:r>
        <w:t xml:space="preserve">IV. – Po 5 straipsnio įterpiami du straipsniai 5-1 ir 5-2: </w:t>
      </w:r>
    </w:p>
    <w:p w14:paraId="7B0D6657" w14:textId="77777777" w:rsidR="00BB5F5A" w:rsidRDefault="00522792">
      <w:pPr>
        <w:ind w:left="-15"/>
      </w:pPr>
      <w:r>
        <w:t xml:space="preserve">„ </w:t>
      </w:r>
      <w:r>
        <w:rPr>
          <w:i/>
        </w:rPr>
        <w:t xml:space="preserve">5-1 straipsnis. – </w:t>
      </w:r>
      <w:r>
        <w:t>I. – 4 straipsnio I–III punktų nuostatos netaikomos žiniasklaidos paslaugų teikėjams, kaip apibrėžta 2010 m. kovo 10 d. Eu</w:t>
      </w:r>
      <w:r>
        <w:t>ropos Parlamento ir Tarybos direktyvoje 2010/13/ES, kurie priklauso kitos Europos ekonominės erdvės valstybės narės kompetencijai, kaip apibrėžta tos direktyvos 2 straipsnio 2 dalyje. Kita vertus, jos taikomos tokiems tiekėjams, kai jie priklauso Prancūzij</w:t>
      </w:r>
      <w:r>
        <w:t xml:space="preserve">os kompetencijai. </w:t>
      </w:r>
    </w:p>
    <w:p w14:paraId="4C1C0A8C" w14:textId="77777777" w:rsidR="00BB5F5A" w:rsidRDefault="00522792">
      <w:pPr>
        <w:ind w:left="-15"/>
      </w:pPr>
      <w:r>
        <w:t>„ Tačiau, jei įvykdomos tos direktyvos 3 straipsnio 2–3 dalyse arba 4 straipsnio 2–5 dalyse nurodytos sąlygos, pasibaigus tose nuostatose nustatytai procedūrai, administracinė institucija atitinkamam asmeniui nurodo jam taikomas nuostata</w:t>
      </w:r>
      <w:r>
        <w:t xml:space="preserve">s, už kurias taikomos atitinkamos sankcijos, ir atitinkamą tarnybą. </w:t>
      </w:r>
    </w:p>
    <w:p w14:paraId="6ACD68E9" w14:textId="77777777" w:rsidR="00BB5F5A" w:rsidRDefault="00522792">
      <w:pPr>
        <w:ind w:left="-15"/>
      </w:pPr>
      <w:r>
        <w:t>„ II. – Pagal I dalį, dėl 4 straipsnio I–III dalių taikymo žiniasklaidos paslaugų teikėjams, 4 ir 5 straipsnių nuostatos netaikomos asmenims, įsisteigusiems kitoje Europos ekonominės erdv</w:t>
      </w:r>
      <w:r>
        <w:t xml:space="preserve">ės valstybėje. </w:t>
      </w:r>
    </w:p>
    <w:p w14:paraId="653E9A7E" w14:textId="77777777" w:rsidR="00BB5F5A" w:rsidRDefault="00522792">
      <w:pPr>
        <w:ind w:left="-15"/>
      </w:pPr>
      <w:r>
        <w:t>„ Tačiau, jei tenkinamos 2000 m. birželio 8 d. Europos Parlamento ir Tarybos direktyvos 2000/31/EB 3 straipsnio 4–5 dalyse nurodytos sąlygos ir pasibaigus šiose nuostatose nustatytai procedūrai, administracinė institucija atitinkamam asmeni</w:t>
      </w:r>
      <w:r>
        <w:t xml:space="preserve">ui nurodo jam taikytinas nuostatas su atitinkamomis nuobaudomis ir atitinkamą tarnybą. </w:t>
      </w:r>
    </w:p>
    <w:p w14:paraId="2DB9CAB0" w14:textId="77777777" w:rsidR="00BB5F5A" w:rsidRDefault="00522792">
      <w:pPr>
        <w:spacing w:after="92"/>
        <w:ind w:firstLine="0"/>
      </w:pPr>
      <w:r>
        <w:t xml:space="preserve">„ III. – Šio straipsnio įgyvendinimo tvarka nustatoma Valstybės Tarybos dekretu. </w:t>
      </w:r>
    </w:p>
    <w:p w14:paraId="4BA17F87" w14:textId="77777777" w:rsidR="00BB5F5A" w:rsidRDefault="00522792">
      <w:pPr>
        <w:ind w:left="-15"/>
      </w:pPr>
      <w:r>
        <w:t xml:space="preserve">“ </w:t>
      </w:r>
      <w:r>
        <w:rPr>
          <w:i/>
        </w:rPr>
        <w:t xml:space="preserve">5-2 straipsnis. – </w:t>
      </w:r>
      <w:r>
        <w:t>Klaidinančia komercine veikla pagal Vartotojų kodekso L. 121-3 str</w:t>
      </w:r>
      <w:r>
        <w:t>aipsnį ir šiame straipsnyje nustatytomis sąlygomis laikoma, kai fizinis ar juridinis asmuo, vykdantis įtakos darymo veiklą, kaip apibrėžta šio įstatymo 1 straipsnyje, aiškiai, įskaitomai ir suprantamai bet kokioje naudojamoje laikmenoje nenurodo savo komer</w:t>
      </w:r>
      <w:r>
        <w:t xml:space="preserve">cinių ketinimų, jei šie ketinimai dar nėra akivaizdūs iš konteksto. </w:t>
      </w:r>
    </w:p>
    <w:p w14:paraId="0DA643B9" w14:textId="77777777" w:rsidR="00BB5F5A" w:rsidRDefault="00522792">
      <w:pPr>
        <w:spacing w:after="149"/>
        <w:ind w:left="-15"/>
      </w:pPr>
      <w:r>
        <w:t>“ Komercinis ketinimas gali būti aiškiai nurodytas vartojant terminus „reklama“ arba „komercinis bendradarbiavimas“ arba lygiavertį terminą, pritaikytą prie įtakos darymo veiklos ypatybių</w:t>
      </w:r>
      <w:r>
        <w:t xml:space="preserve"> ir naudojamos laikmenos formato.“ </w:t>
      </w:r>
    </w:p>
    <w:p w14:paraId="3E80D657" w14:textId="77777777" w:rsidR="00BB5F5A" w:rsidRDefault="00522792">
      <w:pPr>
        <w:spacing w:after="86"/>
        <w:ind w:firstLine="0"/>
      </w:pPr>
      <w:r>
        <w:t xml:space="preserve">V. – 9 straipsnis pakeičiamas šiomis nuostatomis: </w:t>
      </w:r>
    </w:p>
    <w:p w14:paraId="6FABA20B" w14:textId="77777777" w:rsidR="00BB5F5A" w:rsidRDefault="00522792">
      <w:pPr>
        <w:ind w:left="-15"/>
      </w:pPr>
      <w:r>
        <w:t xml:space="preserve">„ </w:t>
      </w:r>
      <w:r>
        <w:rPr>
          <w:i/>
        </w:rPr>
        <w:t xml:space="preserve">9 straipsnis. – </w:t>
      </w:r>
      <w:r>
        <w:t>I. – Jeigu jie vykdo 1 straipsnyje apibrėžtą veiklą ir nėra įsisteigę Europos Sąjungos valstybės narės, Šveicarijos Konfederacijos ar Europos ekonominė</w:t>
      </w:r>
      <w:r>
        <w:t>s erdvės teritorijoje, o jų tikslinė auditorija yra Prancūzijoje, juridiniai ar fiziniai asmenys, vykdantys nepriklausomą veiklą pagal Prekybos kodekso L. 526-6–L. 526-21 straipsniuose arba to kodekso L. 526-22–L. 526-26 straipsniuose apibrėžtą statusą, ra</w:t>
      </w:r>
      <w:r>
        <w:t xml:space="preserve">štu paskiria juridinį ar fizinį asmenį, užtikrinantį jų atstovavimą Europos Sąjungos teritorijoje. </w:t>
      </w:r>
    </w:p>
    <w:p w14:paraId="2674630E" w14:textId="77777777" w:rsidR="00BB5F5A" w:rsidRDefault="00522792">
      <w:pPr>
        <w:ind w:left="-15"/>
      </w:pPr>
      <w:r>
        <w:t>„ Atstovavimu siekiama užtikrinti sutarčių, kurių tikslas arba poveikis yra komercinės įtakos darymo elektroninėmis priemonėmis veiklos vykdymas, visų pirma</w:t>
      </w:r>
      <w:r>
        <w:t xml:space="preserve"> skirtas Prancūzijos teritorijoje įsisteigusiai auditorijai, atitikties užtikrinimą. Paskirtasis atstovas taip pat atsako ne tik už šios I dalies pirmoje pastraipoje nurodytų asmenų veiklą, bet ir už atsakymus į visus kompetentingų administracinių ar teism</w:t>
      </w:r>
      <w:r>
        <w:t xml:space="preserve">inių institucijų prašymus, susijusius su šio įstatymo laikymusi. </w:t>
      </w:r>
    </w:p>
    <w:p w14:paraId="5A08C8A8" w14:textId="77777777" w:rsidR="00BB5F5A" w:rsidRDefault="00522792">
      <w:pPr>
        <w:ind w:left="-15"/>
      </w:pPr>
      <w:r>
        <w:t>„ Pirmoje pastraipoje nurodyti asmenys suteikia paskirtajam asmeniui būtinus įgaliojimus ir pakankamus išteklius, kad būtų užtikrintas veiksmingas bendradarbiavimas su kompetentingomis insti</w:t>
      </w:r>
      <w:r>
        <w:t xml:space="preserve">tucijomis vykdant šį įstatymą. </w:t>
      </w:r>
    </w:p>
    <w:p w14:paraId="1E06B431" w14:textId="77777777" w:rsidR="00BB5F5A" w:rsidRDefault="00522792">
      <w:pPr>
        <w:ind w:left="-15"/>
      </w:pPr>
      <w:r>
        <w:lastRenderedPageBreak/>
        <w:t xml:space="preserve">„ </w:t>
      </w:r>
      <w:r>
        <w:t xml:space="preserve">Pirmoje pastraipoje nurodyti asmenys, gavę prašymą, praneša kompetentingoms administracinėms institucijoms pagal tą pirmą pastraipą paskirto asmens vardą ir pavardę, pašto adresą, el. pašto adresą ir telefono numerį. </w:t>
      </w:r>
    </w:p>
    <w:p w14:paraId="023B8981" w14:textId="77777777" w:rsidR="00BB5F5A" w:rsidRDefault="00522792">
      <w:pPr>
        <w:ind w:firstLine="0"/>
      </w:pPr>
      <w:r>
        <w:t xml:space="preserve">Šis paskyrimas nelaikomas įsisteigimu </w:t>
      </w:r>
      <w:r>
        <w:t xml:space="preserve">Europos Sąjungoje.  </w:t>
      </w:r>
    </w:p>
    <w:p w14:paraId="4116DB33" w14:textId="77777777" w:rsidR="00BB5F5A" w:rsidRDefault="00522792">
      <w:pPr>
        <w:ind w:left="-15"/>
      </w:pPr>
      <w:r>
        <w:t>„ II. – 1 straipsnyje apibrėžtą veiklą vykdantis asmuo, įsisteigęs už Europos Sąjungos, Šveicarijos Konfederacijos ar Europos ekonominės erdvės ribų, privalo sudaryti civilinės atsakomybės draudimo sutartį su Europos Sąjungoje įsisteig</w:t>
      </w:r>
      <w:r>
        <w:t>usiu draudiku, garantuojančiu jo profesinės civilinės atsakomybės finansines pasekmes, jei ši veikla, net ir atsitiktinai, skirta Prancūzijos teritorijoje įsisteigusiai auditorijai. III. – Šio straipsnio įgyvendinimo tvarka nustatoma dekretu, priimtu pasik</w:t>
      </w:r>
      <w:r>
        <w:t xml:space="preserve">onsultavus su Valstybės Taryba.“ </w:t>
      </w:r>
    </w:p>
    <w:p w14:paraId="24E41C5B" w14:textId="77777777" w:rsidR="00BB5F5A" w:rsidRDefault="00522792">
      <w:pPr>
        <w:spacing w:after="45" w:line="259" w:lineRule="auto"/>
        <w:ind w:left="10" w:right="1" w:hanging="10"/>
        <w:jc w:val="center"/>
      </w:pPr>
      <w:r>
        <w:rPr>
          <w:rFonts w:ascii="Calibri" w:hAnsi="Calibri"/>
          <w:b/>
        </w:rPr>
        <w:t xml:space="preserve">2 straipsnis </w:t>
      </w:r>
    </w:p>
    <w:p w14:paraId="5E209DF5" w14:textId="77777777" w:rsidR="00BB5F5A" w:rsidRDefault="00522792">
      <w:pPr>
        <w:spacing w:after="76" w:line="216" w:lineRule="auto"/>
        <w:ind w:left="-15" w:right="-15"/>
        <w:jc w:val="left"/>
      </w:pPr>
      <w:r>
        <w:t xml:space="preserve">Ministras Pirmininkas ir ekonomikos, finansų ir pramonės ministras pagal savo kompetenciją yra atsakingi už šio įsakymo taikymą, kuris bus paskelbtas Prancūzijos Respublikos </w:t>
      </w:r>
      <w:r>
        <w:rPr>
          <w:i/>
        </w:rPr>
        <w:t>Oficialiajame leidinyje</w:t>
      </w:r>
      <w:r>
        <w:t xml:space="preserve">. </w:t>
      </w:r>
    </w:p>
    <w:p w14:paraId="2458A41C" w14:textId="77777777" w:rsidR="00BB5F5A" w:rsidRDefault="00522792">
      <w:pPr>
        <w:ind w:firstLine="0"/>
      </w:pPr>
      <w:r>
        <w:t xml:space="preserve">Parengta 2024 m. lapkričio 6 d. </w:t>
      </w:r>
    </w:p>
    <w:p w14:paraId="779C936B" w14:textId="77777777" w:rsidR="00BB5F5A" w:rsidRDefault="00522792">
      <w:pPr>
        <w:spacing w:after="70" w:line="259" w:lineRule="auto"/>
        <w:ind w:left="10" w:right="416" w:hanging="10"/>
        <w:jc w:val="right"/>
      </w:pPr>
      <w:r>
        <w:t>E</w:t>
      </w:r>
      <w:r>
        <w:rPr>
          <w:sz w:val="15"/>
        </w:rPr>
        <w:t xml:space="preserve">MMANUEL </w:t>
      </w:r>
      <w:r>
        <w:t>M</w:t>
      </w:r>
      <w:r>
        <w:rPr>
          <w:sz w:val="15"/>
        </w:rPr>
        <w:t xml:space="preserve">ACRON </w:t>
      </w:r>
    </w:p>
    <w:p w14:paraId="4CD07A7D" w14:textId="77777777" w:rsidR="00BB5F5A" w:rsidRDefault="00522792">
      <w:pPr>
        <w:spacing w:after="73" w:line="259" w:lineRule="auto"/>
        <w:ind w:left="544" w:firstLine="0"/>
        <w:jc w:val="left"/>
      </w:pPr>
      <w:r>
        <w:rPr>
          <w:sz w:val="18"/>
        </w:rPr>
        <w:t>Respub</w:t>
      </w:r>
      <w:r>
        <w:rPr>
          <w:sz w:val="18"/>
        </w:rPr>
        <w:t xml:space="preserve">likos Prezidentas: </w:t>
      </w:r>
    </w:p>
    <w:p w14:paraId="74F7E8BF" w14:textId="77777777" w:rsidR="00BB5F5A" w:rsidRDefault="00522792">
      <w:pPr>
        <w:spacing w:after="8" w:line="259" w:lineRule="auto"/>
        <w:ind w:left="0" w:firstLine="0"/>
        <w:jc w:val="left"/>
      </w:pPr>
      <w:r>
        <w:rPr>
          <w:i/>
        </w:rPr>
        <w:t xml:space="preserve">Ministrė Pirmininkė, </w:t>
      </w:r>
    </w:p>
    <w:p w14:paraId="65A8D155" w14:textId="77777777" w:rsidR="00BB5F5A" w:rsidRDefault="00522792">
      <w:pPr>
        <w:pStyle w:val="Heading1"/>
        <w:spacing w:after="47"/>
        <w:ind w:left="206" w:right="0"/>
      </w:pPr>
      <w:r>
        <w:rPr>
          <w:sz w:val="22"/>
        </w:rPr>
        <w:t>M</w:t>
      </w:r>
      <w:r>
        <w:t xml:space="preserve">ICHEL </w:t>
      </w:r>
      <w:r>
        <w:rPr>
          <w:sz w:val="22"/>
        </w:rPr>
        <w:t>B</w:t>
      </w:r>
      <w:r>
        <w:t xml:space="preserve">ARNIER </w:t>
      </w:r>
    </w:p>
    <w:p w14:paraId="1873A417" w14:textId="2CF6FE33" w:rsidR="00BB5F5A" w:rsidRDefault="00522792">
      <w:pPr>
        <w:spacing w:after="54" w:line="216" w:lineRule="auto"/>
        <w:ind w:left="7307" w:firstLine="0"/>
        <w:jc w:val="center"/>
      </w:pPr>
      <w:r>
        <w:rPr>
          <w:i/>
        </w:rPr>
        <w:t xml:space="preserve">Ekonomikos, finansų ir pramonės ministras, </w:t>
      </w:r>
    </w:p>
    <w:p w14:paraId="276AC3A6" w14:textId="23F96FBD" w:rsidR="00BB5F5A" w:rsidRDefault="00522792">
      <w:pPr>
        <w:spacing w:after="70" w:line="259" w:lineRule="auto"/>
        <w:ind w:left="10" w:right="544" w:hanging="10"/>
        <w:jc w:val="right"/>
      </w:pPr>
      <w:r>
        <w:t>A</w:t>
      </w:r>
      <w:r>
        <w:rPr>
          <w:sz w:val="15"/>
        </w:rPr>
        <w:t xml:space="preserve">NTOINE </w:t>
      </w:r>
      <w:r>
        <w:t>A</w:t>
      </w:r>
      <w:r>
        <w:rPr>
          <w:sz w:val="15"/>
        </w:rPr>
        <w:t>RMAND</w:t>
      </w:r>
    </w:p>
    <w:sectPr w:rsidR="00BB5F5A">
      <w:headerReference w:type="even" r:id="rId7"/>
      <w:headerReference w:type="default" r:id="rId8"/>
      <w:headerReference w:type="first" r:id="rId9"/>
      <w:pgSz w:w="11906" w:h="16838"/>
      <w:pgMar w:top="1420" w:right="992" w:bottom="782" w:left="992" w:header="74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BB5F6" w14:textId="77777777" w:rsidR="00522792" w:rsidRDefault="00522792">
      <w:pPr>
        <w:spacing w:after="0" w:line="240" w:lineRule="auto"/>
      </w:pPr>
      <w:r>
        <w:separator/>
      </w:r>
    </w:p>
  </w:endnote>
  <w:endnote w:type="continuationSeparator" w:id="0">
    <w:p w14:paraId="2062BE6B" w14:textId="77777777" w:rsidR="00522792" w:rsidRDefault="0052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FCE1" w14:textId="77777777" w:rsidR="00522792" w:rsidRDefault="00522792">
      <w:pPr>
        <w:spacing w:after="0" w:line="240" w:lineRule="auto"/>
      </w:pPr>
      <w:r>
        <w:separator/>
      </w:r>
    </w:p>
  </w:footnote>
  <w:footnote w:type="continuationSeparator" w:id="0">
    <w:p w14:paraId="5B856E84" w14:textId="77777777" w:rsidR="00522792" w:rsidRDefault="00522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7C3" w14:textId="77777777" w:rsidR="00BB5F5A" w:rsidRDefault="00522792">
    <w:pPr>
      <w:tabs>
        <w:tab w:val="center" w:pos="4818"/>
        <w:tab w:val="right" w:pos="9922"/>
      </w:tabs>
      <w:spacing w:after="0" w:line="259" w:lineRule="auto"/>
      <w:ind w:left="0" w:firstLine="0"/>
      <w:jc w:val="left"/>
    </w:pPr>
    <w:r>
      <w:rPr>
        <w:rFonts w:ascii="Calibri" w:hAnsi="Calibri"/>
        <w:sz w:val="16"/>
      </w:rPr>
      <w:t xml:space="preserve">07 2024 m. lapkričio mėn. </w:t>
    </w:r>
    <w:r>
      <w:rPr>
        <w:rFonts w:ascii="Calibri" w:hAnsi="Calibri"/>
        <w:color w:val="0060B0"/>
        <w:sz w:val="18"/>
      </w:rPr>
      <w:t xml:space="preserve">PRANCŪZIJOS RESPUBLIKOS OFICIALUSIS LEIDINYS </w:t>
    </w:r>
    <w:r>
      <w:rPr>
        <w:rFonts w:ascii="Calibri" w:hAnsi="Calibri"/>
        <w:sz w:val="16"/>
      </w:rPr>
      <w:t xml:space="preserve">Tekstas 18 iš 120 </w:t>
    </w:r>
  </w:p>
  <w:p w14:paraId="7D2344F0" w14:textId="77777777" w:rsidR="00BB5F5A" w:rsidRDefault="00522792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2303E79" wp14:editId="7FD982B1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62164" cy="10694162"/>
              <wp:effectExtent l="0" t="0" r="0" b="0"/>
              <wp:wrapNone/>
              <wp:docPr id="6394" name="Group 63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4" cy="10694162"/>
                        <a:chOff x="0" y="0"/>
                        <a:chExt cx="7562164" cy="10694162"/>
                      </a:xfrm>
                    </wpg:grpSpPr>
                    <pic:pic xmlns:pic="http://schemas.openxmlformats.org/drawingml/2006/picture">
                      <pic:nvPicPr>
                        <pic:cNvPr id="6395" name="Picture 63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164" cy="106941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6394" style="width:595.446pt;height:842.06pt;position:absolute;z-index:-2147483648;mso-position-horizontal-relative:page;mso-position-horizontal:absolute;margin-left:0pt;mso-position-vertical-relative:page;margin-top:0.00012207pt;" coordsize="75621,106941">
              <v:shape id="Picture 6395" style="position:absolute;width:75621;height:106941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EF25" w14:textId="77777777" w:rsidR="00BB5F5A" w:rsidRDefault="00522792">
    <w:pPr>
      <w:tabs>
        <w:tab w:val="center" w:pos="4818"/>
        <w:tab w:val="right" w:pos="9922"/>
      </w:tabs>
      <w:spacing w:after="0" w:line="259" w:lineRule="auto"/>
      <w:ind w:left="0" w:firstLine="0"/>
      <w:jc w:val="left"/>
    </w:pPr>
    <w:r>
      <w:rPr>
        <w:rFonts w:ascii="Calibri" w:hAnsi="Calibri"/>
        <w:sz w:val="16"/>
      </w:rPr>
      <w:t xml:space="preserve">07 </w:t>
    </w:r>
    <w:r>
      <w:rPr>
        <w:rFonts w:ascii="Calibri" w:hAnsi="Calibri"/>
        <w:sz w:val="16"/>
      </w:rPr>
      <w:t xml:space="preserve">2024 m. lapkričio mėn. </w:t>
    </w:r>
    <w:r>
      <w:rPr>
        <w:rFonts w:ascii="Calibri" w:hAnsi="Calibri"/>
        <w:color w:val="0060B0"/>
        <w:sz w:val="18"/>
      </w:rPr>
      <w:t xml:space="preserve">PRANCŪZIJOS RESPUBLIKOS OFICIALUSIS LEIDINYS </w:t>
    </w:r>
    <w:r>
      <w:rPr>
        <w:rFonts w:ascii="Calibri" w:hAnsi="Calibri"/>
        <w:sz w:val="16"/>
      </w:rPr>
      <w:t xml:space="preserve">Tekstas 18 iš 120 </w:t>
    </w:r>
  </w:p>
  <w:p w14:paraId="03F43403" w14:textId="77777777" w:rsidR="00BB5F5A" w:rsidRDefault="00522792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677BF3A" wp14:editId="4AF008E2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62164" cy="10694162"/>
              <wp:effectExtent l="0" t="0" r="0" b="0"/>
              <wp:wrapNone/>
              <wp:docPr id="6375" name="Group 63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4" cy="10694162"/>
                        <a:chOff x="0" y="0"/>
                        <a:chExt cx="7562164" cy="10694162"/>
                      </a:xfrm>
                    </wpg:grpSpPr>
                    <pic:pic xmlns:pic="http://schemas.openxmlformats.org/drawingml/2006/picture">
                      <pic:nvPicPr>
                        <pic:cNvPr id="6376" name="Picture 63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164" cy="106941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6375" style="width:595.446pt;height:842.06pt;position:absolute;z-index:-2147483648;mso-position-horizontal-relative:page;mso-position-horizontal:absolute;margin-left:0pt;mso-position-vertical-relative:page;margin-top:0.00012207pt;" coordsize="75621,106941">
              <v:shape id="Picture 6376" style="position:absolute;width:75621;height:106941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51A4" w14:textId="77777777" w:rsidR="00BB5F5A" w:rsidRDefault="00522792">
    <w:pPr>
      <w:tabs>
        <w:tab w:val="center" w:pos="4818"/>
        <w:tab w:val="right" w:pos="9922"/>
      </w:tabs>
      <w:spacing w:after="0" w:line="259" w:lineRule="auto"/>
      <w:ind w:left="0" w:firstLine="0"/>
      <w:jc w:val="left"/>
    </w:pPr>
    <w:r>
      <w:rPr>
        <w:rFonts w:ascii="Calibri" w:hAnsi="Calibri"/>
        <w:sz w:val="16"/>
      </w:rPr>
      <w:t xml:space="preserve">07 2024 m. lapkričio mėn. </w:t>
    </w:r>
    <w:r>
      <w:rPr>
        <w:rFonts w:ascii="Calibri" w:hAnsi="Calibri"/>
        <w:color w:val="0060B0"/>
        <w:sz w:val="18"/>
      </w:rPr>
      <w:t xml:space="preserve">PRANCŪZIJOS RESPUBLIKOS OFICIALUSIS LEIDINYS </w:t>
    </w:r>
    <w:r>
      <w:rPr>
        <w:rFonts w:ascii="Calibri" w:hAnsi="Calibri"/>
        <w:sz w:val="16"/>
      </w:rPr>
      <w:t xml:space="preserve">Tekstas 18 iš 120 </w:t>
    </w:r>
  </w:p>
  <w:p w14:paraId="3D44B973" w14:textId="77777777" w:rsidR="00BB5F5A" w:rsidRDefault="00522792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591A6C2" wp14:editId="6FB74674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62164" cy="10694162"/>
              <wp:effectExtent l="0" t="0" r="0" b="0"/>
              <wp:wrapNone/>
              <wp:docPr id="6356" name="Group 63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4" cy="10694162"/>
                        <a:chOff x="0" y="0"/>
                        <a:chExt cx="7562164" cy="10694162"/>
                      </a:xfrm>
                    </wpg:grpSpPr>
                    <pic:pic xmlns:pic="http://schemas.openxmlformats.org/drawingml/2006/picture">
                      <pic:nvPicPr>
                        <pic:cNvPr id="6357" name="Picture 63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164" cy="106941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6356" style="width:595.446pt;height:842.06pt;position:absolute;z-index:-2147483648;mso-position-horizontal-relative:page;mso-position-horizontal:absolute;margin-left:0pt;mso-position-vertical-relative:page;margin-top:0.00012207pt;" coordsize="75621,106941">
              <v:shape id="Picture 6357" style="position:absolute;width:75621;height:106941;left:0;top:0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60A7B"/>
    <w:multiLevelType w:val="hybridMultilevel"/>
    <w:tmpl w:val="81E49FE6"/>
    <w:lvl w:ilvl="0" w:tplc="AA867C62">
      <w:start w:val="1"/>
      <w:numFmt w:val="upperRoman"/>
      <w:lvlText w:val="%1.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04FD0">
      <w:start w:val="1"/>
      <w:numFmt w:val="lowerLetter"/>
      <w:lvlText w:val="%2"/>
      <w:lvlJc w:val="left"/>
      <w:pPr>
        <w:ind w:left="1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D000F2">
      <w:start w:val="1"/>
      <w:numFmt w:val="lowerRoman"/>
      <w:lvlText w:val="%3"/>
      <w:lvlJc w:val="left"/>
      <w:pPr>
        <w:ind w:left="2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EAA90">
      <w:start w:val="1"/>
      <w:numFmt w:val="decimal"/>
      <w:lvlText w:val="%4"/>
      <w:lvlJc w:val="left"/>
      <w:pPr>
        <w:ind w:left="2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38C92A">
      <w:start w:val="1"/>
      <w:numFmt w:val="lowerLetter"/>
      <w:lvlText w:val="%5"/>
      <w:lvlJc w:val="left"/>
      <w:pPr>
        <w:ind w:left="3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54786A">
      <w:start w:val="1"/>
      <w:numFmt w:val="lowerRoman"/>
      <w:lvlText w:val="%6"/>
      <w:lvlJc w:val="left"/>
      <w:pPr>
        <w:ind w:left="4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4E6C7E">
      <w:start w:val="1"/>
      <w:numFmt w:val="decimal"/>
      <w:lvlText w:val="%7"/>
      <w:lvlJc w:val="left"/>
      <w:pPr>
        <w:ind w:left="4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217EC">
      <w:start w:val="1"/>
      <w:numFmt w:val="lowerLetter"/>
      <w:lvlText w:val="%8"/>
      <w:lvlJc w:val="left"/>
      <w:pPr>
        <w:ind w:left="5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DEF09C">
      <w:start w:val="1"/>
      <w:numFmt w:val="lowerRoman"/>
      <w:lvlText w:val="%9"/>
      <w:lvlJc w:val="left"/>
      <w:pPr>
        <w:ind w:left="6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5A"/>
    <w:rsid w:val="00522792"/>
    <w:rsid w:val="00AC55CF"/>
    <w:rsid w:val="00BB5F5A"/>
    <w:rsid w:val="00C256E0"/>
    <w:rsid w:val="00D13BAC"/>
    <w:rsid w:val="00ED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05B5"/>
  <w15:docId w15:val="{9644DAF2-F404-4830-B1A9-A4FAC1D1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5" w:line="225" w:lineRule="auto"/>
      <w:ind w:left="215" w:firstLine="205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0"/>
      <w:ind w:right="431"/>
      <w:outlineLvl w:val="0"/>
    </w:pPr>
    <w:rPr>
      <w:rFonts w:ascii="Times New Roman" w:eastAsia="Times New Roman" w:hAnsi="Times New Roman" w:cs="Times New Roman"/>
      <w:color w:val="000000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1807</Words>
  <Characters>12455</Characters>
  <Application>Microsoft Office Word</Application>
  <DocSecurity>0</DocSecurity>
  <Lines>175</Lines>
  <Paragraphs>87</Paragraphs>
  <ScaleCrop>false</ScaleCrop>
  <Company/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officiel de la République française - N° 264 du 7 novembre 2024</dc:title>
  <dc:subject>Lois et décrets</dc:subject>
  <dc:creator>Direction de l'information légale et administrative</dc:creator>
  <cp:keywords>ISSN:2261-5385;class='Internal'</cp:keywords>
  <cp:lastModifiedBy>Ragnhild Efraimsson</cp:lastModifiedBy>
  <cp:revision>2</cp:revision>
  <dcterms:created xsi:type="dcterms:W3CDTF">2024-12-17T14:42:00Z</dcterms:created>
  <dcterms:modified xsi:type="dcterms:W3CDTF">2024-12-17T14:42:00Z</dcterms:modified>
</cp:coreProperties>
</file>