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ПРАВИТЕЛСТВОТО НА УНГАРИЯ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Публикувано в</w:t>
      </w:r>
      <w:r>
        <w:rPr>
          <w:sz w:val="24"/>
          <w:rFonts w:ascii="Times New Roman" w:hAnsi="Times New Roman"/>
        </w:rPr>
        <w:t xml:space="preserve">: Държавен вестник на Унгария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ПРАВИТЕЛСТВЕН УКАЗ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за изменение на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Правителствен указ № 210/2009 от 29 септември 2009 г. относно условията за извършване на търговски дейности по отношение на защитата на здравето на децата и младите хора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Въз основа на разрешението, предоставено в член 55, параграф 5 от Закон CLV от 1997 г. за защита на потребителите,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по отношение на член 2,</w:t>
      </w:r>
      <w:r>
        <w:t xml:space="preserve"> </w:t>
      </w:r>
      <w:r>
        <w:rPr>
          <w:color w:val="000000"/>
          <w:sz w:val="24"/>
          <w:rFonts w:ascii="Times" w:hAnsi="Times"/>
        </w:rPr>
        <w:t xml:space="preserve">в съответствие с разрешението, предоставено в член 12, параграф 1, буква а) от Закон CLXIV от 2005 г. за търговията,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и като действа в рамките на неговите задължения, както е определено в член 15, параграф 1 от Основния закон, правителството определя следното: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 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В Правителствен указ № 210/2009 от 29 септември 2009 г. относно условията за извършване на търговски дейности (наричан по-нататък „Правителствен указ№ 210/2009 от 29 септември 2009 г.“) се вмъква следният член 20/В: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„Член 20/В  Съгласно член 16/А, параграф 1a от Закон CLV от 1997 г. за защита на потребителите (наричан по-нататък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„Закон за защита на потребителите“), енергийни напитки, класифицирани в позиции 2009 или 2202 като безалкохолни напитки, не могат да се продават или доставят на лица под осемнадесет години, ако те: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а) </w:t>
      </w:r>
      <w:r>
        <w:rPr>
          <w:sz w:val="24"/>
          <w:rFonts w:ascii="Times New Roman" w:hAnsi="Times New Roman"/>
        </w:rPr>
        <w:t xml:space="preserve">съдържат най-малко 15 mg/100 ml от всяко съединение, което спада към групата на метилксантин (наричана по-нататък „метилксантин“), или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б)</w:t>
      </w:r>
      <w:r>
        <w:rPr>
          <w:sz w:val="24"/>
          <w:rFonts w:ascii="Times New Roman" w:hAnsi="Times New Roman"/>
        </w:rPr>
        <w:t xml:space="preserve"> съдържат метилксантин и някое от следните вещества: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ба)</w:t>
      </w:r>
      <w:r>
        <w:rPr>
          <w:sz w:val="24"/>
          <w:rFonts w:ascii="Times New Roman" w:hAnsi="Times New Roman"/>
        </w:rPr>
        <w:t xml:space="preserve"> женшен,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бб)</w:t>
      </w:r>
      <w:r>
        <w:rPr>
          <w:sz w:val="24"/>
          <w:rFonts w:ascii="Times New Roman" w:hAnsi="Times New Roman"/>
        </w:rPr>
        <w:t xml:space="preserve"> L-аргинин,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бв)</w:t>
      </w:r>
      <w:r>
        <w:rPr>
          <w:sz w:val="24"/>
          <w:rFonts w:ascii="Times New Roman" w:hAnsi="Times New Roman"/>
        </w:rPr>
        <w:t xml:space="preserve"> инозитол,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бг)</w:t>
      </w:r>
      <w:r>
        <w:rPr>
          <w:sz w:val="24"/>
          <w:rFonts w:ascii="Times New Roman" w:hAnsi="Times New Roman"/>
        </w:rPr>
        <w:t xml:space="preserve"> глюкоронолактон,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бд)</w:t>
      </w:r>
      <w:r>
        <w:rPr>
          <w:sz w:val="24"/>
          <w:rFonts w:ascii="Times New Roman" w:hAnsi="Times New Roman"/>
        </w:rPr>
        <w:t xml:space="preserve"> таурин.“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 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В Правителствен указ № 210/2009 от 29 септември 2009 г., буква </w:t>
      </w:r>
      <w:r>
        <w:rPr>
          <w:sz w:val="24"/>
          <w:i/>
          <w:rFonts w:ascii="Times New Roman" w:hAnsi="Times New Roman"/>
        </w:rPr>
        <w:t xml:space="preserve">а)</w:t>
      </w:r>
      <w:r>
        <w:rPr>
          <w:sz w:val="24"/>
          <w:rFonts w:ascii="Times New Roman" w:hAnsi="Times New Roman"/>
        </w:rPr>
        <w:t xml:space="preserve"> в член 26, параграф 1 се заменя със следното: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(Органът за защита на потребителите ще пристъпи към действия)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а)</w:t>
      </w:r>
      <w:r>
        <w:rPr>
          <w:sz w:val="24"/>
          <w:rFonts w:ascii="Times New Roman" w:hAnsi="Times New Roman"/>
        </w:rPr>
        <w:t xml:space="preserve"> както е определено в правилата от Закона за защита на потребителите, в случай на нарушение на разпоредбите на член 18, параграф 1, букви а)—е) и з)—и), член 18, параграфи 2 и 3, членове 19—20/В и член 23, и“.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 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В Правителствен указ № 210/2009 от 29 септември 2009 г., член 32 се заменя със следното: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„Член 32 Проекторите на член 13, параграф 1, член 19 и член 20, параграф 3, както и проектите на членове 20/Б и 20/В са нотифицирани предварително, както е постановено в членове 5—7 от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общество.“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 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В Правителствен указ № 210/2009 от 29 септември 2009 г. се вмъква следният член 34: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„Член 34  Проектът на член 20/В е нотифициран предварително в съответствие с член 39, параграф 5 от Директива 2006/123/ЕО на Европейския парламент и на Съвета от 12 декември 2006 г. относно услугите на вътрешния пазар.“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Член 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Настоящият указ влиза в сила на тридесетия ден след публикуването му.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Член 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Настоящият указ служи за спазване на Директива 2006/123/ЕО на Европейския парламент и на Съвета от 12 декември 2006 г. относно услугите на вътрешния пазар.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Член 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Проектът на настоящия указ е предмет на предварително нотифициране, както е постановено в член 39, параграф 5 от Директива 2006/123/ЕО на Европейския парламент и на Съвета от 12 декември 2006 г. относно услугите на вътрешния пазар.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Член 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Настоящият проект на указ е предмет на предварително нотифициране, както е постановено в членове 5—7 от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bg-BG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