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IL GOVERNO DELL'UNGHERIA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Pubblicato nella</w:t>
      </w:r>
      <w:r>
        <w:rPr>
          <w:sz w:val="24"/>
          <w:rFonts w:ascii="Times New Roman" w:hAnsi="Times New Roman"/>
        </w:rPr>
        <w:t xml:space="preserve">: Gazzetta ufficiale dell'Ungheria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DECRETO GOVERNATIVO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recante modifica del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decreto governativo n. 210/2009, del 29 settembre 2009, relativo alle condizioni per l’esercizio di attività commerciali in riferimento alla tutela della salute dei bambini e dei giovani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Sulla base dell’autorizzazione concessa nella sezione 55, paragrafo 5, della legge CLV del 1997 sulla protezione dei consumatori,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vista la sezione 2</w:t>
      </w:r>
      <w:r>
        <w:t xml:space="preserve">, </w:t>
      </w:r>
      <w:r>
        <w:rPr>
          <w:color w:val="000000"/>
          <w:sz w:val="24"/>
          <w:rFonts w:ascii="Times" w:hAnsi="Times"/>
        </w:rPr>
        <w:t xml:space="preserve">conformemente all’autorizzazione concessa a norma della sezione 12, paragrafo 1, lettera a), della legge CLXIV del 2005 sul commercio,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nell’ambito delle sue funzioni definite all’articolo 15, paragrafo 1, della Legge fondamentale, il governo stabilisce quanto segue: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Sezione 1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Nel decreto governativo n. 210/2009, del 29 settembre 2009, relativo alle condizioni per l’esercizio di attività commerciali (nel prosieguo il “decreto governativo n. 210/2009 del 29 settembre 2009”), è inserita la seguente sezione 20/C: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“Sezione 20/C  Ai sensi dell’articolo 16/A, paragrafo 1 bis, della legge CLV del 1997 sulla tutela dei consumatori (nel prosieguo: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legge sulla tutela dei consumatori), le bevande energetiche classificate alle voci 2009 o 2202 come bevande analcoliche non possono essere vendute o fornite a persone di età inferiore ai diciotto anni se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a) </w:t>
      </w:r>
      <w:r>
        <w:rPr>
          <w:sz w:val="24"/>
          <w:rFonts w:ascii="Times New Roman" w:hAnsi="Times New Roman"/>
        </w:rPr>
        <w:t xml:space="preserve">contengono almeno 15 mg/100 ml di qualsiasi composto appartenente al gruppo della metilxantina (di seguito: metilxantina), oppure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b)</w:t>
      </w:r>
      <w:r>
        <w:rPr>
          <w:sz w:val="24"/>
          <w:rFonts w:ascii="Times New Roman" w:hAnsi="Times New Roman"/>
        </w:rPr>
        <w:t xml:space="preserve"> contengono metilxantina e una delle seguenti sostanze: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 bis)</w:t>
      </w:r>
      <w:r>
        <w:rPr>
          <w:sz w:val="24"/>
          <w:rFonts w:ascii="Times New Roman" w:hAnsi="Times New Roman"/>
        </w:rPr>
        <w:t xml:space="preserve"> ginseng,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 tris)</w:t>
      </w:r>
      <w:r>
        <w:rPr>
          <w:sz w:val="24"/>
          <w:rFonts w:ascii="Times New Roman" w:hAnsi="Times New Roman"/>
        </w:rPr>
        <w:t xml:space="preserve"> L-arginina,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 quater)</w:t>
      </w:r>
      <w:r>
        <w:rPr>
          <w:sz w:val="24"/>
          <w:rFonts w:ascii="Times New Roman" w:hAnsi="Times New Roman"/>
        </w:rPr>
        <w:t xml:space="preserve"> inositolo,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 quinquies)</w:t>
      </w:r>
      <w:r>
        <w:rPr>
          <w:sz w:val="24"/>
          <w:rFonts w:ascii="Times New Roman" w:hAnsi="Times New Roman"/>
        </w:rPr>
        <w:t xml:space="preserve"> glucuronolattone,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 sexies)</w:t>
      </w:r>
      <w:r>
        <w:rPr>
          <w:sz w:val="24"/>
          <w:rFonts w:ascii="Times New Roman" w:hAnsi="Times New Roman"/>
        </w:rPr>
        <w:t xml:space="preserve"> taurina.”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Sezione 2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Nel decreto governativo n. 210/2009 del 29 settembre 2009, la sezione 26, paragrafo 1, lettera 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, è sostituita dalla seguente: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(L’autorità per la tutela dei consumatori procederà)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come stabilito dalle norme della legge sulla tutela dei consumatori, in caso di violazione delle disposizioni della sezione 18, paragrafo 1, lettere da a) a f) e da h) a i), della sezione 18, paragrafi 2 e 3, delle sezioni da 19 a 20/C e 23, e”.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Sezione 3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Nel decreto governativo n. 210/2009 del 29 settembre 2009 la sezione 32 è sostituita dalla seguente: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“Sezione 32  I progetti della sezione 13, paragrafo 1, della sezione 19 e della sezione 20, paragrafo 3, nonché i progetti delle sezioni 20/B e 20/C sono stati notificati in anticipo, come previsto dagli articoli da 5 a 7 della direttiva (UE) 2015/1535 del Parlamento europeo e del Consiglio, del 9 settembre 2015, che prevede una procedura d’informazione nel settore delle regolamentazioni tecniche e delle regole relative ai servizi della società dell’informazione”.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Sezione 4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Nel decreto governativo n. 210/2009 del 29 settembre 2009 è inserita la seguente sezione 34: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“Sezione 34  Il progetto della sezione 20/C è stato preventivamente notificato a norma dell’articolo 39, paragrafo 5, della direttiva 2006/123/CE del Parlamento europeo e del Consiglio, del 12 dicembre 2006, relativa ai servizi nel mercato interno.”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Sezione 5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Il presente decreto entra in vigore il trentesimo giorno successivo alla sua pubblicazione.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Sezione 6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Il presente decreto è conforme alla direttiva 2006/123/CE del Parlamento europeo e del Consiglio, del 12 dicembre 2006, relativa ai servizi nel mercato interno.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Sezione 7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Il progetto del presente decreto è stato oggetto di notifica preventiva, come previsto dall’articolo 39, paragrafo 5, della direttiva 2006/123/CE del Parlamento europeo e del Consiglio, del 12 dicembre 2006, relativa ai servizi nel mercato interno.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Sezione 8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Il presente progetto di decreto è stato oggetto di notifica preventiva, come previsto dagli articoli da 5 a 7 della direttiva (UE) 2015/1535 del Parlamento europeo e del Consiglio, del 9 settembre 2015, che prevede una procedura d’informazione nel settore delle regolamentazioni tecniche e delle regole relative ai servizi della società dell’informazione.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it-IT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