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VLÁDA MAĎARSKA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Uverejnené v</w:t>
      </w:r>
      <w:r>
        <w:rPr>
          <w:sz w:val="24"/>
          <w:rFonts w:ascii="Times New Roman" w:hAnsi="Times New Roman"/>
        </w:rPr>
        <w:t xml:space="preserve">: úradný vestník Maďarska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VYHLÁŠKA VLÁDY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ktorou sa mení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nariadenie vlády č. 210/2009 z 29. septembra 2009 o podmienkach vykonávania obchodných činností v súvislosti s ochranou zdravia detí a mládeže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Na základe povolenia udeleného v oddiele 55 ods. 5 zákona CLV z roku 1997 o ochrane spotrebiteľa,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so zreteľom na oddiel 2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v súlade s povolením udeleným v oddiele 12 ods. 1 písm. a) zákona CLXIV z roku 2005 o obchode,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vláda v rámci svojich úloh vymedzených v článku 15 ods. 1 Základného zákona Maďarska stanovuje: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Oddiel 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 nariadenia vlády č. 210/2009 z 29. septembra 2009 o podmienkach vykonávania obchodných činností (ďalej len „vyhláška vlády č. 210/2009 z 29. septembra 2009“) sa vkladá tento oddiel 20/C: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„Oddiel 20/C  Podľa oddielu 16/A ods. 1a zákona CLV z roku 1997 o ochrane spotrebiteľa (ďalej len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zákon o ochrane spotrebiteľa) sa energetické nápoje klasifikované v rámci sekcie 2009 alebo 2202 ako nealkoholické nápoje nesmú predávať ani poskytovať osobám mladším ako osemnásť rokov, ak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obsahujú aspoň 15 mg/100 ml akejkoľvek zlúčeniny, ktorá patrí do skupiny metylxantínov (ďalej len „metylxantín“), alebo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obsahujú metylxantín a niektorú z týchto látok: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ba)</w:t>
      </w:r>
      <w:r>
        <w:rPr>
          <w:sz w:val="24"/>
          <w:rFonts w:ascii="Times New Roman" w:hAnsi="Times New Roman"/>
        </w:rPr>
        <w:t xml:space="preserve"> ženšen,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bb)</w:t>
      </w:r>
      <w:r>
        <w:rPr>
          <w:sz w:val="24"/>
          <w:rFonts w:ascii="Times New Roman" w:hAnsi="Times New Roman"/>
        </w:rPr>
        <w:t xml:space="preserve"> L-arginín,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bc)</w:t>
      </w:r>
      <w:r>
        <w:rPr>
          <w:sz w:val="24"/>
          <w:rFonts w:ascii="Times New Roman" w:hAnsi="Times New Roman"/>
        </w:rPr>
        <w:t xml:space="preserve"> inozitol,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bd)</w:t>
      </w:r>
      <w:r>
        <w:rPr>
          <w:sz w:val="24"/>
          <w:rFonts w:ascii="Times New Roman" w:hAnsi="Times New Roman"/>
        </w:rPr>
        <w:t xml:space="preserve"> glukuronolaktón,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be)</w:t>
      </w:r>
      <w:r>
        <w:rPr>
          <w:sz w:val="24"/>
          <w:rFonts w:ascii="Times New Roman" w:hAnsi="Times New Roman"/>
        </w:rPr>
        <w:t xml:space="preserve"> taurín.“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Oddiel 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 nariadení vlády č. 210/2009 z 29. septembra 2009 sa písm. 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ods. 1 oddielu 26 nahrádza takto: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(Úrad na ochranu spotrebiteľa bude konať)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podľa ustanovení zákona o ochrane spotrebiteľa v prípade porušenia ustanovení oddielu 18 ods. 1 písm. a) až f) a h) až i), oddielu 18 ods. 2 a 3, oddielov 19 – 20/C a oddielu 23 a“.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Oddiel 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V nariadení vlády č. 210/2009 z 29. septembra 2009 sa oddiel 32 nahrádza takto: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„Oddiel 32  Návrhy oddielu 13 ods. 1, oddielu 19 a oddielu 20 ods. 3, ako aj návrhy oddielov 20/B a 20/C, boli vopred oznámené, ako sa stanovuje v článkoch 5 až 7 smernice Európskeho parlamentu a Rady (EÚ) 2015/1535 z 9. septembra 2015, ktorou sa stanovuje postup pri poskytovaní informácií v oblasti technických predpisov a pravidiel vzťahujúcich sa na služby informačnej spoločnosti.“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Oddiel 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 nariadenia vlády č. 210/2009 z 29. septembra 2009 sa vkladá oddiel 34, ktorý znie: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„Oddiel 34  Návrh oddielu 20/C bol vopred oznámený v súlade s článkom 39 ods. 5 smernice Európskeho parlamentu a Rady 2006/123/ES z 12. decembra 2006 o službách na vnútornom trhu.“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Oddiel 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Táto vyhláška nadobúda účinnosť tridsiaty deň po jej zverejnení.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Oddiel 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Táto vyhláška slúži na dosiahnutie súladu so smernicou Európskeho parlamentu a Rady 2006/123/ES z 12. decembra 2006 o službách na vnútornom trhu.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Oddiel 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Návrh tejto vyhlášky bol vopred oznámený, ako sa stanovuje v článku 39 ods. 5 smernice Európskeho parlamentu a Rady 2006/123/ES z 12. decembra 2006 o službách na vnútornom trhu.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Oddiel 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Tento návrh vyhlášky bol vopred oznámený, ako sa stanovuje v článkoch 5 až 7 smernice Európskeho parlamentu a Rady (EÚ) 2015/1535 z 9. septembra 2015, ktorou sa stanovuje postup pri poskytovaní informácií v oblasti technických predpisov a pravidiel vzťahujúcich sa na služby informačnej spoločnosti.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sk-SK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