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MINISTERSTVO PRE KLÍMU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MINISTERSTVO PRE KLÍMU</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79"/>
        <w:gridCol w:w="810"/>
        <w:gridCol w:w="4225"/>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NARIADENIE</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Dátum v digitálnom podpise </w:t>
            </w:r>
          </w:p>
          <w:p w14:paraId="09DBC072" w14:textId="749C644C" w:rsidR="005B0AFA" w:rsidRPr="00683D28" w:rsidRDefault="005E3B39" w:rsidP="00B6572B">
            <w:pPr>
              <w:pStyle w:val="viideteie"/>
              <w:jc w:val="right"/>
            </w:pPr>
            <w:r>
              <w:t xml:space="preserve">Č. </w:t>
            </w:r>
            <w:sdt>
              <w:sdtPr>
                <w:alias w:val="Registračné číslo:"/>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(Registračné číslo)</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Zmena nariadenia ministra hospodárstva a infraštruktúry č. 101 z 3. augusta 2015 „Požiadavky na kvalitu výstavby ciest“</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Nariadenie je prijaté na základe oddielu 96 ods. 3 stavebného zákona.</w:t>
      </w:r>
    </w:p>
    <w:p w14:paraId="2267CFBB" w14:textId="77777777" w:rsidR="00491D3F" w:rsidRDefault="00491D3F" w:rsidP="00491D3F"/>
    <w:p w14:paraId="27F6E63A" w14:textId="0C0997B4" w:rsidR="00491D3F" w:rsidRPr="00C06447" w:rsidRDefault="00491D3F" w:rsidP="00491D3F">
      <w:pPr>
        <w:rPr>
          <w:b/>
          <w:bCs/>
        </w:rPr>
      </w:pPr>
      <w:r>
        <w:rPr>
          <w:b/>
        </w:rPr>
        <w:t>Nariadenie ministra hospodárstva a infraštruktúry č. 101 z 3. augusta 2015 „Požiadavky na kvalitu výstavby ciest“ sa mení takto:</w:t>
      </w:r>
    </w:p>
    <w:p w14:paraId="21D9AE75" w14:textId="77777777" w:rsidR="00491D3F" w:rsidRDefault="00491D3F" w:rsidP="00491D3F"/>
    <w:p w14:paraId="65E862AB" w14:textId="42D572BF" w:rsidR="00491D3F" w:rsidRDefault="00491D3F" w:rsidP="00AA5DD3">
      <w:bookmarkStart w:id="0" w:name="_Hlk169183575"/>
      <w:r>
        <w:t>;</w:t>
      </w:r>
      <w:r>
        <w:rPr>
          <w:b/>
        </w:rPr>
        <w:t>1)</w:t>
      </w:r>
      <w:r>
        <w:t xml:space="preserve"> v celom nariadení a v názve jeho prílohy 14 sa výraz „asfaltová betónová zmes“ nahrádza výrazom „asfaltová zmes“</w:t>
      </w:r>
      <w:bookmarkEnd w:id="0"/>
      <w:r>
        <w:t>;</w:t>
      </w:r>
    </w:p>
    <w:p w14:paraId="113AAEB9" w14:textId="77777777" w:rsidR="00491D3F" w:rsidRDefault="00491D3F" w:rsidP="00491D3F"/>
    <w:p w14:paraId="652EF9A4" w14:textId="1E4DB222" w:rsidR="00491D3F" w:rsidRDefault="00491D3F" w:rsidP="00491D3F">
      <w:r>
        <w:rPr>
          <w:b/>
        </w:rPr>
        <w:t>2)</w:t>
      </w:r>
      <w:r>
        <w:t xml:space="preserve"> za poslednú vetu oddielu 1 ods. 2 sa dopĺňa veta „Súlad stavebných materiálov s požiadavkami na kvalitu overuje vlastník cesty v laboratóriu, ktoré musí byť spravidla kompetentným meracím zariadením.“</w:t>
      </w:r>
    </w:p>
    <w:p w14:paraId="2743E445" w14:textId="77777777" w:rsidR="00491D3F" w:rsidRDefault="00491D3F" w:rsidP="00491D3F"/>
    <w:p w14:paraId="71541E18" w14:textId="4EC10FBD" w:rsidR="00491D3F" w:rsidRDefault="00491D3F" w:rsidP="00491D3F">
      <w:r>
        <w:rPr>
          <w:b/>
        </w:rPr>
        <w:t>3)</w:t>
      </w:r>
      <w:r>
        <w:t xml:space="preserve"> do oddielu 1 sa dopĺňa pododdiel 2</w:t>
      </w:r>
      <w:r>
        <w:rPr>
          <w:vertAlign w:val="superscript"/>
        </w:rPr>
        <w:t>1</w:t>
      </w:r>
      <w:r>
        <w:t>, ktorý znie:</w:t>
      </w:r>
    </w:p>
    <w:p w14:paraId="13A92325" w14:textId="607EE836" w:rsidR="00491D3F" w:rsidRDefault="00491D3F" w:rsidP="00491D3F">
      <w:r>
        <w:t>„(2</w:t>
      </w:r>
      <w:r>
        <w:rPr>
          <w:vertAlign w:val="superscript"/>
        </w:rPr>
        <w:t>1</w:t>
      </w:r>
      <w:r>
        <w:t>) So súhlasom vlastníka cesty sa môžu na cestné práce použiť alternatívne zdrojové materiály za predpokladu, že sú zabezpečené požiadavky na životnosť, stabilitu a bezpečnosť cesty. Musí sa preukázať súlad s požiadavkami</w:t>
      </w:r>
    </w:p>
    <w:p w14:paraId="5AB60174" w14:textId="77777777" w:rsidR="00491D3F" w:rsidRDefault="00491D3F" w:rsidP="00491D3F">
      <w:r>
        <w:t>na použitie alternatívnych zdrojových materiálov.“;</w:t>
      </w:r>
    </w:p>
    <w:p w14:paraId="2375CC7C" w14:textId="77777777" w:rsidR="00491D3F" w:rsidRDefault="00491D3F" w:rsidP="00491D3F"/>
    <w:p w14:paraId="1362B621" w14:textId="77777777" w:rsidR="00491D3F" w:rsidRDefault="00491D3F" w:rsidP="00491D3F">
      <w:r>
        <w:rPr>
          <w:b/>
        </w:rPr>
        <w:t>4)</w:t>
      </w:r>
      <w:r>
        <w:t xml:space="preserve"> oddiel 1 ods. 3 znie takto:</w:t>
      </w:r>
    </w:p>
    <w:p w14:paraId="7473E06A" w14:textId="1A4990BB" w:rsidR="00491D3F" w:rsidRDefault="00491D3F" w:rsidP="00491D3F">
      <w:r>
        <w:t>„(3) Odchylne od uvedeného sa cestné práce môžu akceptovať za podmienok stanovených vlastníkom cesty, ak z technického alebo ekonomického hľadiska, prípadne z oboch, nie je možné práce prerobiť.“;</w:t>
      </w:r>
    </w:p>
    <w:p w14:paraId="216ECA81" w14:textId="77777777" w:rsidR="00491D3F" w:rsidRDefault="00491D3F" w:rsidP="00491D3F"/>
    <w:p w14:paraId="56A7733B" w14:textId="690DC031" w:rsidR="00491D3F" w:rsidRDefault="00491D3F" w:rsidP="00491D3F">
      <w:r>
        <w:rPr>
          <w:b/>
        </w:rPr>
        <w:t>5)</w:t>
      </w:r>
      <w:r>
        <w:t xml:space="preserve"> v oddiele 2 ods. 8 sa slová „do pôdy a vodných útvarov“ nahrádzajú slovami „mimo cestnej výstavby“;</w:t>
      </w:r>
    </w:p>
    <w:p w14:paraId="796FCD3D" w14:textId="77777777" w:rsidR="00491D3F" w:rsidRDefault="00491D3F" w:rsidP="00491D3F"/>
    <w:p w14:paraId="70FC73D9" w14:textId="77777777" w:rsidR="00491D3F" w:rsidRDefault="00491D3F" w:rsidP="00491D3F">
      <w:r>
        <w:rPr>
          <w:b/>
        </w:rPr>
        <w:t>6)</w:t>
      </w:r>
      <w:r>
        <w:t xml:space="preserve"> oddiel 2 ods. 12 znie takto:</w:t>
      </w:r>
    </w:p>
    <w:p w14:paraId="1FF54EBC" w14:textId="77777777" w:rsidR="00491D3F" w:rsidRDefault="00491D3F" w:rsidP="00491D3F">
      <w:r>
        <w:t>„(12) Koeficient adhézie povrchu vozovky na vozovke otvorenej pre premávku s maximálnou povolenou rýchlosťou presahujúcou 50</w:t>
      </w:r>
    </w:p>
    <w:p w14:paraId="7030A8DF" w14:textId="56498FD9" w:rsidR="00491D3F" w:rsidRDefault="00491D3F" w:rsidP="00491D3F">
      <w:r>
        <w:t>km/h sa nesmie odchyľovať o viac ako 0,1 jednotky od strednej hodnoty koeficientu adhézie v priečnom smere prierezu vozovky.“;</w:t>
      </w:r>
    </w:p>
    <w:p w14:paraId="0FB62085" w14:textId="77777777" w:rsidR="00491D3F" w:rsidRDefault="00491D3F" w:rsidP="00491D3F"/>
    <w:p w14:paraId="15CB70F8" w14:textId="77777777" w:rsidR="00491D3F" w:rsidRDefault="00491D3F" w:rsidP="00491D3F">
      <w:r>
        <w:rPr>
          <w:b/>
        </w:rPr>
        <w:lastRenderedPageBreak/>
        <w:t>7)</w:t>
      </w:r>
      <w:r>
        <w:t xml:space="preserve"> pododdiely 14 až 16 oddielu 2 znejú takto:</w:t>
      </w:r>
    </w:p>
    <w:p w14:paraId="436D1535" w14:textId="784B69BC" w:rsidR="00491D3F" w:rsidRDefault="00491D3F" w:rsidP="00491D3F">
      <w:r>
        <w:t>„(14) Obchvaty v dôsledku cestných prác musia spĺňať minimálne podmienku úrovne 1 v súlade s požiadavkami stanovenými na základe oddielu 97 ods. 2 stavebného zákona.</w:t>
      </w:r>
    </w:p>
    <w:p w14:paraId="2DF95987" w14:textId="77777777" w:rsidR="00491D3F" w:rsidRDefault="00491D3F" w:rsidP="00491D3F"/>
    <w:p w14:paraId="25D8B6E4" w14:textId="4BA58816" w:rsidR="00491D3F" w:rsidRDefault="00491D3F" w:rsidP="00491D3F">
      <w:r>
        <w:t>(15) Vrstvy násypu a vozovky možno ukladať len na spodné vrstvy, ktoré boli vybudované a prijaté v súlade s postupom schváleným vlastníkom cesty. Ak existuje požiadavka na mrazuvzdornosť, musí sa stanoviť odolnosť použitého mrazuvzdorného materiálu, ak absorpcia vody presahuje 2 %.</w:t>
      </w:r>
    </w:p>
    <w:p w14:paraId="0915E20C" w14:textId="77777777" w:rsidR="00491D3F" w:rsidRDefault="00491D3F" w:rsidP="00491D3F"/>
    <w:p w14:paraId="1F162E12" w14:textId="541D5207" w:rsidR="00491D3F" w:rsidRDefault="00491D3F" w:rsidP="00491D3F">
      <w:r>
        <w:t>(16) Pri kontrole súladu s požiadavkami na kvalitu vykoná overenie kvalifikovaný merač, ak je to možné. Ak nie je možné použiť kvalifikovaného merača, kontrola kvality sa vykoná na základe požiadaviek stanovených vlastníkom cesty.“;</w:t>
      </w:r>
    </w:p>
    <w:p w14:paraId="7D2E459A" w14:textId="77777777" w:rsidR="00491D3F" w:rsidRDefault="00491D3F" w:rsidP="00491D3F"/>
    <w:p w14:paraId="30F21FC3" w14:textId="77777777" w:rsidR="00491D3F" w:rsidRDefault="00491D3F" w:rsidP="00491D3F">
      <w:r>
        <w:t>(</w:t>
      </w:r>
      <w:r>
        <w:rPr>
          <w:b/>
        </w:rPr>
        <w:t>8)</w:t>
      </w:r>
      <w:r>
        <w:t xml:space="preserve"> oddiel 3 ods. 3 a 4 znejú takto:</w:t>
      </w:r>
    </w:p>
    <w:p w14:paraId="53B950A8" w14:textId="77777777" w:rsidR="00491D3F" w:rsidRDefault="00491D3F" w:rsidP="00491D3F">
      <w:r>
        <w:t>„(3) Jedna šarža kameniva dodaného pre asfaltové zmesi je maximálne 3 000 ton.</w:t>
      </w:r>
    </w:p>
    <w:p w14:paraId="3F1A782C" w14:textId="77777777" w:rsidR="00491D3F" w:rsidRDefault="00491D3F" w:rsidP="00491D3F"/>
    <w:p w14:paraId="2D2CDA6A" w14:textId="7471609C" w:rsidR="00491D3F" w:rsidRDefault="00491D3F" w:rsidP="00491D3F">
      <w:r>
        <w:t>(4) Overenie zhody každej šarže s dokumentáciou o posúdení zhody zahŕňa posúdenie zrnitosti jemného kameniva a obsahu jemných častíc. Hrubé kamenivo sa kontroluje z hľadiska zrnitosti, obsahu jemných zŕn, indexu odlupovania a odolnosti proti drobeniu.</w:t>
      </w:r>
    </w:p>
    <w:p w14:paraId="725C8C5B" w14:textId="1D75AF8A" w:rsidR="00491D3F" w:rsidRDefault="00491D3F" w:rsidP="00491D3F">
      <w:r>
        <w:t>Odolnosť proti oderu sa v prípade potreby stanoví Škandinávskou skúškou. Mrazuvzdornosť hrubého kameniva sa kontroluje aspoň raz pred pokládkou materiálov. Pri posudzovaní mrazuvzdornosti</w:t>
      </w:r>
    </w:p>
    <w:p w14:paraId="797AA4FA" w14:textId="0209D668" w:rsidR="00491D3F" w:rsidRDefault="00491D3F" w:rsidP="00491D3F">
      <w:r>
        <w:t>sú potrebné laboratórne údaje a materiály sa môžu pokladať, ak je podľa laboratórnych údajov absorpcia vody v materiáli nižšia ako 2 %.“;</w:t>
      </w:r>
    </w:p>
    <w:p w14:paraId="736B296C" w14:textId="77777777" w:rsidR="00491D3F" w:rsidRDefault="00491D3F" w:rsidP="00491D3F"/>
    <w:p w14:paraId="437CCAB7" w14:textId="2AC844BC" w:rsidR="00491D3F" w:rsidRDefault="00491D3F" w:rsidP="00491D3F">
      <w:r>
        <w:rPr>
          <w:b/>
        </w:rPr>
        <w:t>9)</w:t>
      </w:r>
      <w:r>
        <w:t xml:space="preserve"> štvrtá veta oddielu 3 ods. 7 a tretia veta oddielu 12 ods. 3 sa za slovom „odstrániť“ dopĺňajú slovami „alebo po dohode s verejným obstarávateľom prijať nápravné opatrenia“;</w:t>
      </w:r>
    </w:p>
    <w:p w14:paraId="1DBAD732" w14:textId="77777777" w:rsidR="00491D3F" w:rsidRDefault="00491D3F" w:rsidP="00491D3F"/>
    <w:p w14:paraId="7FB3AEF2" w14:textId="39C8FF32" w:rsidR="00491D3F" w:rsidRDefault="00491D3F" w:rsidP="00491D3F">
      <w:r>
        <w:rPr>
          <w:b/>
        </w:rPr>
        <w:t>10)</w:t>
      </w:r>
      <w:r>
        <w:t xml:space="preserve"> v oddiele 4 ods. 2 tretej vete sa vypúšťa veta „nepredvídateľným trvaním dažďa alebo o 24 hodín v prípade neočakávaného poklesu teploty na povrchu vozovky pod 5 °C“.</w:t>
      </w:r>
    </w:p>
    <w:p w14:paraId="2314F6E8" w14:textId="77777777" w:rsidR="00491D3F" w:rsidRDefault="00491D3F" w:rsidP="00491D3F"/>
    <w:p w14:paraId="2B4B649D" w14:textId="77777777" w:rsidR="00491D3F" w:rsidRDefault="00491D3F" w:rsidP="00491D3F">
      <w:r>
        <w:rPr>
          <w:b/>
        </w:rPr>
        <w:t>11)</w:t>
      </w:r>
      <w:r>
        <w:t xml:space="preserve"> oddiel 5 ods. 1 znie takto:</w:t>
      </w:r>
    </w:p>
    <w:p w14:paraId="065FA7B1" w14:textId="77777777" w:rsidR="00491D3F" w:rsidRDefault="00491D3F" w:rsidP="00491D3F">
      <w:r>
        <w:t>„(1) Horná vrstva štrku s hrúbkou aspoň 12 cm celkovej vrstvy štrku musí mať zrnitosť</w:t>
      </w:r>
    </w:p>
    <w:p w14:paraId="023A23FF" w14:textId="79C25079" w:rsidR="00491D3F" w:rsidRDefault="00491D3F" w:rsidP="00491D3F">
      <w:r>
        <w:t>položky 5 alebo 6, ako je uvedené v prílohe 10 k tomuto nariadeniu. Horná vrstva štrku sa meria pozdĺž osi cesty a vo vzdialenosti 1 m od okraja vozovky. Utesnený povrch nesmie obsahovať voľné zrná, ktoré neprechádzajú cez sito</w:t>
      </w:r>
    </w:p>
    <w:p w14:paraId="0B83A04B" w14:textId="77777777" w:rsidR="00491D3F" w:rsidRDefault="00491D3F" w:rsidP="00491D3F">
      <w:r>
        <w:t>s veľkosťou 40 mm.“;</w:t>
      </w:r>
    </w:p>
    <w:p w14:paraId="1869EB07" w14:textId="77777777" w:rsidR="00491D3F" w:rsidRDefault="00491D3F" w:rsidP="00491D3F"/>
    <w:p w14:paraId="6BAFB338" w14:textId="0E1E05C2" w:rsidR="00491D3F" w:rsidRDefault="00491D3F" w:rsidP="00491D3F">
      <w:r>
        <w:rPr>
          <w:b/>
        </w:rPr>
        <w:t>12)</w:t>
      </w:r>
      <w:r>
        <w:t xml:space="preserve"> štyri posledné vety oddielu 5 ods. 2 bodu 4, oddielu 12 ods. 10, piata veta oddielu 13 ods. 12 bodu 7 a tretia veta oddielu 23 ods. 4 sa menia doplnením časti textu „alebo INSPECTOR-“ za časť textu „LOADMAN-“ a nahradením slov „vynásobený prechodným faktorom“ slovami:</w:t>
      </w:r>
    </w:p>
    <w:p w14:paraId="4E7B5C8F" w14:textId="77777777" w:rsidR="00491D3F" w:rsidRDefault="00491D3F" w:rsidP="00491D3F">
      <w:r>
        <w:t>„prevedené na porovnateľné“;</w:t>
      </w:r>
    </w:p>
    <w:p w14:paraId="2DDE4159" w14:textId="77777777" w:rsidR="00491D3F" w:rsidRDefault="00491D3F" w:rsidP="00491D3F"/>
    <w:p w14:paraId="6D9AC578" w14:textId="77777777" w:rsidR="00491D3F" w:rsidRDefault="00491D3F" w:rsidP="00491D3F">
      <w:r>
        <w:rPr>
          <w:b/>
        </w:rPr>
        <w:t>13)</w:t>
      </w:r>
      <w:r>
        <w:t xml:space="preserve"> názov oddielu 6 znie takto:</w:t>
      </w:r>
    </w:p>
    <w:p w14:paraId="65967F88" w14:textId="6FB91CB4" w:rsidR="00491D3F" w:rsidRPr="00491D3F" w:rsidRDefault="00491D3F" w:rsidP="00491D3F">
      <w:pPr>
        <w:rPr>
          <w:b/>
          <w:bCs/>
        </w:rPr>
      </w:pPr>
      <w:r>
        <w:rPr>
          <w:b/>
        </w:rPr>
        <w:t>„Oddiel 6. Asfalt a spevnená cesta“;</w:t>
      </w:r>
    </w:p>
    <w:p w14:paraId="2DE706DD" w14:textId="77777777" w:rsidR="00491D3F" w:rsidRDefault="00491D3F" w:rsidP="00491D3F"/>
    <w:p w14:paraId="59A776D2" w14:textId="77777777" w:rsidR="00491D3F" w:rsidRDefault="00491D3F" w:rsidP="00491D3F">
      <w:r>
        <w:rPr>
          <w:b/>
        </w:rPr>
        <w:t>14)</w:t>
      </w:r>
      <w:r>
        <w:t xml:space="preserve"> oddiel 6 ods. 1 bod 1 znie takto:</w:t>
      </w:r>
    </w:p>
    <w:p w14:paraId="210ABB7A" w14:textId="01F86C92" w:rsidR="00491D3F" w:rsidRDefault="00491D3F" w:rsidP="00491D3F">
      <w:r>
        <w:lastRenderedPageBreak/>
        <w:t>„1) prevýšenie na obojstrannej prevýšenej ceste; a</w:t>
      </w:r>
      <w:r>
        <w:rPr>
          <w:color w:val="202020"/>
          <w:shd w:val="clear" w:color="auto" w:fill="FFFFFF"/>
        </w:rPr>
        <w:t xml:space="preserve"> v zmysle zákona o cestnej premávke</w:t>
      </w:r>
      <w:r>
        <w:t xml:space="preserve"> na chodníkoch, cestičkách, chodníkoch a cyklotrasách, cyklotrasách ± 0,5 % a jednostranných prevýšeniach ± 0,3 %;“;</w:t>
      </w:r>
    </w:p>
    <w:p w14:paraId="5F0DA653" w14:textId="77777777" w:rsidR="00491D3F" w:rsidRDefault="00491D3F" w:rsidP="00491D3F"/>
    <w:p w14:paraId="33C70D57" w14:textId="77777777" w:rsidR="00491D3F" w:rsidRDefault="00491D3F" w:rsidP="00491D3F">
      <w:r>
        <w:rPr>
          <w:b/>
        </w:rPr>
        <w:t>15)</w:t>
      </w:r>
      <w:r>
        <w:t xml:space="preserve"> oddiel 6 ods. 1 bod 3 a oddiel 20 ods. 1 bod 3 znejú takto:</w:t>
      </w:r>
    </w:p>
    <w:p w14:paraId="76578A29" w14:textId="77777777" w:rsidR="00491D3F" w:rsidRDefault="00491D3F" w:rsidP="00491D3F">
      <w:r>
        <w:t>„3) Vzdialenosť medzi okrajom povrchu a osou vozovky sa môže líšiť –5/+ 15 cm, pričom celková šírka povrchu nie je</w:t>
      </w:r>
    </w:p>
    <w:p w14:paraId="470F9F36" w14:textId="6913F37D" w:rsidR="00491D3F" w:rsidRDefault="00491D3F" w:rsidP="00491D3F">
      <w:r>
        <w:t>užšia ako konštrukcia a rozdiel medzi dvoma po sebe nasledujúcimi meraniami na rovných úsekoch s rovnomernou šírkou nepresahujúcou 5 cm.“;</w:t>
      </w:r>
    </w:p>
    <w:p w14:paraId="46047FD9" w14:textId="77777777" w:rsidR="00491D3F" w:rsidRDefault="00491D3F" w:rsidP="00491D3F"/>
    <w:p w14:paraId="3D5BA818" w14:textId="77777777" w:rsidR="00491D3F" w:rsidRDefault="00491D3F" w:rsidP="00491D3F">
      <w:r>
        <w:rPr>
          <w:b/>
        </w:rPr>
        <w:t>16)</w:t>
      </w:r>
      <w:r>
        <w:t xml:space="preserve"> oddiel 6 ods. 3 piata veta znie takto:</w:t>
      </w:r>
    </w:p>
    <w:p w14:paraId="004C7385" w14:textId="77777777" w:rsidR="00491D3F" w:rsidRDefault="00491D3F" w:rsidP="00491D3F">
      <w:r>
        <w:t>„Ak koeficient adhézie nie je v súlade s požiadavkami, musia sa namontovať príslušné dopravné značky.“;</w:t>
      </w:r>
    </w:p>
    <w:p w14:paraId="41D5212F" w14:textId="77777777" w:rsidR="00491D3F" w:rsidRDefault="00491D3F" w:rsidP="00491D3F"/>
    <w:p w14:paraId="0FF85DC8" w14:textId="77777777" w:rsidR="00491D3F" w:rsidRDefault="00491D3F" w:rsidP="00491D3F">
      <w:r>
        <w:rPr>
          <w:b/>
        </w:rPr>
        <w:t>17)</w:t>
      </w:r>
      <w:r>
        <w:t xml:space="preserve"> oddiel 6 ods. 6 znie takto:</w:t>
      </w:r>
    </w:p>
    <w:p w14:paraId="7093426B" w14:textId="1D2479D8" w:rsidR="00491D3F" w:rsidRDefault="00491D3F" w:rsidP="00491D3F">
      <w:r>
        <w:t>„(6) Modul pružnosti pre nové cestné podperné lôžka postavené s navrhnutou konštrukciou, meraný pomocou zariadenia typu LOADMAN alebo INSPECTOR, musí byť v strede podperného lôžka najmenej 130 MPa. Ak sa použije iné meracie zariadenie analógového modulu pružnosti, jeho odčítanie sa porovná so zariadením typu LOADMAN alebo INSPECTOR a výsledky merania sa prevedú na porovnateľné.“;</w:t>
      </w:r>
    </w:p>
    <w:p w14:paraId="084502F2" w14:textId="77777777" w:rsidR="00491D3F" w:rsidRDefault="00491D3F" w:rsidP="00491D3F"/>
    <w:p w14:paraId="1ACF7E4F" w14:textId="4B85E912" w:rsidR="00491D3F" w:rsidRDefault="00491D3F" w:rsidP="00491D3F">
      <w:r>
        <w:rPr>
          <w:b/>
        </w:rPr>
        <w:t>18)</w:t>
      </w:r>
      <w:r>
        <w:t xml:space="preserve"> do oddielu 6 sa dopĺňa ods. 6</w:t>
      </w:r>
      <w:r>
        <w:rPr>
          <w:vertAlign w:val="superscript"/>
        </w:rPr>
        <w:t>1</w:t>
      </w:r>
      <w:r>
        <w:t>, ktorý znie takto:</w:t>
      </w:r>
    </w:p>
    <w:p w14:paraId="42CCAE02" w14:textId="4463FD2D" w:rsidR="00491D3F" w:rsidRDefault="00491D3F" w:rsidP="00491D3F">
      <w:r>
        <w:t>„(6</w:t>
      </w:r>
      <w:r>
        <w:rPr>
          <w:vertAlign w:val="superscript"/>
        </w:rPr>
        <w:t>1</w:t>
      </w:r>
      <w:r>
        <w:t>) V prípade vypĺňania existujúcich podperných lôžok musia byť lôžka stlačené, ale požiadavka na modul pružnosti uvedená v ods. 6 tohto oddielu sa neuplatňuje.“;</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v oddiele 6 ods. 7 sa text „± 0,5 %“ nahrádza textom „± 1,0 %“ a za poslednú vetu sa dopĺňa veta „V žiadnom prípade nesmie byť sklon vozovky menší ako prevýšenie vozovky.“;</w:t>
      </w:r>
      <w:bookmarkEnd w:id="1"/>
    </w:p>
    <w:p w14:paraId="5B482ABD" w14:textId="77777777" w:rsidR="00491D3F" w:rsidRDefault="00491D3F" w:rsidP="00491D3F"/>
    <w:p w14:paraId="458F6323" w14:textId="77777777" w:rsidR="00491D3F" w:rsidRDefault="00491D3F" w:rsidP="00491D3F">
      <w:r>
        <w:rPr>
          <w:b/>
        </w:rPr>
        <w:t>20)</w:t>
      </w:r>
      <w:r>
        <w:t xml:space="preserve"> oddiel 8 ods. 5 prvá veta znie takto:</w:t>
      </w:r>
    </w:p>
    <w:p w14:paraId="7912B3AF" w14:textId="21887A8D" w:rsidR="00491D3F" w:rsidRDefault="00491D3F" w:rsidP="00491D3F">
      <w:r>
        <w:t>„Kompresný faktor podložia musí byť ≥ 0,94, pokiaľ nie je v návrhu uvedený osobitné riešenie.“;</w:t>
      </w:r>
    </w:p>
    <w:p w14:paraId="5E75F41A" w14:textId="77777777" w:rsidR="00491D3F" w:rsidRDefault="00491D3F" w:rsidP="00491D3F"/>
    <w:p w14:paraId="5D843097" w14:textId="77777777" w:rsidR="00491D3F" w:rsidRDefault="00491D3F" w:rsidP="00491D3F">
      <w:r>
        <w:rPr>
          <w:b/>
        </w:rPr>
        <w:t>21)</w:t>
      </w:r>
      <w:r>
        <w:t xml:space="preserve"> oddiel 9 ods. 3 znie takto:</w:t>
      </w:r>
    </w:p>
    <w:p w14:paraId="3348FFFA" w14:textId="77777777" w:rsidR="00491D3F" w:rsidRDefault="00491D3F" w:rsidP="00491D3F">
      <w:r>
        <w:t>„(3) Povrch sa môže naniesť na násyp do jedného roka od dátumu prijatia násypu za predpokladu, že:</w:t>
      </w:r>
    </w:p>
    <w:p w14:paraId="3F53DAAA" w14:textId="78640B6A" w:rsidR="00491D3F" w:rsidRDefault="00491D3F" w:rsidP="00491D3F">
      <w:r>
        <w:t>násyp sa zhutní vo vrstvách hrúbky max. 0,3 m a kompresia všetkých vrstiev spĺňa požiadavky, alebo po vrstvách hrúbky max. 0,6 m, ak staviteľ cesty preukáže, že je požadovaná kompresia dosiahnuteľné pozdĺž celej hrúbky stlačenej vrstvy.“;</w:t>
      </w:r>
    </w:p>
    <w:p w14:paraId="39DA2716" w14:textId="77777777" w:rsidR="00491D3F" w:rsidRDefault="00491D3F" w:rsidP="00491D3F"/>
    <w:p w14:paraId="6CA62D38" w14:textId="577EA209" w:rsidR="00491D3F" w:rsidRDefault="00491D3F" w:rsidP="00491D3F">
      <w:r>
        <w:rPr>
          <w:b/>
        </w:rPr>
        <w:t>22)</w:t>
      </w:r>
      <w:r>
        <w:t xml:space="preserve"> v oddiele 9 ods. 5 a 6 a v oddiele 11 ods. 3 a 4 sa slová „vynásobený prechodným faktorom“ nahrádzajú slovami „prepočítané na porovnateľné“;</w:t>
      </w:r>
    </w:p>
    <w:p w14:paraId="6956D027" w14:textId="77777777" w:rsidR="00491D3F" w:rsidRDefault="00491D3F" w:rsidP="00491D3F"/>
    <w:p w14:paraId="3E21BF7F" w14:textId="77777777" w:rsidR="00491D3F" w:rsidRDefault="00491D3F" w:rsidP="00491D3F">
      <w:r>
        <w:rPr>
          <w:b/>
        </w:rPr>
        <w:t>23)</w:t>
      </w:r>
      <w:r>
        <w:t xml:space="preserve"> oddiel 9 ods. 8 znie takto:</w:t>
      </w:r>
    </w:p>
    <w:p w14:paraId="2FBC323F" w14:textId="77777777" w:rsidR="00491D3F" w:rsidRDefault="00491D3F" w:rsidP="00491D3F">
      <w:r>
        <w:t>„(8) Rovinnosť násypu sa kontroluje na cestných úsekoch s rovnomerným pozdĺžnym sklonom pozdĺž osi cesty a najmenej</w:t>
      </w:r>
    </w:p>
    <w:p w14:paraId="61E05CD2" w14:textId="77777777" w:rsidR="00491D3F" w:rsidRDefault="00491D3F" w:rsidP="00491D3F">
      <w:r>
        <w:t>jeden meter na každú stranu násypu každých 25 metrov, geodeticky alebo pomocou tyče s dĺžkou 3 metre.</w:t>
      </w:r>
    </w:p>
    <w:p w14:paraId="7755DE7E" w14:textId="77777777" w:rsidR="00491D3F" w:rsidRDefault="00491D3F" w:rsidP="00491D3F">
      <w:r>
        <w:t>Maximálna prípustná pozdĺžna a priečna drsnosť je &lt; 30 mm.“;</w:t>
      </w:r>
    </w:p>
    <w:p w14:paraId="373EBE5C" w14:textId="77777777" w:rsidR="00491D3F" w:rsidRDefault="00491D3F" w:rsidP="00491D3F"/>
    <w:p w14:paraId="344591CB" w14:textId="0B3E2C70" w:rsidR="00491D3F" w:rsidRDefault="00491D3F" w:rsidP="00491D3F">
      <w:r>
        <w:rPr>
          <w:b/>
        </w:rPr>
        <w:t>24)</w:t>
      </w:r>
      <w:r>
        <w:t xml:space="preserve"> oddiel 9 ods. 9 sa zrušuje;</w:t>
      </w:r>
    </w:p>
    <w:p w14:paraId="5A5A39B6" w14:textId="77777777" w:rsidR="00491D3F" w:rsidRDefault="00491D3F" w:rsidP="00491D3F"/>
    <w:p w14:paraId="7963D194" w14:textId="7D6B2D2C" w:rsidR="00491D3F" w:rsidRDefault="00491D3F" w:rsidP="00491D3F">
      <w:r>
        <w:rPr>
          <w:b/>
        </w:rPr>
        <w:t>25)</w:t>
      </w:r>
      <w:r>
        <w:t xml:space="preserve"> v oddiele 9 ods. 10 sa za slovo „odstrániť“ dopĺňa veta „alebo po dohode s verejným obstarávateľom prijať nápravné opatrenia“;</w:t>
      </w:r>
    </w:p>
    <w:p w14:paraId="0435EB0E" w14:textId="77777777" w:rsidR="00491D3F" w:rsidRDefault="00491D3F" w:rsidP="00491D3F"/>
    <w:p w14:paraId="056C11FB" w14:textId="77777777" w:rsidR="00491D3F" w:rsidRDefault="00491D3F" w:rsidP="00491D3F">
      <w:r>
        <w:rPr>
          <w:b/>
        </w:rPr>
        <w:t>26)</w:t>
      </w:r>
      <w:r>
        <w:t xml:space="preserve"> oddiel 9 ods. 12 body 2 a 3 znejú takto:</w:t>
      </w:r>
    </w:p>
    <w:p w14:paraId="13F5411C" w14:textId="42CF79A8" w:rsidR="00491D3F" w:rsidRDefault="00491D3F" w:rsidP="00491D3F">
      <w:r>
        <w:t>„2) Vzdialenosť medzi okrajom násypu od osi vozovky –5 cm/+ 15 cm;</w:t>
      </w:r>
    </w:p>
    <w:p w14:paraId="2DA80E96" w14:textId="77777777" w:rsidR="00491D3F" w:rsidRDefault="00491D3F" w:rsidP="00491D3F">
      <w:r>
        <w:t>3) prevýšenie na ceste s obojstranným prevýšením ± 0,5 % a na ceste s jednostranným prevýšením ± 0,5 %.‘;</w:t>
      </w:r>
    </w:p>
    <w:p w14:paraId="050F0C56" w14:textId="77777777" w:rsidR="00491D3F" w:rsidRDefault="00491D3F" w:rsidP="00491D3F"/>
    <w:p w14:paraId="23445401" w14:textId="77777777" w:rsidR="00491D3F" w:rsidRDefault="00491D3F" w:rsidP="00491D3F">
      <w:r>
        <w:rPr>
          <w:b/>
        </w:rPr>
        <w:t>27)</w:t>
      </w:r>
      <w:r>
        <w:t xml:space="preserve"> oddiel 11 ods. 8 body 2 a 3 znejú takto:</w:t>
      </w:r>
    </w:p>
    <w:p w14:paraId="11C2017E" w14:textId="0E831462" w:rsidR="002801DB" w:rsidRDefault="00491D3F" w:rsidP="002801DB">
      <w:r>
        <w:t>„2) Vzdialenosť okraja drenážnej vrstvy od osi vozovky –5 cm/+ 15 cm, celková šírka drenážnej vrstvy nesmie byť</w:t>
      </w:r>
    </w:p>
    <w:p w14:paraId="0F577718" w14:textId="0774C0ED" w:rsidR="00491D3F" w:rsidRDefault="002801DB" w:rsidP="002801DB">
      <w:r>
        <w:t>užšia ako konštrukcia a rozdiel medzi dvoma po sebe nasledujúcimi meraniami na rovných úsekoch s rovnomernou šírkou nesmie presahovať 5 cm;</w:t>
      </w:r>
    </w:p>
    <w:p w14:paraId="29808732" w14:textId="77777777" w:rsidR="00491D3F" w:rsidRDefault="00491D3F" w:rsidP="00491D3F">
      <w:r>
        <w:t>3) prevýšenie na ceste s obojstranným prevýšením ± 0,5 % a na ceste s jednostranným prevýšením ± 0,5 %.‘;</w:t>
      </w:r>
    </w:p>
    <w:p w14:paraId="45A9CDF1" w14:textId="77777777" w:rsidR="00491D3F" w:rsidRDefault="00491D3F" w:rsidP="00491D3F"/>
    <w:p w14:paraId="42CF5AD6" w14:textId="77777777" w:rsidR="00491D3F" w:rsidRDefault="00491D3F" w:rsidP="00491D3F">
      <w:r>
        <w:rPr>
          <w:b/>
        </w:rPr>
        <w:t>28)</w:t>
      </w:r>
      <w:r>
        <w:t xml:space="preserve"> oddiel 12 ods. 6 bod 3 znie takto:</w:t>
      </w:r>
    </w:p>
    <w:p w14:paraId="5584EF93" w14:textId="7312D35A" w:rsidR="00491D3F" w:rsidRDefault="00491D3F" w:rsidP="00491D3F">
      <w:r>
        <w:t>„3) drvené zrná hrubého kameniva musia zodpovedať minimálne kategórii C50/30 a kategória maximálnej hodnoty odolnosti proti drobeniu musí byť minimálne</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oddiel 12 ods. 8 body 2 a 3 znejú takto:</w:t>
      </w:r>
    </w:p>
    <w:p w14:paraId="3C32DC21" w14:textId="4ABD0F34" w:rsidR="00491D3F" w:rsidRDefault="00491D3F" w:rsidP="002801DB">
      <w:r>
        <w:t>„2) vzdialenosť okraja nástupišťa od osi vozovky –0/+15 cm, celková šírka nástupišťa nesmie byť užšia ako konštrukcia a rozdiel medzi dvoma po sebe nasledujúcimi meraniami na rovných úsekoch s rovnomernou šírkou nesmie presahovať 5 cm;</w:t>
      </w:r>
    </w:p>
    <w:p w14:paraId="0633B283" w14:textId="77777777" w:rsidR="00491D3F" w:rsidRDefault="00491D3F" w:rsidP="00491D3F">
      <w:r>
        <w:t>3) prevýšenie na ceste s obojstranným prevýšením ± 0,5 % a jednostranným prevýšením ± 0,5 %;“;</w:t>
      </w:r>
    </w:p>
    <w:p w14:paraId="22F24716" w14:textId="77777777" w:rsidR="00491D3F" w:rsidRDefault="00491D3F" w:rsidP="00491D3F"/>
    <w:p w14:paraId="18CC0818" w14:textId="1941BA30" w:rsidR="00491D3F" w:rsidRDefault="00491D3F" w:rsidP="00491D3F">
      <w:r>
        <w:rPr>
          <w:b/>
        </w:rPr>
        <w:t>30)</w:t>
      </w:r>
      <w:r>
        <w:t xml:space="preserve"> oddiel 12 ods. 8 bod 6 znie takto:</w:t>
      </w:r>
    </w:p>
    <w:p w14:paraId="6D67F393" w14:textId="165B9A13" w:rsidR="00491D3F" w:rsidRDefault="00491D3F" w:rsidP="00491D3F">
      <w:r>
        <w:t>„6) súhrnná vzorka odobratá zo zhutneného podkladu nesmie obsahovať viac ako 7 % zŕn menších ako 0,063 mm.“;</w:t>
      </w:r>
    </w:p>
    <w:p w14:paraId="08EF0100" w14:textId="77777777" w:rsidR="00491D3F" w:rsidRDefault="00491D3F" w:rsidP="00491D3F"/>
    <w:p w14:paraId="47F845EA" w14:textId="05CD1FDA" w:rsidR="00491D3F" w:rsidRDefault="00491D3F" w:rsidP="00491D3F">
      <w:r>
        <w:rPr>
          <w:b/>
        </w:rPr>
        <w:t>31)</w:t>
      </w:r>
      <w:r>
        <w:t xml:space="preserve"> do oddiel 12 sa dopĺňa ods. 8</w:t>
      </w:r>
      <w:r>
        <w:rPr>
          <w:vertAlign w:val="superscript"/>
        </w:rPr>
        <w:t>1</w:t>
      </w:r>
      <w:r>
        <w:t xml:space="preserve"> v tomto znení:</w:t>
      </w:r>
    </w:p>
    <w:p w14:paraId="38E2EEFF" w14:textId="52388BA5" w:rsidR="00491D3F" w:rsidRDefault="00491D3F" w:rsidP="00491D3F">
      <w:r>
        <w:t>„(8</w:t>
      </w:r>
      <w:r>
        <w:rPr>
          <w:vertAlign w:val="superscript"/>
        </w:rPr>
        <w:t>1</w:t>
      </w:r>
      <w:r>
        <w:t>) Súhrnná vzorka uvedená v ods. 8 bode 6 tohto oddielu sa musí odobrať v súlade s opisom normy EVS-EN 932-1.“;</w:t>
      </w:r>
    </w:p>
    <w:p w14:paraId="547CEA0E" w14:textId="77777777" w:rsidR="00491D3F" w:rsidRDefault="00491D3F" w:rsidP="00491D3F"/>
    <w:p w14:paraId="74F791A3" w14:textId="77777777" w:rsidR="00491D3F" w:rsidRDefault="00491D3F" w:rsidP="00491D3F">
      <w:r>
        <w:rPr>
          <w:b/>
        </w:rPr>
        <w:t>32)</w:t>
      </w:r>
      <w:r>
        <w:t xml:space="preserve"> prvá veta oddielu 12 ods. 9 sa za slovným spojením „na povrchu“ dopĺňa slovom „merané“;</w:t>
      </w:r>
    </w:p>
    <w:p w14:paraId="4ED85D51" w14:textId="77777777" w:rsidR="00491D3F" w:rsidRDefault="00491D3F" w:rsidP="00491D3F"/>
    <w:p w14:paraId="324E18D7" w14:textId="791BB45D" w:rsidR="00491D3F" w:rsidRDefault="00491D3F" w:rsidP="00491D3F">
      <w:r>
        <w:rPr>
          <w:b/>
        </w:rPr>
        <w:t>33)</w:t>
      </w:r>
      <w:r>
        <w:t xml:space="preserve"> v oddiele 13 ods. 2 sa slová „asfaltová betónová vozovka“ nahrádza slovami „asfaltová vozovka“;</w:t>
      </w:r>
    </w:p>
    <w:p w14:paraId="09527D29" w14:textId="77777777" w:rsidR="00F82EBE" w:rsidRDefault="00F82EBE" w:rsidP="00491D3F"/>
    <w:p w14:paraId="7A0DBA10" w14:textId="0D1A7AAB" w:rsidR="00491D3F" w:rsidRDefault="00491D3F" w:rsidP="00491D3F">
      <w:r>
        <w:rPr>
          <w:b/>
        </w:rPr>
        <w:t>34)</w:t>
      </w:r>
      <w:r>
        <w:t xml:space="preserve"> v oddiele 13 ods. 9 bode 1 sa za slová „s označením“ dopĺňa text „70/100, 100/150 alebo“;</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oddiel 13 ods. 12 bod 8 </w:t>
      </w:r>
      <w:bookmarkEnd w:id="2"/>
      <w:r>
        <w:t>sa zrušuje;</w:t>
      </w:r>
    </w:p>
    <w:p w14:paraId="6C44C313" w14:textId="77777777" w:rsidR="00491D3F" w:rsidRDefault="00491D3F" w:rsidP="00491D3F"/>
    <w:p w14:paraId="75024D49" w14:textId="77777777" w:rsidR="00491D3F" w:rsidRDefault="00491D3F" w:rsidP="00491D3F">
      <w:r>
        <w:rPr>
          <w:b/>
        </w:rPr>
        <w:t>36)</w:t>
      </w:r>
      <w:r>
        <w:t xml:space="preserve"> v oddiele 13 ods. 13 sa slová „s asfaltovým betónom“ nahrádzajú slovami „s asfaltovou zmesou“;</w:t>
      </w:r>
    </w:p>
    <w:p w14:paraId="7D1F14C6" w14:textId="77777777" w:rsidR="00491D3F" w:rsidRDefault="00491D3F" w:rsidP="00491D3F"/>
    <w:p w14:paraId="745BD87C" w14:textId="77777777" w:rsidR="00491D3F" w:rsidRDefault="00491D3F" w:rsidP="00491D3F">
      <w:r>
        <w:rPr>
          <w:b/>
        </w:rPr>
        <w:t>37)</w:t>
      </w:r>
      <w:r>
        <w:t xml:space="preserve"> oddiel 14 ods. 1 znie takto:</w:t>
      </w:r>
    </w:p>
    <w:p w14:paraId="78536138" w14:textId="05B07F93" w:rsidR="00491D3F" w:rsidRDefault="00491D3F" w:rsidP="00491D3F">
      <w:r>
        <w:t>„(1) Povrch vozovky sa vyrovná na účely realizácie úpravy povrchu. Otvory a praskliny na povrchu vozovky hlbšie ako 20 mm sa naplnia a utesnia.“;</w:t>
      </w:r>
    </w:p>
    <w:p w14:paraId="0D44AA40" w14:textId="77777777" w:rsidR="00491D3F" w:rsidRDefault="00491D3F" w:rsidP="00491D3F"/>
    <w:p w14:paraId="31C58F58" w14:textId="77777777" w:rsidR="00491D3F" w:rsidRDefault="00491D3F" w:rsidP="00491D3F">
      <w:r>
        <w:rPr>
          <w:b/>
        </w:rPr>
        <w:t>38)</w:t>
      </w:r>
      <w:r>
        <w:t xml:space="preserve"> v oddiele 14 ods. 2 sa v celom texte vypúšťa slovo „frakcionované“;</w:t>
      </w:r>
    </w:p>
    <w:p w14:paraId="35669933" w14:textId="77777777" w:rsidR="00491D3F" w:rsidRDefault="00491D3F" w:rsidP="00491D3F"/>
    <w:p w14:paraId="0318E00A" w14:textId="77777777" w:rsidR="00491D3F" w:rsidRDefault="00491D3F" w:rsidP="00491D3F">
      <w:r>
        <w:rPr>
          <w:b/>
        </w:rPr>
        <w:t>39)</w:t>
      </w:r>
      <w:r>
        <w:t xml:space="preserve"> oddiel 14 ods. 10 a 11 znejú takto:</w:t>
      </w:r>
    </w:p>
    <w:p w14:paraId="76EA0863" w14:textId="257F69BF" w:rsidR="00491D3F" w:rsidRDefault="00491D3F" w:rsidP="00491D3F">
      <w:r>
        <w:t>„(10) Po dohode s verejným obstarávateľom je na úpravu povrchu vozoviek povolené použitie olejov, ktoré zmäkčujú bitúmen a neobsahujú parafíny ani iné prísady pôsobiace na podobnej báze. Bitúmen z roponosných bridlíc sa nesmie používať v obývaných oblastiach.</w:t>
      </w:r>
    </w:p>
    <w:p w14:paraId="4BF55AA9" w14:textId="77777777" w:rsidR="00491D3F" w:rsidRDefault="00491D3F" w:rsidP="00491D3F"/>
    <w:p w14:paraId="0B50ACCA" w14:textId="77777777" w:rsidR="00491D3F" w:rsidRDefault="00491D3F" w:rsidP="00491D3F">
      <w:r>
        <w:t>(11) Práce na úprave povrchu sú povolené, ak je teplota vzduchu aspoň + 15 </w:t>
      </w:r>
    </w:p>
    <w:p w14:paraId="1F9F15EE" w14:textId="21760BF7" w:rsidR="00491D3F" w:rsidRDefault="00491D3F" w:rsidP="00491D3F">
      <w:r>
        <w:t>°C pri použití cestného asfaltu a pri použití bitúmenových emulzií pri teplote najmenej + 10 °C a teplote povrchu vozovky najmenej + 10 °C. Ak sa použije asfalt modifikovaný polymérom, odporúčaná teplota vzduchu je &gt; + 25 stupňov a povrchová teplota &gt; + 40 stupňov, a ak sa použije bitúmenová emulzia so základným asfaltom modifikovaným polymérom, odporúča sa teplota vzduchu &gt; + 20 stupňov a teplota povrchu &gt; + 30 stupňov. Povrchová úprava pri nižších teplotách vzduchu je povolená so súhlasom verejného obstarávateľa za predpokladu, že osoba vykonávajúca práce preukázala, že používa nový materiál alebo technológiu, ktorá poskytuje náterovú vrstvu rovnakej kvality. V prípade zrážok sa aplikácia povrchovej náterovej úpravy zastaví.“;</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oddiel 14 ods. 12 až 16 </w:t>
      </w:r>
      <w:bookmarkEnd w:id="3"/>
      <w:r>
        <w:t>sa zrušujú;</w:t>
      </w:r>
    </w:p>
    <w:p w14:paraId="6EF051BE" w14:textId="77777777" w:rsidR="00491D3F" w:rsidRDefault="00491D3F" w:rsidP="00491D3F"/>
    <w:p w14:paraId="1DB94F2D" w14:textId="77777777" w:rsidR="00491D3F" w:rsidRDefault="00491D3F" w:rsidP="00491D3F">
      <w:r>
        <w:rPr>
          <w:b/>
        </w:rPr>
        <w:t>41)</w:t>
      </w:r>
      <w:r>
        <w:t xml:space="preserve"> oddiel 15 ods. 2 a 3 znejú takto:</w:t>
      </w:r>
    </w:p>
    <w:p w14:paraId="6EAE77F6" w14:textId="1E96B375" w:rsidR="00491D3F" w:rsidRDefault="00491D3F" w:rsidP="00491D3F">
      <w:r>
        <w:t>„(2) Zrnitosť štrkového kameniva musí spĺňať požiadavky položky 5 alebo 6 prílohy 10 k nariadeniu. Požiadavky na kamenivo sú opísané v norme EVS-EN 13285.</w:t>
      </w:r>
    </w:p>
    <w:p w14:paraId="27F2D387" w14:textId="60286D15" w:rsidR="00491D3F" w:rsidRDefault="00491D3F" w:rsidP="00491D3F">
      <w:r>
        <w:t>Súlad zrnitosti kameniva s požiadavkami sa kontroluje aspoň raz na každých 1 500 m³ pokladaného materiálu. Nevyhovujúci materiál sa z konštrukcie odstráni alebo sa po dohode s verejným obstarávateľom prijmú nápravné opatrenia.</w:t>
      </w:r>
    </w:p>
    <w:p w14:paraId="1479C956" w14:textId="77777777" w:rsidR="00491D3F" w:rsidRDefault="00491D3F" w:rsidP="00491D3F"/>
    <w:p w14:paraId="3A036EA4" w14:textId="79789231" w:rsidR="00491D3F" w:rsidRDefault="00491D3F" w:rsidP="00491D3F">
      <w:r>
        <w:t>(3) Kategória odolnosti hrubého kameniva proti drobeniu, ktorá sa má použiť, musí byť najmenej LA35 (faktor Los Angeles ≤ 35), kategória C50/30 pre drvené zrná, úplne drvené zrná a úplne zaoblené zrná a kategória mrazuvzdornosti najmenej F4. Požiadavky na odolnosť proti drobeniu sú opísané v norme EVS-EN 13242 a požiadavky na mrazuvzdornosť v norme EVS-EN 1367-1.“;</w:t>
      </w:r>
    </w:p>
    <w:p w14:paraId="30B85961" w14:textId="1F2DB4D2" w:rsidR="00491D3F" w:rsidRDefault="00491D3F" w:rsidP="00491D3F"/>
    <w:p w14:paraId="2B49A2E0" w14:textId="77777777" w:rsidR="00491D3F" w:rsidRDefault="00491D3F" w:rsidP="00491D3F">
      <w:r>
        <w:rPr>
          <w:b/>
        </w:rPr>
        <w:t>42)</w:t>
      </w:r>
      <w:r>
        <w:t xml:space="preserve"> oddiely 16 – 18 znejú takto:</w:t>
      </w:r>
    </w:p>
    <w:p w14:paraId="42FA2D89" w14:textId="77777777" w:rsidR="00491D3F" w:rsidRDefault="00491D3F" w:rsidP="00491D3F">
      <w:pPr>
        <w:rPr>
          <w:b/>
          <w:bCs/>
        </w:rPr>
      </w:pPr>
      <w:r>
        <w:rPr>
          <w:b/>
        </w:rPr>
        <w:t>„Oddiel 16. Príprava asfaltovej zmesi</w:t>
      </w:r>
    </w:p>
    <w:p w14:paraId="110739B8" w14:textId="77777777" w:rsidR="00491D3F" w:rsidRPr="00491D3F" w:rsidRDefault="00491D3F" w:rsidP="00491D3F">
      <w:pPr>
        <w:rPr>
          <w:b/>
          <w:bCs/>
        </w:rPr>
      </w:pPr>
    </w:p>
    <w:p w14:paraId="498CCA9C" w14:textId="45748EE0" w:rsidR="00491D3F" w:rsidRDefault="00491D3F" w:rsidP="00491D3F">
      <w:r>
        <w:t>(1) Asfaltová zmes musí byť pripravená a pokladaná tak, aby vydržala svoju plánovanú životnosť. Požiadavky na výrobu asfaltových zmesí sú opísané v norme EVS 901-3.</w:t>
      </w:r>
    </w:p>
    <w:p w14:paraId="2DB14C88" w14:textId="77777777" w:rsidR="00491D3F" w:rsidRDefault="00491D3F" w:rsidP="00491D3F"/>
    <w:p w14:paraId="39458D9A" w14:textId="77777777" w:rsidR="00491D3F" w:rsidRDefault="00491D3F" w:rsidP="00491D3F">
      <w:r>
        <w:t>(2) Dodávateľ musí koordinovať recept na výrobu pokladanej asfaltovej zmesi pod dozorom vlastníka.</w:t>
      </w:r>
    </w:p>
    <w:p w14:paraId="31E1DEAD" w14:textId="77777777" w:rsidR="00E91CBB" w:rsidRDefault="00E91CBB" w:rsidP="00491D3F"/>
    <w:p w14:paraId="3C561900" w14:textId="127BC930" w:rsidR="00491D3F" w:rsidRDefault="00491D3F" w:rsidP="00491D3F">
      <w:r>
        <w:t>(3) Recept na asfaltovú zmes sa pripraví podľa normy EVS 901-3.</w:t>
      </w:r>
    </w:p>
    <w:p w14:paraId="5C8C30F5" w14:textId="77777777" w:rsidR="00491D3F" w:rsidRDefault="00491D3F" w:rsidP="00491D3F"/>
    <w:p w14:paraId="6A7649CE" w14:textId="65DA1067" w:rsidR="00491D3F" w:rsidRDefault="00491D3F" w:rsidP="00491D3F">
      <w:r>
        <w:lastRenderedPageBreak/>
        <w:t>(4) Požiadavky na kamenivo používané v asfaltových zmesiach a ich skladovanie sú opísané v normách EVS 901-1 a EVS 901-3.</w:t>
      </w:r>
    </w:p>
    <w:p w14:paraId="51A5A96A" w14:textId="77777777" w:rsidR="00491D3F" w:rsidRDefault="00491D3F" w:rsidP="00491D3F"/>
    <w:p w14:paraId="56FA6037" w14:textId="77777777" w:rsidR="00491D3F" w:rsidRDefault="00491D3F" w:rsidP="00491D3F">
      <w:r>
        <w:t>(5) Pred koordináciou zloženia asfaltovej zmesi v laboratóriu a počas prác musí dodávateľ minimálne:</w:t>
      </w:r>
    </w:p>
    <w:p w14:paraId="3AEB6150" w14:textId="1F401FE6" w:rsidR="00491D3F" w:rsidRDefault="00491D3F" w:rsidP="00491D3F">
      <w:r>
        <w:t>raz v každej šarži kameniva skontrolovať zhodu odolnosti proti drobeniu, odolnosti proti oderu a zrnitosť všetkých frakcií dodaného kameniva (okrem frakcií s D menších ako 5 mm) s dokumentáciou o posúdení zhody (ak sa tieto vlastnosti vyžadujú a deklarujú) a penetrácie bitúmenu a priľnavosti s hrubým kamenivom vyrobeným z magmatickej horniny. Požiadavky na odolnosť proti drobeniu, odolnosť proti oderu a zrnitosť sú opísané v norme EVS 901-1. Penetrácia bitúmenu a priľnavosť s hrubým kamenivom použitým v zmesi sa kontroluje aspoň raz na každých 200 ton bitúmenu. Vyhlásenie výrobcu asfaltovej zmesi o parametroch sa môže použiť ako základ pre obnovu vyťaženého nadložia s povrchovou plochou do 1 000 m</w:t>
      </w:r>
      <w:r>
        <w:rPr>
          <w:vertAlign w:val="superscript"/>
        </w:rPr>
        <w:t>2</w:t>
      </w:r>
      <w:r>
        <w:t>.</w:t>
      </w:r>
    </w:p>
    <w:p w14:paraId="3A994A5D" w14:textId="77777777" w:rsidR="00491D3F" w:rsidRDefault="00491D3F" w:rsidP="00491D3F"/>
    <w:p w14:paraId="74022BA5" w14:textId="6B782187" w:rsidR="00491D3F" w:rsidRDefault="00491D3F" w:rsidP="00491D3F">
      <w:r>
        <w:t>(6) Prach z lapačov prachu v asfaltovni sa môže použiť v asfaltových zmesiach vyrobených z magmatických a metamorfných hornín a umelého kameniva až do 50 % celkovej hmotnosti pridaného plniva a prachu. Táto požiadavka sa nevzťahuje na základné asfaltové zmesi AC. Požiadavky na použitie prachu z lapačov prachu asfaltovne v asfaltovej zmesi sú opísané v norme EVS 901-3.</w:t>
      </w:r>
    </w:p>
    <w:p w14:paraId="50E3F41C" w14:textId="77777777" w:rsidR="00491D3F" w:rsidRDefault="00491D3F" w:rsidP="00491D3F"/>
    <w:p w14:paraId="479DA499" w14:textId="4435D1F1" w:rsidR="00491D3F" w:rsidRDefault="00491D3F" w:rsidP="00491D3F">
      <w:r>
        <w:t>(7) V bezprostrednej blízkosti každej asfaltovne vrátane mobilných zariadení musí byť k dispozícii laboratórium na určenie zrnitosti kameniva a asfaltových zmesí a obsahu spojiva v asfaltových zmesiach.</w:t>
      </w:r>
    </w:p>
    <w:p w14:paraId="508D0720" w14:textId="77777777" w:rsidR="00491D3F" w:rsidRDefault="00491D3F" w:rsidP="00491D3F"/>
    <w:p w14:paraId="05C04E63" w14:textId="77777777" w:rsidR="00491D3F" w:rsidRDefault="00491D3F" w:rsidP="00491D3F">
      <w:r>
        <w:t>(8) Laboratórium uvedené v ods. 7 tohto oddielu nemusí byť akreditované.</w:t>
      </w:r>
    </w:p>
    <w:p w14:paraId="264F86DE" w14:textId="77777777" w:rsidR="00491D3F" w:rsidRDefault="00491D3F" w:rsidP="00491D3F"/>
    <w:p w14:paraId="4D7A6E45" w14:textId="7CCA245C" w:rsidR="00491D3F" w:rsidRDefault="00491D3F" w:rsidP="00491D3F">
      <w:r>
        <w:t>(9) Teplota zmiešavania asfaltových zmesí sa zvolí podľa značky spojiva a povolené teploty sú uvedené v norme EVS 901-3. Na výrobu asfaltových zmesí pri nižších teplotách, ako sú povolené teploty, sa používajú prísady na zlepšenie spracovateľnosti zmesi. V závislosti od značky bitúmenu možno po dohode s obstarávateľom prác na ceste použiť iné teploty miešania, ako sú uvedené v norme EVS 901-3.</w:t>
      </w:r>
    </w:p>
    <w:p w14:paraId="15C9FF12" w14:textId="77777777" w:rsidR="00491D3F" w:rsidRDefault="00491D3F" w:rsidP="00491D3F"/>
    <w:p w14:paraId="6CE51AEA" w14:textId="77777777" w:rsidR="00491D3F" w:rsidRPr="00491D3F" w:rsidRDefault="00491D3F" w:rsidP="00491D3F">
      <w:pPr>
        <w:rPr>
          <w:b/>
          <w:bCs/>
        </w:rPr>
      </w:pPr>
      <w:r>
        <w:rPr>
          <w:b/>
        </w:rPr>
        <w:t>Oddiel 17 Preprava asfaltovej zmesi</w:t>
      </w:r>
    </w:p>
    <w:p w14:paraId="38159F92" w14:textId="77777777" w:rsidR="00491D3F" w:rsidRDefault="00491D3F" w:rsidP="00491D3F"/>
    <w:p w14:paraId="5E97DD6E" w14:textId="244DD683" w:rsidR="00491D3F" w:rsidRDefault="00491D3F" w:rsidP="00491D3F">
      <w:r>
        <w:t>(1) Zadná časť nákladného vozidla prepravujúceho asfaltovú zmes musí byť pred naložením čistá. Zmes sa nesmie počas prepravy rozliať ani stratifikovať. Asfaltová zmes sa môže prepravovať upraveným nákladným vozidlom. Náklad asfaltovej zmesi musí byť zakrytý.</w:t>
      </w:r>
    </w:p>
    <w:p w14:paraId="4023AE19" w14:textId="77777777" w:rsidR="00491D3F" w:rsidRDefault="00491D3F" w:rsidP="00491D3F"/>
    <w:p w14:paraId="1672292A" w14:textId="68D9F30E" w:rsidR="00491D3F" w:rsidRDefault="00491D3F" w:rsidP="00491D3F">
      <w:r>
        <w:t>(2) Ak sa asfaltová zmes prepravuje neupraveným nákladným vozidlom, maximálna prepravná vzdialenosť je 15 km pre zmesi SMA a 40 km pre zmesi AC.</w:t>
      </w:r>
    </w:p>
    <w:p w14:paraId="6A60FB00" w14:textId="77777777" w:rsidR="00491D3F" w:rsidRDefault="00491D3F" w:rsidP="00491D3F"/>
    <w:p w14:paraId="1C4D48EB" w14:textId="6BBC3EB4" w:rsidR="00491D3F" w:rsidRDefault="00491D3F" w:rsidP="00491D3F">
      <w:r>
        <w:t xml:space="preserve">(3) Ak sa asfaltová zmes prepravuje v upravenom nákladnom vozidle za povolenou hranicou 15 km v prípade zmesí SMA a 40 km v prípade zmesí AC, maximálna prepravná vzdialenosť bude závisieť od času prepravy, poveternostných podmienok a zloženia zmesi, ale zmes musí byť pri pokládke spracovateľná. Teplota asfaltovej zmesi sa skontroluje v návese každého prichádzajúceho nákladného vozidla bezprostredne pred jeho vyložením do finišera a písomne sa zaznamená do protokolu. Protokol musí obsahovať čas a polohu nákladu a teplotu asfaltovej zmesi. V zásobníku finišera môže byť teplota asfaltovej zmesi až o 10 °C nižšia ako najnižšia povolená teplota zmiešavania tohto druhu zmesi uvedená v norme EVS 901-3. So </w:t>
      </w:r>
      <w:r>
        <w:lastRenderedPageBreak/>
        <w:t>súhlasom verejného obstarávateľa sa zmes môže pokladať pri nižšej teplote, ak vykonávateľ práce preukáže, že zmes je spracovateľná.</w:t>
      </w:r>
    </w:p>
    <w:p w14:paraId="6495301D" w14:textId="77777777" w:rsidR="00491D3F" w:rsidRDefault="00491D3F" w:rsidP="00491D3F"/>
    <w:p w14:paraId="5BF32760" w14:textId="77777777" w:rsidR="00491D3F" w:rsidRPr="00491D3F" w:rsidRDefault="00491D3F" w:rsidP="00491D3F">
      <w:pPr>
        <w:rPr>
          <w:b/>
          <w:bCs/>
        </w:rPr>
      </w:pPr>
      <w:r>
        <w:rPr>
          <w:b/>
        </w:rPr>
        <w:t>Oddiel 18 Pokládka asfaltovej zmesi</w:t>
      </w:r>
    </w:p>
    <w:p w14:paraId="6B842C9B" w14:textId="77777777" w:rsidR="00491D3F" w:rsidRDefault="00491D3F" w:rsidP="00491D3F"/>
    <w:p w14:paraId="50DCE44B" w14:textId="37465D97" w:rsidR="00491D3F" w:rsidRDefault="00491D3F" w:rsidP="00491D3F">
      <w:r>
        <w:t>(1) Asfaltová zmes sa musí pokladať na riadne vybudovaný podklad a schváliť ju musí dozor vlastníka.</w:t>
      </w:r>
    </w:p>
    <w:p w14:paraId="27931A85" w14:textId="77777777" w:rsidR="00491D3F" w:rsidRDefault="00491D3F" w:rsidP="00491D3F"/>
    <w:p w14:paraId="652D6043" w14:textId="4680986B" w:rsidR="00491D3F" w:rsidRDefault="00491D3F" w:rsidP="00491D3F">
      <w:r>
        <w:t>(2) Nosné povrchy možno pokladať pri teplote nad +5 °C a podložia (spojovacie a nosné vrstvy) nad 0 °C. Pokladanie asfaltovej zmesi pri teplote 0 až +5 °C sa vykonáva s prísadami, ktoré zlepšujú spracovateľnosť zmesi (znižujú teplotu pokládky). Povrch musí byť pokladaný</w:t>
      </w:r>
    </w:p>
    <w:p w14:paraId="6BF8C522" w14:textId="7119AD05" w:rsidR="00491D3F" w:rsidRDefault="00491D3F" w:rsidP="00491D3F">
      <w:r>
        <w:t>v suchom počasí a za predpokladu, že podklad a násyp nie sú zamrznuté. Povrchy sa môžu aplikovať na podklad ošetrený spojivom, keď je tento podklad suchý.</w:t>
      </w:r>
    </w:p>
    <w:p w14:paraId="41AFAB81" w14:textId="77777777" w:rsidR="00491D3F" w:rsidRDefault="00491D3F" w:rsidP="00491D3F">
      <w:r>
        <w:t>(3) Aby sa zlepšila adhézia medzi povrchovými vrstvami, asfalt a vozovka sa napenetrujú</w:t>
      </w:r>
    </w:p>
    <w:p w14:paraId="07230A8A" w14:textId="3F5DDA4D" w:rsidR="00491D3F" w:rsidRDefault="00491D3F" w:rsidP="00491D3F">
      <w:r>
        <w:t>bitúmenom alebo bitúmenovou emulziou. Charakteristiky bitúmenu a bitúmenovej emulzie sú opísané v norme EVS 901-2. Emulzná voda sa musí pred nanesením vrstvy odpariť. Norma spotreby základného náteru na bitúmen je 0,10 až 0,30 l/m².</w:t>
      </w:r>
    </w:p>
    <w:p w14:paraId="6215B379" w14:textId="77777777" w:rsidR="00491D3F" w:rsidRDefault="00491D3F" w:rsidP="00491D3F"/>
    <w:p w14:paraId="12583836" w14:textId="0774BEA4" w:rsidR="00491D3F" w:rsidRDefault="00491D3F" w:rsidP="00491D3F">
      <w:r>
        <w:t>(4) Studené, predtým pokladané spoje asfaltovej zmesi, potrebujú základný náter, pričom v spodných vrstvách sa použije rovnaký základný náter, aký sa používa na základný náter spodných vrstiev, ale na základný náter spojov na opotrebovaných plochách sa používajú špeciálne spojovacie lepidlá, spojovacie pásky alebo sa tieto spoje vytvárajú ako horúce spoje pomocou špeciálneho zariadenia.</w:t>
      </w:r>
    </w:p>
    <w:p w14:paraId="29234121" w14:textId="77777777" w:rsidR="00491D3F" w:rsidRDefault="00491D3F" w:rsidP="00491D3F"/>
    <w:p w14:paraId="5BDA192B" w14:textId="4DDEFA93" w:rsidR="00491D3F" w:rsidRDefault="00491D3F" w:rsidP="00491D3F">
      <w:r>
        <w:t>(5) Minimálna a maximálna hrúbka vrstvy, ktorá sa má naniesť, závisí od maximálnej veľkosti zŕn D kameniva použitého druhu zmesi. Minimálna a maximálna hrúbka nanášanej vrstvy</w:t>
      </w:r>
    </w:p>
    <w:p w14:paraId="590476B6" w14:textId="77777777" w:rsidR="00491D3F" w:rsidRDefault="00491D3F" w:rsidP="00491D3F">
      <w:r>
        <w:t>je uvedená v norme EVS 901-3.</w:t>
      </w:r>
    </w:p>
    <w:p w14:paraId="6531788D" w14:textId="77777777" w:rsidR="00491D3F" w:rsidRDefault="00491D3F" w:rsidP="00491D3F"/>
    <w:p w14:paraId="1B4B1A22" w14:textId="77777777" w:rsidR="00491D3F" w:rsidRDefault="00491D3F" w:rsidP="00491D3F">
      <w:r>
        <w:t>(6) V prípade viacvrstvového asfaltového povrchu s jednostranným sklonom musí byť pozdĺžny spoj každej ďalšej vrstvy posunutý</w:t>
      </w:r>
    </w:p>
    <w:p w14:paraId="1A1065A1" w14:textId="17B70145" w:rsidR="00491D3F" w:rsidRDefault="00491D3F" w:rsidP="00491D3F">
      <w:r>
        <w:t>minimálne o 15 cm v porovnaní s pozdĺžnymi spojmi predchádzajúcich vrstiev asfaltu. Pozdĺžne spoje v mieste zlomu spodnej a hornej vrstvy povrchu vozovky s dvoma alebo viacerými jazdnými pruhmi s dvojitým sklonom musia byť proti sebe posunuté najmenej o 5 cm. Pozdĺžny spoj sa nesmie nachádzať v trase hlavného dopravného prúdu.“;</w:t>
      </w:r>
    </w:p>
    <w:p w14:paraId="05D03F31" w14:textId="77777777" w:rsidR="00491D3F" w:rsidRDefault="00491D3F" w:rsidP="00491D3F"/>
    <w:p w14:paraId="02178977" w14:textId="77777777" w:rsidR="00491D3F" w:rsidRDefault="00491D3F" w:rsidP="00491D3F">
      <w:r>
        <w:rPr>
          <w:b/>
        </w:rPr>
        <w:t>43)</w:t>
      </w:r>
      <w:r>
        <w:t xml:space="preserve"> oddiel 19 ods. 2 znie takto:</w:t>
      </w:r>
    </w:p>
    <w:p w14:paraId="5C0141A4" w14:textId="77777777" w:rsidR="00491D3F" w:rsidRDefault="00491D3F" w:rsidP="00491D3F">
      <w:r>
        <w:t>„(2) Premávka po povrchu môže byť povolená, ak teplota povrchu klesla pod + 40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oddiel 20 ods. 1 bod 2 </w:t>
      </w:r>
      <w:bookmarkEnd w:id="4"/>
      <w:r>
        <w:t>sa zrušuje;</w:t>
      </w:r>
    </w:p>
    <w:p w14:paraId="01111A2E" w14:textId="77777777" w:rsidR="00491D3F" w:rsidRDefault="00491D3F" w:rsidP="00491D3F"/>
    <w:p w14:paraId="31FBAF98" w14:textId="77777777" w:rsidR="00491D3F" w:rsidRDefault="00491D3F" w:rsidP="00491D3F">
      <w:r>
        <w:rPr>
          <w:b/>
        </w:rPr>
        <w:t>45)</w:t>
      </w:r>
      <w:r>
        <w:t xml:space="preserve"> oddiel 24 znie takto:</w:t>
      </w:r>
    </w:p>
    <w:p w14:paraId="1F8C2FCA" w14:textId="77777777" w:rsidR="00491D3F" w:rsidRDefault="00491D3F" w:rsidP="00491D3F">
      <w:pPr>
        <w:rPr>
          <w:b/>
          <w:bCs/>
        </w:rPr>
      </w:pPr>
      <w:r>
        <w:rPr>
          <w:b/>
        </w:rPr>
        <w:t>„Oddiel 24. Výstavba priepustov a mostov</w:t>
      </w:r>
    </w:p>
    <w:p w14:paraId="3661A51D" w14:textId="77777777" w:rsidR="00491D3F" w:rsidRPr="00491D3F" w:rsidRDefault="00491D3F" w:rsidP="00491D3F">
      <w:pPr>
        <w:rPr>
          <w:b/>
          <w:bCs/>
        </w:rPr>
      </w:pPr>
    </w:p>
    <w:p w14:paraId="31DBEBE2" w14:textId="5B938130" w:rsidR="00491D3F" w:rsidRDefault="00491D3F" w:rsidP="00491D3F">
      <w:r>
        <w:t>(1) Na účely tohto nariadenia sa pod mostmi rozumejú mosty, viadukty, tunely, podjazdy a nadchody. Priepust je zariadenie v násype na pretekanie vody pod cestou.</w:t>
      </w:r>
    </w:p>
    <w:p w14:paraId="6613EF83" w14:textId="77777777" w:rsidR="00491D3F" w:rsidRDefault="00491D3F" w:rsidP="00491D3F"/>
    <w:p w14:paraId="6C839304" w14:textId="3BD28EB4" w:rsidR="00491D3F" w:rsidRDefault="00491D3F" w:rsidP="00491D3F">
      <w:r>
        <w:t xml:space="preserve">(2) Požiadavky na kvalitu stavby mostov a priepustov musia byť zahrnuté do projektovej dokumentácie v rozsahu, v akom je možné dokončiť stavbu a skontrolovať vykonané práce. </w:t>
      </w:r>
      <w:r>
        <w:lastRenderedPageBreak/>
        <w:t>Odchýlky od projektu výstavby priepustov sú uvedené v prílohe 16 k nariadeniu a v prílohe 17 pre výstavbu mostov.</w:t>
      </w:r>
    </w:p>
    <w:p w14:paraId="023E5DF7" w14:textId="77777777" w:rsidR="00491D3F" w:rsidRDefault="00491D3F" w:rsidP="00491D3F"/>
    <w:p w14:paraId="0EABFF63" w14:textId="77777777" w:rsidR="00491D3F" w:rsidRDefault="00491D3F" w:rsidP="00491D3F">
      <w:r>
        <w:t>(3) Pri výstavbe priepustov a mostov sa musia v porovnaní s návrhom skontrolovať tieto rozmery:</w:t>
      </w:r>
    </w:p>
    <w:p w14:paraId="7771210C" w14:textId="77777777" w:rsidR="00491D3F" w:rsidRDefault="00491D3F" w:rsidP="00491D3F">
      <w:r>
        <w:t>1) výška a plánovaná poloha zariadenia;</w:t>
      </w:r>
    </w:p>
    <w:p w14:paraId="4A0DD061" w14:textId="77777777" w:rsidR="00491D3F" w:rsidRDefault="00491D3F" w:rsidP="00491D3F">
      <w:r>
        <w:t>2) hraničné rozmery nad zariadením a pod ním;</w:t>
      </w:r>
    </w:p>
    <w:p w14:paraId="0EFFFF5E" w14:textId="77777777" w:rsidR="00491D3F" w:rsidRDefault="00491D3F" w:rsidP="00491D3F">
      <w:r>
        <w:t>3) pozdĺžne sklony a prevýšenia vozovky na priepuste a moste;</w:t>
      </w:r>
    </w:p>
    <w:p w14:paraId="0DF482BB" w14:textId="77777777" w:rsidR="00491D3F" w:rsidRDefault="00491D3F" w:rsidP="00491D3F">
      <w:r>
        <w:t>4) umiestnenie a meranie konštrukčných prvkov (vrátane spojov a zvodidiel);</w:t>
      </w:r>
    </w:p>
    <w:p w14:paraId="784801A5" w14:textId="77777777" w:rsidR="00491D3F" w:rsidRDefault="00491D3F" w:rsidP="00491D3F">
      <w:r>
        <w:t>5) zhutnenie podložia a kameniva;</w:t>
      </w:r>
    </w:p>
    <w:p w14:paraId="7D73FC3E" w14:textId="77777777" w:rsidR="00491D3F" w:rsidRDefault="00491D3F" w:rsidP="00491D3F">
      <w:r>
        <w:t>6) existencia vyhlásenia o parametroch alebo vyhlásenia o zhode pre výrobky a materiály;</w:t>
      </w:r>
    </w:p>
    <w:p w14:paraId="65A0C68A" w14:textId="77777777" w:rsidR="00491D3F" w:rsidRDefault="00491D3F" w:rsidP="00491D3F">
      <w:r>
        <w:t>7) stavby (vrátane ochrany brehu) a ich povrchy;</w:t>
      </w:r>
    </w:p>
    <w:p w14:paraId="63ED8B40" w14:textId="77777777" w:rsidR="00491D3F" w:rsidRDefault="00491D3F" w:rsidP="00491D3F">
      <w:r>
        <w:t>8) výkonnosť odvodňovacích systémov (napr. hydroizolácia a odvodňovacie systémy pôdy a povrchových vôd).</w:t>
      </w:r>
    </w:p>
    <w:p w14:paraId="0F3BB3EE" w14:textId="77777777" w:rsidR="00491D3F" w:rsidRDefault="00491D3F" w:rsidP="00491D3F"/>
    <w:p w14:paraId="2B03FE67" w14:textId="77777777" w:rsidR="00491D3F" w:rsidRDefault="00491D3F" w:rsidP="00491D3F">
      <w:r>
        <w:t>(4) Betonárske práce na priepustoch a mostoch sa zakladajú na:</w:t>
      </w:r>
    </w:p>
    <w:p w14:paraId="5EDF0B0C" w14:textId="3F1DCD12" w:rsidR="00491D3F" w:rsidRDefault="00491D3F" w:rsidP="00491D3F">
      <w:r>
        <w:t>1) požiadavkách na hotové betónové výrobky opísané v normách EVS-EN 12794, EVS-EN 14844, EVS-EN 14991, EVS-EN 15050 a EVS-EN 15258;</w:t>
      </w:r>
    </w:p>
    <w:p w14:paraId="7C8541F3" w14:textId="11522EFE" w:rsidR="00491D3F" w:rsidRDefault="00491D3F" w:rsidP="00491D3F">
      <w:r>
        <w:t>2) požiadavkách na betón a betónové konštrukcie opísané v normách EVS-EN 12350 a EVS-EN 206; EVS-EN 1536; EVS-EN 12699; EVS-EN 13670 a EVS 814;</w:t>
      </w:r>
    </w:p>
    <w:p w14:paraId="538EDC7A" w14:textId="4ABCB53A" w:rsidR="00491D3F" w:rsidRDefault="00491D3F" w:rsidP="00491D3F">
      <w:r>
        <w:t>3) súlad so špecifikovanými požiadavkami na obsah vzduchu v betónovej zmesi, ktorá spĺňa požiadavky na mrazuvzdornosť, sa kontroluje pri každom náklade dodanom na stavenisko ako náhodná vzorka bezprostredne pred pokládkou;</w:t>
      </w:r>
    </w:p>
    <w:p w14:paraId="02BED8D1" w14:textId="18A2A607" w:rsidR="00491D3F" w:rsidRDefault="00491D3F" w:rsidP="00491D3F">
      <w:r>
        <w:t>4) obdobie údržby a ochrany betónu pred poveternostnými vplyvmi je najmenej 120 hodín (päť dní), čo zodpovedá triede údržby 4, pričom trieda údržby závisí od povrchovej teploty betónu do 70 % štandardnej pevnosti betónu v tlaku.</w:t>
      </w:r>
    </w:p>
    <w:p w14:paraId="4051F474" w14:textId="77777777" w:rsidR="00491D3F" w:rsidRDefault="00491D3F" w:rsidP="00491D3F"/>
    <w:p w14:paraId="37AC0FA7" w14:textId="1778E5B7" w:rsidR="00491D3F" w:rsidRDefault="00491D3F" w:rsidP="00491D3F">
      <w:r>
        <w:t>(5) Betónová zmes, ktorá nespĺňa požiadavky uvedené v ods. 4 bode 3 tohto oddielu, sa nesmie použiť a položený nevyhovujúci materiál sa musí odstrániť.</w:t>
      </w:r>
    </w:p>
    <w:p w14:paraId="7F751CEE" w14:textId="77777777" w:rsidR="00491D3F" w:rsidRDefault="00491D3F" w:rsidP="00491D3F"/>
    <w:p w14:paraId="5EE15B73" w14:textId="77777777" w:rsidR="00491D3F" w:rsidRDefault="00491D3F" w:rsidP="00491D3F">
      <w:r>
        <w:t>(6) Kovové práce na priepustoch a mostoch sa zakladajú na nasledujúcich predpokladoch:</w:t>
      </w:r>
    </w:p>
    <w:p w14:paraId="067E2632" w14:textId="5A34B8D9" w:rsidR="00491D3F" w:rsidRDefault="00491D3F" w:rsidP="00491D3F">
      <w:r>
        <w:t>1) požiadavky na konštrukčnú oceľ opísané v sérii noriem EVS-EN 10027;</w:t>
      </w:r>
    </w:p>
    <w:p w14:paraId="308BF05B" w14:textId="77777777" w:rsidR="00491D3F" w:rsidRDefault="00491D3F" w:rsidP="00491D3F">
      <w:r>
        <w:t>2) deklarovaná skúšobná teplota konštrukčnej ocele musí byť najmenej -20 stupňov;</w:t>
      </w:r>
    </w:p>
    <w:p w14:paraId="0390A2A3" w14:textId="1440B8B3" w:rsidR="00491D3F" w:rsidRDefault="00491D3F" w:rsidP="00491D3F">
      <w:r>
        <w:t>3) systém ochrany náterov určený na ochranu oceľových konštrukcií v atmosfére musí spĺňať požiadavky série noriem EVS-EN 12944 pre environmentálnu triedu C3;</w:t>
      </w:r>
    </w:p>
    <w:p w14:paraId="6BFD7070" w14:textId="0A42CABB" w:rsidR="00491D3F" w:rsidRDefault="00491D3F" w:rsidP="00491D3F">
      <w:r>
        <w:t>4) trieda trvanlivosti pre nové mosty a priepusty v systéme náterov chrániacich oceľové konštrukcie musí byť najmenej H a pre opraviteľné mosty a priepusty M.</w:t>
      </w:r>
    </w:p>
    <w:p w14:paraId="1E8FED76" w14:textId="77777777" w:rsidR="00491D3F" w:rsidRDefault="00491D3F" w:rsidP="00491D3F"/>
    <w:p w14:paraId="74CF604F" w14:textId="77777777" w:rsidR="00491D3F" w:rsidRDefault="00491D3F" w:rsidP="00491D3F">
      <w:r>
        <w:t>(7) Prvky mostov sa inštalujú na základe:</w:t>
      </w:r>
    </w:p>
    <w:p w14:paraId="52AEBEFE" w14:textId="2ED0577E" w:rsidR="00491D3F" w:rsidRDefault="00491D3F" w:rsidP="00491D3F">
      <w:r>
        <w:t>1) požiadaviek na konštrukčné ložiská mostov opísaných v sérii noriem EVS-EN 1337;</w:t>
      </w:r>
    </w:p>
    <w:p w14:paraId="14E1FFB3" w14:textId="77777777" w:rsidR="00491D3F" w:rsidRDefault="00491D3F" w:rsidP="00491D3F">
      <w:r>
        <w:t>2) deformačného spoja mosta, ktorý nesmie byť vyšší ako povrch vozovky;</w:t>
      </w:r>
    </w:p>
    <w:p w14:paraId="3D1B3F4F" w14:textId="77777777" w:rsidR="00491D3F" w:rsidRDefault="00491D3F" w:rsidP="00491D3F">
      <w:r>
        <w:t>3) hĺbky povrchu spoja, ktorý od povrchu vozovky nesmie presiahnuť 5 mm.“;</w:t>
      </w:r>
    </w:p>
    <w:p w14:paraId="1207EC24" w14:textId="77777777" w:rsidR="00241F1B" w:rsidRDefault="00241F1B" w:rsidP="00491D3F"/>
    <w:p w14:paraId="5D53CE81" w14:textId="333FA667" w:rsidR="00241F1B" w:rsidRDefault="00241F1B" w:rsidP="00491D3F">
      <w:r>
        <w:rPr>
          <w:b/>
        </w:rPr>
        <w:t>46)</w:t>
      </w:r>
      <w:r>
        <w:t xml:space="preserve"> oddiel 25 ods. 1 znie takto:</w:t>
      </w:r>
    </w:p>
    <w:p w14:paraId="64B3C794" w14:textId="096E410A" w:rsidR="00241F1B" w:rsidRDefault="00241F1B" w:rsidP="00491D3F">
      <w:r>
        <w:t>„(1) Inštalácia zariadení na riadenie dopravy musí byť v súlade s estónskymi normami EVS 613, EVS 614 a EVS 615.“;</w:t>
      </w:r>
    </w:p>
    <w:p w14:paraId="0BDA8E72" w14:textId="77777777" w:rsidR="00491D3F" w:rsidRDefault="00491D3F" w:rsidP="00491D3F"/>
    <w:p w14:paraId="595885E6" w14:textId="18E184C4" w:rsidR="00491D3F" w:rsidRDefault="00491D3F" w:rsidP="00491D3F">
      <w:r>
        <w:rPr>
          <w:b/>
        </w:rPr>
        <w:t>47)</w:t>
      </w:r>
      <w:r>
        <w:t xml:space="preserve"> oddiel 25 ods. 2 znie takto:</w:t>
      </w:r>
    </w:p>
    <w:p w14:paraId="4133FE20" w14:textId="1879814C" w:rsidR="00491D3F" w:rsidRDefault="00491D3F" w:rsidP="00491D3F">
      <w:r>
        <w:lastRenderedPageBreak/>
        <w:t>„(2) Výškové tolerancie pre zadržiavacie systémy vo vzťahu k výške povrchu sú ± 0,05 metra a tolerancia vo vzťahu k vertikálnej rovine je ± 0,02 metra na priamom úseku cesty dlhom 50 metrov.“;</w:t>
      </w:r>
    </w:p>
    <w:p w14:paraId="7D0EB7C3" w14:textId="77777777" w:rsidR="00491D3F" w:rsidRDefault="00491D3F" w:rsidP="00491D3F"/>
    <w:p w14:paraId="79CE52CA" w14:textId="1EAF196A" w:rsidR="00491D3F" w:rsidRDefault="00491D3F" w:rsidP="00491D3F">
      <w:r>
        <w:rPr>
          <w:b/>
        </w:rPr>
        <w:t>48)</w:t>
      </w:r>
      <w:r>
        <w:t xml:space="preserve"> do oddielu 25 sa dopĺňa ods. 2</w:t>
      </w:r>
      <w:r>
        <w:rPr>
          <w:vertAlign w:val="superscript"/>
        </w:rPr>
        <w:t>1</w:t>
      </w:r>
      <w:r>
        <w:t xml:space="preserve"> v tomto znení:</w:t>
      </w:r>
    </w:p>
    <w:p w14:paraId="48A15B42" w14:textId="67C3BFC7" w:rsidR="00491D3F" w:rsidRDefault="00491D3F" w:rsidP="00491D3F">
      <w:r>
        <w:t>„(2</w:t>
      </w:r>
      <w:r>
        <w:rPr>
          <w:vertAlign w:val="superscript"/>
        </w:rPr>
        <w:t>1</w:t>
      </w:r>
      <w:r>
        <w:t>) Poloha smerového stĺpika kolmo na vozovku sa môže líšiť ± 0,1 m od montážnej čiary, výška odrazových skiel nad povrchom vozovky ± 0,05 m, odchýlka od vertikály ± 3°.“;</w:t>
      </w:r>
    </w:p>
    <w:p w14:paraId="4BD653A3" w14:textId="77777777" w:rsidR="00491D3F" w:rsidRDefault="00491D3F" w:rsidP="00491D3F"/>
    <w:p w14:paraId="5F33D5E6" w14:textId="4E01EF2F" w:rsidR="00491D3F" w:rsidRDefault="00491D3F" w:rsidP="00491D3F">
      <w:r>
        <w:rPr>
          <w:b/>
        </w:rPr>
        <w:t>49)</w:t>
      </w:r>
      <w:r>
        <w:t xml:space="preserve"> v oddiele 26 ods. 2 sa za slovo „hlboká“ dopĺňa veta „minimálne s existujúcim násypom“;</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oddiel 26 ods. 13 </w:t>
      </w:r>
      <w:bookmarkEnd w:id="5"/>
      <w:r>
        <w:t>sa zrušuje;</w:t>
      </w:r>
    </w:p>
    <w:p w14:paraId="07EB8272" w14:textId="77777777" w:rsidR="00613B83" w:rsidRDefault="00613B83" w:rsidP="00491D3F"/>
    <w:p w14:paraId="247FF69B" w14:textId="1B51FFAA" w:rsidR="00613B83" w:rsidRDefault="00613B83" w:rsidP="00491D3F">
      <w:r>
        <w:rPr>
          <w:b/>
        </w:rPr>
        <w:t>51)</w:t>
      </w:r>
      <w:r>
        <w:t xml:space="preserve"> do nariadenia sa dopĺňa oddiel 27, ktorý znie:</w:t>
      </w:r>
    </w:p>
    <w:p w14:paraId="76F5304B" w14:textId="2F21465F" w:rsidR="00613B83" w:rsidRDefault="00613B83" w:rsidP="00491D3F">
      <w:bookmarkStart w:id="6" w:name="_Hlk170209720"/>
      <w:r>
        <w:rPr>
          <w:b/>
        </w:rPr>
        <w:t>„Oddiel 27. Vykonávacie ustanovenia</w:t>
      </w:r>
    </w:p>
    <w:p w14:paraId="78E51E63" w14:textId="54A57533" w:rsidR="00D604E5" w:rsidRDefault="00D604E5" w:rsidP="00491D3F">
      <w:r>
        <w:t xml:space="preserve">(1) Uzavreté zmluvy </w:t>
      </w:r>
      <w:bookmarkStart w:id="7" w:name="_Hlk170289224"/>
      <w:r>
        <w:t>alebo práce, ktoré sa začali pred nadobudnutím účinnosti tohto ustanovenia, podliehajú zneniu nariadenia, ktoré nadobudlo účinnosť 23. novembra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Znenie nariadenia, ktoré nadobudlo účinnosť 23. novembra 2020, sa môže uplatňovať na zmluvu uzatvorenú do troch mesiacov od nadobudnutia účinnosti tohto ustanovenia</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stanovuje sa nové znenie príloh 3 až 10 a prílohy 12 (priložené).</w:t>
      </w:r>
    </w:p>
    <w:p w14:paraId="2C46BE5D" w14:textId="77777777" w:rsidR="00491D3F" w:rsidRDefault="00491D3F" w:rsidP="00491D3F"/>
    <w:p w14:paraId="4D6FBFE7" w14:textId="00201D56" w:rsidR="001B7672" w:rsidRDefault="00491D3F" w:rsidP="00491D3F">
      <w:r>
        <w:rPr>
          <w:b/>
        </w:rPr>
        <w:t xml:space="preserve">(53) </w:t>
      </w:r>
      <w:bookmarkStart w:id="9" w:name="_Hlk168563549"/>
      <w:r>
        <w:t>Príloha 15 k nariadeniu</w:t>
      </w:r>
      <w:bookmarkEnd w:id="9"/>
      <w:r>
        <w:t xml:space="preserve"> sa zrušuje;</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1B7672" w14:paraId="43060C04" w14:textId="77777777" w:rsidTr="004A1794">
        <w:tc>
          <w:tcPr>
            <w:tcW w:w="4672" w:type="dxa"/>
          </w:tcPr>
          <w:p w14:paraId="6D3BD41D" w14:textId="77777777" w:rsidR="001B7672" w:rsidRPr="00D02F9D" w:rsidRDefault="001B7672" w:rsidP="00A300B9">
            <w:pPr>
              <w:ind w:hanging="108"/>
            </w:pPr>
            <w:r>
              <w:t>(digitálny podpis)</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Minister</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(digitálny podpis)</w:t>
            </w:r>
          </w:p>
          <w:p w14:paraId="587475D8" w14:textId="23094C06" w:rsidR="001B7672" w:rsidRDefault="00923C23" w:rsidP="00683D28">
            <w:r>
              <w:t>Keit Kasemets</w:t>
            </w:r>
          </w:p>
          <w:p w14:paraId="5FFB33FB" w14:textId="40BCC26D" w:rsidR="00491D3F" w:rsidRDefault="006326AA" w:rsidP="00683D28">
            <w:r>
              <w:t>štátny tajomník</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Príloha 3</w:t>
      </w:r>
      <w:r>
        <w:t xml:space="preserve"> Kompresný faktor povrchu a reziduálna pórovitosť </w:t>
      </w:r>
    </w:p>
    <w:p w14:paraId="7862E77A" w14:textId="77777777" w:rsidR="008E2E80" w:rsidRDefault="008E2E80" w:rsidP="00683D28">
      <w:r>
        <w:rPr>
          <w:b/>
        </w:rPr>
        <w:t>Príloha 10</w:t>
      </w:r>
      <w:r>
        <w:t xml:space="preserve"> Všeobecné hranice zrnitosti v nestmelených zmesiach </w:t>
      </w:r>
    </w:p>
    <w:p w14:paraId="6F32D132" w14:textId="5472E26B" w:rsidR="003F55E0" w:rsidRDefault="008E2E80" w:rsidP="00683D28">
      <w:r>
        <w:rPr>
          <w:b/>
        </w:rPr>
        <w:t>Príloha 12</w:t>
      </w:r>
      <w:r>
        <w:t xml:space="preserve"> Minimálne požiadavky na kamenivo používané na povrchovú úpravu</w:t>
      </w:r>
    </w:p>
    <w:p w14:paraId="566503FA" w14:textId="77777777" w:rsidR="003F55E0" w:rsidRDefault="003F55E0">
      <w:r>
        <w:br w:type="page"/>
      </w:r>
    </w:p>
    <w:p w14:paraId="657955F4" w14:textId="77777777" w:rsidR="00BE0A03" w:rsidRDefault="003F55E0" w:rsidP="003F55E0">
      <w:pPr>
        <w:jc w:val="right"/>
      </w:pPr>
      <w:r>
        <w:lastRenderedPageBreak/>
        <w:t>Minister hospodárstva a infraštruktúry</w:t>
      </w:r>
    </w:p>
    <w:p w14:paraId="3A8EAAFE" w14:textId="77777777" w:rsidR="00BE0A03" w:rsidRDefault="003F55E0" w:rsidP="003F55E0">
      <w:pPr>
        <w:jc w:val="right"/>
      </w:pPr>
      <w:r>
        <w:t>Nariadenie č. 101 z 3. augusta 2015</w:t>
      </w:r>
    </w:p>
    <w:p w14:paraId="3B55A979" w14:textId="77777777" w:rsidR="00BE0A03" w:rsidRDefault="003F55E0" w:rsidP="003F55E0">
      <w:pPr>
        <w:jc w:val="right"/>
      </w:pPr>
      <w:r>
        <w:t>„Požiadavky na kvalitu výstavby ciest“</w:t>
      </w:r>
    </w:p>
    <w:p w14:paraId="4DD4DD6F" w14:textId="77777777" w:rsidR="00BE0A03" w:rsidRDefault="003F55E0" w:rsidP="003F55E0">
      <w:pPr>
        <w:jc w:val="right"/>
      </w:pPr>
      <w:r>
        <w:t>Príloha 3</w:t>
      </w:r>
    </w:p>
    <w:p w14:paraId="751ECC4C" w14:textId="78A43010" w:rsidR="003F55E0" w:rsidRDefault="003F55E0" w:rsidP="003F55E0">
      <w:pPr>
        <w:jc w:val="right"/>
      </w:pPr>
      <w:r>
        <w:t>(v znení zmien)</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Príloha 3</w:t>
      </w:r>
    </w:p>
    <w:p w14:paraId="77534294" w14:textId="77777777" w:rsidR="003F55E0" w:rsidRPr="003F55E0" w:rsidRDefault="003F55E0" w:rsidP="003F55E0">
      <w:pPr>
        <w:jc w:val="center"/>
      </w:pPr>
      <w:r>
        <w:rPr>
          <w:b/>
        </w:rPr>
        <w:t>KOMPRESNÝ FAKTOR POVRCHU A REZIDUÁLNA PÓROVITOSŤ</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85"/>
        <w:gridCol w:w="1387"/>
        <w:gridCol w:w="1683"/>
        <w:gridCol w:w="1685"/>
        <w:gridCol w:w="1750"/>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Zmes typu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Stredná vzorka povrchu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Vzorka spoja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Kompresný faktor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Pórovitosť,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Kompresný faktor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Pórovitosť,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 – 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base</w:t>
            </w:r>
          </w:p>
          <w:p w14:paraId="2D43B19E" w14:textId="77777777" w:rsidR="003F55E0" w:rsidRPr="00D02F9D" w:rsidRDefault="003F55E0" w:rsidP="003F55E0">
            <w:r>
              <w:t>AC 20 base</w:t>
            </w:r>
          </w:p>
          <w:p w14:paraId="1901C781" w14:textId="77777777" w:rsidR="003F55E0" w:rsidRPr="00D02F9D" w:rsidRDefault="003F55E0" w:rsidP="003F55E0">
            <w:r>
              <w:t xml:space="preserve">AC 32 base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 – 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 – 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AC 16 bin</w:t>
            </w:r>
          </w:p>
          <w:p w14:paraId="4BC00C2D" w14:textId="77777777" w:rsidR="003F55E0" w:rsidRPr="00D02F9D" w:rsidRDefault="003F55E0" w:rsidP="003F55E0">
            <w:r>
              <w:t>AC 20 bin</w:t>
            </w:r>
          </w:p>
          <w:p w14:paraId="21A00905" w14:textId="77777777" w:rsidR="003F55E0" w:rsidRPr="00D02F9D" w:rsidRDefault="003F55E0" w:rsidP="003F55E0">
            <w: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 – 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 – 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Minister hospodárstva a infraštruktúry</w:t>
      </w:r>
    </w:p>
    <w:p w14:paraId="32450E0A" w14:textId="77777777" w:rsidR="00BE0A03" w:rsidRDefault="003F55E0" w:rsidP="003F55E0">
      <w:pPr>
        <w:jc w:val="right"/>
      </w:pPr>
      <w:r>
        <w:t>Nariadenie č. 101 z 3. augusta 2015</w:t>
      </w:r>
    </w:p>
    <w:p w14:paraId="7492D681" w14:textId="77777777" w:rsidR="00BE0A03" w:rsidRDefault="003F55E0" w:rsidP="003F55E0">
      <w:pPr>
        <w:jc w:val="right"/>
      </w:pPr>
      <w:r>
        <w:t>„Požiadavky na kvalitu výstavby ciest“</w:t>
      </w:r>
    </w:p>
    <w:p w14:paraId="65742A04" w14:textId="77777777" w:rsidR="00BE0A03" w:rsidRDefault="003F55E0" w:rsidP="003F55E0">
      <w:pPr>
        <w:jc w:val="right"/>
      </w:pPr>
      <w:r>
        <w:t>Príloha 10</w:t>
      </w:r>
    </w:p>
    <w:p w14:paraId="4F221941" w14:textId="586CEAAF" w:rsidR="003F55E0" w:rsidRPr="003F55E0" w:rsidRDefault="003F55E0" w:rsidP="003F55E0">
      <w:pPr>
        <w:jc w:val="right"/>
      </w:pPr>
      <w:r>
        <w:t>(v znení zmien)</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Príloha 10</w:t>
      </w:r>
    </w:p>
    <w:p w14:paraId="502DB18C" w14:textId="77777777" w:rsidR="003F55E0" w:rsidRPr="003F55E0" w:rsidRDefault="003F55E0" w:rsidP="003F55E0">
      <w:pPr>
        <w:jc w:val="center"/>
        <w:rPr>
          <w:b/>
          <w:bCs/>
        </w:rPr>
      </w:pPr>
      <w:r>
        <w:rPr>
          <w:b/>
        </w:rPr>
        <w:t>VŠEOBECNÉ HRANICE ZRNITOSTI V NESTMELENÝCH ZMESIACH</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Pol.</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Zmes</w:t>
            </w:r>
          </w:p>
        </w:tc>
        <w:tc>
          <w:tcPr>
            <w:tcW w:w="1104" w:type="dxa"/>
            <w:vMerge w:val="restart"/>
          </w:tcPr>
          <w:p w14:paraId="0316992D" w14:textId="77777777" w:rsidR="003F55E0" w:rsidRPr="003F55E0" w:rsidRDefault="003F55E0" w:rsidP="003F55E0">
            <w:pPr>
              <w:jc w:val="center"/>
              <w:rPr>
                <w:bCs/>
              </w:rPr>
            </w:pPr>
            <w:r>
              <w:t>Kategória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Použitie</w:t>
            </w:r>
          </w:p>
        </w:tc>
        <w:tc>
          <w:tcPr>
            <w:tcW w:w="12009" w:type="dxa"/>
            <w:gridSpan w:val="12"/>
          </w:tcPr>
          <w:p w14:paraId="43EE4A5A" w14:textId="77777777" w:rsidR="003F55E0" w:rsidRPr="003F55E0" w:rsidRDefault="003F55E0" w:rsidP="003F55E0">
            <w:pPr>
              <w:jc w:val="center"/>
            </w:pPr>
            <w:r>
              <w:t>Veľkosť sita,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Prepadne sitom, hmotnostné %</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Podklad neošetrený spojivom</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 – 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 – 78</w:t>
            </w:r>
          </w:p>
        </w:tc>
        <w:tc>
          <w:tcPr>
            <w:tcW w:w="1130" w:type="dxa"/>
          </w:tcPr>
          <w:p w14:paraId="611F2CC5" w14:textId="77777777" w:rsidR="003F55E0" w:rsidRPr="003F55E0" w:rsidRDefault="003F55E0" w:rsidP="003F55E0">
            <w:pPr>
              <w:jc w:val="center"/>
            </w:pPr>
            <w:r>
              <w:t>31 – 60</w:t>
            </w:r>
          </w:p>
        </w:tc>
        <w:tc>
          <w:tcPr>
            <w:tcW w:w="1078" w:type="dxa"/>
          </w:tcPr>
          <w:p w14:paraId="04057389" w14:textId="77777777" w:rsidR="003F55E0" w:rsidRPr="003F55E0" w:rsidRDefault="003F55E0" w:rsidP="003F55E0">
            <w:pPr>
              <w:jc w:val="center"/>
            </w:pPr>
            <w:r>
              <w:t>18 – 46</w:t>
            </w:r>
          </w:p>
        </w:tc>
        <w:tc>
          <w:tcPr>
            <w:tcW w:w="966" w:type="dxa"/>
          </w:tcPr>
          <w:p w14:paraId="602E0CCF" w14:textId="77777777" w:rsidR="003F55E0" w:rsidRPr="003F55E0" w:rsidRDefault="003F55E0" w:rsidP="003F55E0">
            <w:pPr>
              <w:jc w:val="center"/>
            </w:pPr>
            <w:r>
              <w:t>10 – 35</w:t>
            </w:r>
          </w:p>
        </w:tc>
        <w:tc>
          <w:tcPr>
            <w:tcW w:w="966" w:type="dxa"/>
          </w:tcPr>
          <w:p w14:paraId="61AE4A52" w14:textId="77777777" w:rsidR="003F55E0" w:rsidRPr="003F55E0" w:rsidRDefault="003F55E0" w:rsidP="003F55E0">
            <w:pPr>
              <w:jc w:val="center"/>
            </w:pPr>
            <w:r>
              <w:t>6 – 26</w:t>
            </w:r>
          </w:p>
        </w:tc>
        <w:tc>
          <w:tcPr>
            <w:tcW w:w="967" w:type="dxa"/>
          </w:tcPr>
          <w:p w14:paraId="766625EB" w14:textId="077AB775" w:rsidR="003F55E0" w:rsidRPr="003F55E0" w:rsidRDefault="003F55E0" w:rsidP="003F55E0">
            <w:pPr>
              <w:jc w:val="center"/>
            </w:pPr>
            <w:r>
              <w:t>0 – 20</w:t>
            </w:r>
          </w:p>
        </w:tc>
        <w:tc>
          <w:tcPr>
            <w:tcW w:w="968" w:type="dxa"/>
          </w:tcPr>
          <w:p w14:paraId="47C9AB6C" w14:textId="77777777" w:rsidR="003F55E0" w:rsidRPr="003F55E0" w:rsidRDefault="003F55E0" w:rsidP="003F55E0">
            <w:pPr>
              <w:jc w:val="center"/>
            </w:pPr>
            <w:r>
              <w:t>0 – 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 – 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 – 81</w:t>
            </w:r>
          </w:p>
        </w:tc>
        <w:tc>
          <w:tcPr>
            <w:tcW w:w="1130" w:type="dxa"/>
          </w:tcPr>
          <w:p w14:paraId="2C67B373" w14:textId="77777777" w:rsidR="003F55E0" w:rsidRPr="003F55E0" w:rsidRDefault="003F55E0" w:rsidP="003F55E0">
            <w:pPr>
              <w:jc w:val="center"/>
            </w:pPr>
            <w:r>
              <w:t>23 – 66</w:t>
            </w:r>
          </w:p>
        </w:tc>
        <w:tc>
          <w:tcPr>
            <w:tcW w:w="1078" w:type="dxa"/>
          </w:tcPr>
          <w:p w14:paraId="215C14FA" w14:textId="77777777" w:rsidR="003F55E0" w:rsidRPr="003F55E0" w:rsidRDefault="003F55E0" w:rsidP="003F55E0">
            <w:pPr>
              <w:jc w:val="center"/>
            </w:pPr>
            <w:r>
              <w:t>12 – 53</w:t>
            </w:r>
          </w:p>
        </w:tc>
        <w:tc>
          <w:tcPr>
            <w:tcW w:w="966" w:type="dxa"/>
          </w:tcPr>
          <w:p w14:paraId="649D7842" w14:textId="77777777" w:rsidR="003F55E0" w:rsidRPr="003F55E0" w:rsidRDefault="003F55E0" w:rsidP="003F55E0">
            <w:pPr>
              <w:jc w:val="center"/>
            </w:pPr>
            <w:r>
              <w:t>6 – 42</w:t>
            </w:r>
          </w:p>
        </w:tc>
        <w:tc>
          <w:tcPr>
            <w:tcW w:w="966" w:type="dxa"/>
          </w:tcPr>
          <w:p w14:paraId="081B7A16" w14:textId="77777777" w:rsidR="003F55E0" w:rsidRPr="003F55E0" w:rsidRDefault="003F55E0" w:rsidP="003F55E0">
            <w:pPr>
              <w:jc w:val="center"/>
            </w:pPr>
            <w:r>
              <w:t>3 – 32</w:t>
            </w:r>
          </w:p>
        </w:tc>
        <w:tc>
          <w:tcPr>
            <w:tcW w:w="967" w:type="dxa"/>
          </w:tcPr>
          <w:p w14:paraId="21274602" w14:textId="73FCE600" w:rsidR="003F55E0" w:rsidRPr="003F55E0" w:rsidRDefault="003F55E0" w:rsidP="003F55E0">
            <w:pPr>
              <w:jc w:val="center"/>
            </w:pPr>
            <w:r>
              <w:t>0 – 20</w:t>
            </w:r>
          </w:p>
        </w:tc>
        <w:tc>
          <w:tcPr>
            <w:tcW w:w="968" w:type="dxa"/>
          </w:tcPr>
          <w:p w14:paraId="7AB56E0D" w14:textId="77777777" w:rsidR="003F55E0" w:rsidRPr="003F55E0" w:rsidRDefault="003F55E0" w:rsidP="003F55E0">
            <w:pPr>
              <w:jc w:val="center"/>
            </w:pPr>
            <w:r>
              <w:t>0 – 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 – 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 – 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 – 60</w:t>
            </w:r>
          </w:p>
        </w:tc>
        <w:tc>
          <w:tcPr>
            <w:tcW w:w="1130" w:type="dxa"/>
          </w:tcPr>
          <w:p w14:paraId="202225EF" w14:textId="77777777" w:rsidR="003F55E0" w:rsidRPr="003F55E0" w:rsidRDefault="003F55E0" w:rsidP="003F55E0">
            <w:pPr>
              <w:jc w:val="center"/>
            </w:pPr>
            <w:r>
              <w:t>18 – 46</w:t>
            </w:r>
          </w:p>
        </w:tc>
        <w:tc>
          <w:tcPr>
            <w:tcW w:w="1078" w:type="dxa"/>
          </w:tcPr>
          <w:p w14:paraId="5915FEE4" w14:textId="77777777" w:rsidR="003F55E0" w:rsidRPr="003F55E0" w:rsidRDefault="003F55E0" w:rsidP="003F55E0">
            <w:pPr>
              <w:jc w:val="center"/>
            </w:pPr>
            <w:r>
              <w:t>10 – 35</w:t>
            </w:r>
          </w:p>
        </w:tc>
        <w:tc>
          <w:tcPr>
            <w:tcW w:w="966" w:type="dxa"/>
          </w:tcPr>
          <w:p w14:paraId="3BE04C17" w14:textId="77777777" w:rsidR="003F55E0" w:rsidRPr="003F55E0" w:rsidRDefault="003F55E0" w:rsidP="003F55E0">
            <w:pPr>
              <w:jc w:val="center"/>
            </w:pPr>
            <w:r>
              <w:t>6 – 26</w:t>
            </w:r>
          </w:p>
        </w:tc>
        <w:tc>
          <w:tcPr>
            <w:tcW w:w="966" w:type="dxa"/>
          </w:tcPr>
          <w:p w14:paraId="26D3F156" w14:textId="77777777" w:rsidR="003F55E0" w:rsidRPr="003F55E0" w:rsidRDefault="003F55E0" w:rsidP="003F55E0">
            <w:pPr>
              <w:jc w:val="center"/>
            </w:pPr>
            <w:r>
              <w:t>0 – 20</w:t>
            </w:r>
          </w:p>
        </w:tc>
        <w:tc>
          <w:tcPr>
            <w:tcW w:w="967" w:type="dxa"/>
          </w:tcPr>
          <w:p w14:paraId="2BDE480F" w14:textId="77777777" w:rsidR="003F55E0" w:rsidRPr="003F55E0" w:rsidRDefault="003F55E0" w:rsidP="003F55E0">
            <w:pPr>
              <w:jc w:val="center"/>
            </w:pPr>
            <w:r>
              <w:t>0 – 20</w:t>
            </w:r>
          </w:p>
        </w:tc>
        <w:tc>
          <w:tcPr>
            <w:tcW w:w="968" w:type="dxa"/>
          </w:tcPr>
          <w:p w14:paraId="097F3CCC" w14:textId="77777777" w:rsidR="003F55E0" w:rsidRPr="003F55E0" w:rsidRDefault="003F55E0" w:rsidP="003F55E0">
            <w:pPr>
              <w:jc w:val="center"/>
            </w:pPr>
            <w:r>
              <w:t>0 – 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 – 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 – 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 – 66</w:t>
            </w:r>
          </w:p>
        </w:tc>
        <w:tc>
          <w:tcPr>
            <w:tcW w:w="1130" w:type="dxa"/>
          </w:tcPr>
          <w:p w14:paraId="3A39CD9C" w14:textId="77777777" w:rsidR="003F55E0" w:rsidRPr="003F55E0" w:rsidRDefault="003F55E0" w:rsidP="003F55E0">
            <w:pPr>
              <w:jc w:val="center"/>
            </w:pPr>
            <w:r>
              <w:t>12 – 53</w:t>
            </w:r>
          </w:p>
        </w:tc>
        <w:tc>
          <w:tcPr>
            <w:tcW w:w="1078" w:type="dxa"/>
          </w:tcPr>
          <w:p w14:paraId="5691A054" w14:textId="77777777" w:rsidR="003F55E0" w:rsidRPr="003F55E0" w:rsidRDefault="003F55E0" w:rsidP="003F55E0">
            <w:pPr>
              <w:jc w:val="center"/>
            </w:pPr>
            <w:r>
              <w:t>6 – 42</w:t>
            </w:r>
          </w:p>
        </w:tc>
        <w:tc>
          <w:tcPr>
            <w:tcW w:w="966" w:type="dxa"/>
          </w:tcPr>
          <w:p w14:paraId="2BC09B5F" w14:textId="77777777" w:rsidR="003F55E0" w:rsidRPr="003F55E0" w:rsidRDefault="003F55E0" w:rsidP="003F55E0">
            <w:pPr>
              <w:jc w:val="center"/>
            </w:pPr>
            <w:r>
              <w:t>3 – 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 – 20</w:t>
            </w:r>
          </w:p>
        </w:tc>
        <w:tc>
          <w:tcPr>
            <w:tcW w:w="968" w:type="dxa"/>
          </w:tcPr>
          <w:p w14:paraId="458A332F" w14:textId="77777777" w:rsidR="003F55E0" w:rsidRPr="003F55E0" w:rsidRDefault="003F55E0" w:rsidP="003F55E0">
            <w:pPr>
              <w:jc w:val="center"/>
            </w:pPr>
            <w:r>
              <w:t>0 – 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Štrková cesta a podperné lôžko</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 – 99</w:t>
            </w:r>
          </w:p>
        </w:tc>
        <w:tc>
          <w:tcPr>
            <w:tcW w:w="1130" w:type="dxa"/>
          </w:tcPr>
          <w:p w14:paraId="397777B3" w14:textId="77777777" w:rsidR="003F55E0" w:rsidRPr="003F55E0" w:rsidRDefault="003F55E0" w:rsidP="003F55E0">
            <w:pPr>
              <w:jc w:val="center"/>
            </w:pPr>
            <w:r>
              <w:t>65 – 90</w:t>
            </w:r>
          </w:p>
        </w:tc>
        <w:tc>
          <w:tcPr>
            <w:tcW w:w="1078" w:type="dxa"/>
          </w:tcPr>
          <w:p w14:paraId="3737D283" w14:textId="77777777" w:rsidR="003F55E0" w:rsidRPr="003F55E0" w:rsidRDefault="003F55E0" w:rsidP="003F55E0">
            <w:pPr>
              <w:jc w:val="center"/>
            </w:pPr>
            <w:r>
              <w:t>50 – 75</w:t>
            </w:r>
          </w:p>
        </w:tc>
        <w:tc>
          <w:tcPr>
            <w:tcW w:w="966" w:type="dxa"/>
          </w:tcPr>
          <w:p w14:paraId="7393C62D" w14:textId="77777777" w:rsidR="003F55E0" w:rsidRPr="003F55E0" w:rsidRDefault="003F55E0" w:rsidP="003F55E0">
            <w:pPr>
              <w:jc w:val="center"/>
            </w:pPr>
            <w:r>
              <w:t>35 – 60</w:t>
            </w:r>
          </w:p>
        </w:tc>
        <w:tc>
          <w:tcPr>
            <w:tcW w:w="966" w:type="dxa"/>
          </w:tcPr>
          <w:p w14:paraId="07269D58" w14:textId="77777777" w:rsidR="003F55E0" w:rsidRPr="003F55E0" w:rsidRDefault="003F55E0" w:rsidP="003F55E0">
            <w:pPr>
              <w:jc w:val="center"/>
            </w:pPr>
            <w:r>
              <w:t>20 – 45</w:t>
            </w:r>
          </w:p>
        </w:tc>
        <w:tc>
          <w:tcPr>
            <w:tcW w:w="967" w:type="dxa"/>
          </w:tcPr>
          <w:p w14:paraId="6F6EE925" w14:textId="77777777" w:rsidR="003F55E0" w:rsidRPr="003F55E0" w:rsidRDefault="003F55E0" w:rsidP="003F55E0">
            <w:pPr>
              <w:jc w:val="center"/>
            </w:pPr>
            <w:r>
              <w:t>10 – 40</w:t>
            </w:r>
          </w:p>
        </w:tc>
        <w:tc>
          <w:tcPr>
            <w:tcW w:w="968" w:type="dxa"/>
          </w:tcPr>
          <w:p w14:paraId="0CF328C8" w14:textId="77777777" w:rsidR="003F55E0" w:rsidRPr="003F55E0" w:rsidRDefault="003F55E0" w:rsidP="003F55E0">
            <w:pPr>
              <w:jc w:val="center"/>
            </w:pPr>
            <w:r>
              <w:t>5 – 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 – 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 – 80</w:t>
            </w:r>
          </w:p>
        </w:tc>
        <w:tc>
          <w:tcPr>
            <w:tcW w:w="1130" w:type="dxa"/>
          </w:tcPr>
          <w:p w14:paraId="52510494" w14:textId="77777777" w:rsidR="003F55E0" w:rsidRPr="003F55E0" w:rsidRDefault="003F55E0" w:rsidP="003F55E0">
            <w:pPr>
              <w:jc w:val="center"/>
            </w:pPr>
            <w:r>
              <w:t>40 – 65</w:t>
            </w:r>
          </w:p>
        </w:tc>
        <w:tc>
          <w:tcPr>
            <w:tcW w:w="1078" w:type="dxa"/>
          </w:tcPr>
          <w:p w14:paraId="09297B4F" w14:textId="77777777" w:rsidR="003F55E0" w:rsidRPr="003F55E0" w:rsidRDefault="003F55E0" w:rsidP="003F55E0">
            <w:pPr>
              <w:jc w:val="center"/>
            </w:pPr>
            <w:r>
              <w:t>30 – 55</w:t>
            </w:r>
          </w:p>
        </w:tc>
        <w:tc>
          <w:tcPr>
            <w:tcW w:w="966" w:type="dxa"/>
          </w:tcPr>
          <w:p w14:paraId="176C46F7" w14:textId="77777777" w:rsidR="003F55E0" w:rsidRPr="003F55E0" w:rsidRDefault="003F55E0" w:rsidP="003F55E0">
            <w:pPr>
              <w:jc w:val="center"/>
            </w:pPr>
            <w:r>
              <w:t>20 – 45</w:t>
            </w:r>
          </w:p>
        </w:tc>
        <w:tc>
          <w:tcPr>
            <w:tcW w:w="966" w:type="dxa"/>
          </w:tcPr>
          <w:p w14:paraId="2FEB2D3A" w14:textId="77777777" w:rsidR="003F55E0" w:rsidRPr="003F55E0" w:rsidRDefault="003F55E0" w:rsidP="003F55E0">
            <w:pPr>
              <w:jc w:val="center"/>
            </w:pPr>
            <w:r>
              <w:t>10 – 30</w:t>
            </w:r>
          </w:p>
        </w:tc>
        <w:tc>
          <w:tcPr>
            <w:tcW w:w="967" w:type="dxa"/>
          </w:tcPr>
          <w:p w14:paraId="6C32C616" w14:textId="77777777" w:rsidR="003F55E0" w:rsidRPr="003F55E0" w:rsidRDefault="003F55E0" w:rsidP="003F55E0">
            <w:pPr>
              <w:jc w:val="center"/>
            </w:pPr>
            <w:r>
              <w:t>8 – 20</w:t>
            </w:r>
          </w:p>
        </w:tc>
        <w:tc>
          <w:tcPr>
            <w:tcW w:w="968" w:type="dxa"/>
          </w:tcPr>
          <w:p w14:paraId="72E626C9" w14:textId="77777777" w:rsidR="003F55E0" w:rsidRPr="003F55E0" w:rsidRDefault="003F55E0" w:rsidP="003F55E0">
            <w:pPr>
              <w:jc w:val="center"/>
            </w:pPr>
            <w:r>
              <w:t>8 – 15</w:t>
            </w:r>
          </w:p>
        </w:tc>
      </w:tr>
    </w:tbl>
    <w:p w14:paraId="59A00686" w14:textId="77777777" w:rsidR="003F55E0" w:rsidRPr="003F55E0" w:rsidRDefault="003F55E0" w:rsidP="003F55E0">
      <w:r>
        <w:t>Poznámka: v podkladoch neošetrených spojivom sa zrnitosť určuje zo vzorky materiálu odobratého z hotového podkladu.</w:t>
      </w:r>
    </w:p>
    <w:p w14:paraId="6B2729EE" w14:textId="77777777" w:rsidR="003F55E0" w:rsidRPr="003F55E0" w:rsidRDefault="003F55E0" w:rsidP="003F55E0">
      <w:r>
        <w:t>V prípade zmesi pol. 1 až pol. 4 musí byť zrnitosť deklarovaná výrobcom zmesi v rámci limitov zrnitosti deklarovaných výrobcom príslušnej kategórie EVS-EN 13285. Kontrolné vzorky odobraté na stavenisku nesmú prekročiť všeobecné hranice zrnitosti podľa prílohy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Minister hospodárstva a infraštruktúry</w:t>
      </w:r>
    </w:p>
    <w:p w14:paraId="20FABE8B" w14:textId="77777777" w:rsidR="00BA2C7C" w:rsidRDefault="003F55E0" w:rsidP="003F55E0">
      <w:pPr>
        <w:jc w:val="right"/>
      </w:pPr>
      <w:r>
        <w:t>Nariadenie č. 101 z 3. augusta 2015</w:t>
      </w:r>
    </w:p>
    <w:p w14:paraId="080DEBBA" w14:textId="77777777" w:rsidR="00BA2C7C" w:rsidRDefault="003F55E0" w:rsidP="003F55E0">
      <w:pPr>
        <w:jc w:val="right"/>
      </w:pPr>
      <w:r>
        <w:t>„Požiadavky na kvalitu výstavby ciest“</w:t>
      </w:r>
    </w:p>
    <w:p w14:paraId="421E8DE4" w14:textId="77777777" w:rsidR="00BA2C7C" w:rsidRDefault="003F55E0" w:rsidP="003F55E0">
      <w:pPr>
        <w:jc w:val="right"/>
      </w:pPr>
      <w:r>
        <w:t>Príloha 12</w:t>
      </w:r>
    </w:p>
    <w:p w14:paraId="46A4C2ED" w14:textId="6D49C52F" w:rsidR="003F55E0" w:rsidRPr="003F55E0" w:rsidRDefault="003F55E0" w:rsidP="003F55E0">
      <w:pPr>
        <w:jc w:val="right"/>
      </w:pPr>
      <w:r>
        <w:t>(v znení zmien)</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Príloha 12</w:t>
      </w:r>
    </w:p>
    <w:p w14:paraId="5B4AE7F9" w14:textId="0AFB3A36" w:rsidR="003F55E0" w:rsidRPr="003F55E0" w:rsidRDefault="003F55E0" w:rsidP="003F55E0">
      <w:pPr>
        <w:jc w:val="center"/>
        <w:rPr>
          <w:b/>
          <w:bCs/>
        </w:rPr>
      </w:pPr>
      <w:r>
        <w:rPr>
          <w:b/>
        </w:rPr>
        <w:t>MINIMÁLNE POŽIADAVKY NA KAMENIVO POUŽÍVANÉ NA POVRCHOVÚ ÚPRAVU</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Vlastnosť</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 h*</w:t>
            </w:r>
          </w:p>
        </w:tc>
        <w:tc>
          <w:tcPr>
            <w:tcW w:w="1701" w:type="dxa"/>
          </w:tcPr>
          <w:p w14:paraId="03929253" w14:textId="77777777" w:rsidR="003F55E0" w:rsidRPr="003F55E0" w:rsidRDefault="003F55E0" w:rsidP="003F55E0">
            <w:pPr>
              <w:jc w:val="center"/>
              <w:rPr>
                <w:b/>
              </w:rPr>
            </w:pPr>
            <w:r>
              <w:rPr>
                <w:b/>
              </w:rPr>
              <w:t xml:space="preserve">R2, R3 500 </w:t>
            </w:r>
            <w:r>
              <w:t>–</w:t>
            </w:r>
            <w:r>
              <w:rPr>
                <w:b/>
              </w:rPr>
              <w:t xml:space="preserve"> 2 500</w:t>
            </w:r>
          </w:p>
          <w:p w14:paraId="29041ECB" w14:textId="77777777" w:rsidR="003F55E0" w:rsidRPr="003F55E0" w:rsidRDefault="003F55E0" w:rsidP="003F55E0">
            <w:pPr>
              <w:jc w:val="center"/>
              <w:rPr>
                <w:b/>
              </w:rPr>
            </w:pPr>
            <w:r>
              <w:rPr>
                <w:b/>
              </w:rPr>
              <w:t>a/24 h*</w:t>
            </w:r>
          </w:p>
        </w:tc>
        <w:tc>
          <w:tcPr>
            <w:tcW w:w="1559" w:type="dxa"/>
          </w:tcPr>
          <w:p w14:paraId="1E1E24C5" w14:textId="77777777" w:rsidR="003F55E0" w:rsidRPr="003F55E0" w:rsidRDefault="003F55E0" w:rsidP="003F55E0">
            <w:pPr>
              <w:jc w:val="center"/>
              <w:rPr>
                <w:b/>
              </w:rPr>
            </w:pPr>
            <w:r>
              <w:rPr>
                <w:b/>
              </w:rPr>
              <w:t>R4 2 501 – 8 000</w:t>
            </w:r>
          </w:p>
          <w:p w14:paraId="057556F0" w14:textId="77777777" w:rsidR="003F55E0" w:rsidRPr="003F55E0" w:rsidRDefault="003F55E0" w:rsidP="003F55E0">
            <w:pPr>
              <w:jc w:val="center"/>
              <w:rPr>
                <w:b/>
              </w:rPr>
            </w:pPr>
            <w:r>
              <w:rPr>
                <w:b/>
              </w:rPr>
              <w:t>a/24 h*</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8 000</w:t>
            </w:r>
          </w:p>
          <w:p w14:paraId="4D12AF95" w14:textId="77777777" w:rsidR="003F55E0" w:rsidRPr="003F55E0" w:rsidRDefault="003F55E0" w:rsidP="003F55E0">
            <w:pPr>
              <w:jc w:val="center"/>
              <w:rPr>
                <w:b/>
              </w:rPr>
            </w:pPr>
            <w:r>
              <w:rPr>
                <w:b/>
              </w:rPr>
              <w:t>a/24 h*</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Skúšobná norma</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Zrnitosť</w:t>
            </w:r>
          </w:p>
        </w:tc>
        <w:tc>
          <w:tcPr>
            <w:tcW w:w="1559" w:type="dxa"/>
          </w:tcPr>
          <w:p w14:paraId="79ABB51C" w14:textId="77777777" w:rsidR="003F55E0" w:rsidRPr="003F55E0" w:rsidRDefault="003F55E0" w:rsidP="003F55E0">
            <w:pPr>
              <w:jc w:val="center"/>
            </w:pPr>
            <w:r>
              <w:t>Kategória</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Petrografický opis</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Určené</w:t>
            </w:r>
          </w:p>
        </w:tc>
        <w:tc>
          <w:tcPr>
            <w:tcW w:w="1701" w:type="dxa"/>
          </w:tcPr>
          <w:p w14:paraId="5029359B" w14:textId="77777777" w:rsidR="003F55E0" w:rsidRPr="003F55E0" w:rsidRDefault="003F55E0" w:rsidP="003F55E0">
            <w:pPr>
              <w:jc w:val="center"/>
            </w:pPr>
            <w:r>
              <w:t>Určené</w:t>
            </w:r>
          </w:p>
        </w:tc>
        <w:tc>
          <w:tcPr>
            <w:tcW w:w="1559" w:type="dxa"/>
          </w:tcPr>
          <w:p w14:paraId="57FA6542" w14:textId="77777777" w:rsidR="003F55E0" w:rsidRPr="003F55E0" w:rsidRDefault="003F55E0" w:rsidP="003F55E0">
            <w:pPr>
              <w:jc w:val="center"/>
            </w:pPr>
            <w:r>
              <w:t>Určené</w:t>
            </w:r>
          </w:p>
        </w:tc>
        <w:tc>
          <w:tcPr>
            <w:tcW w:w="1701" w:type="dxa"/>
          </w:tcPr>
          <w:p w14:paraId="3C0B68AC" w14:textId="77777777" w:rsidR="003F55E0" w:rsidRPr="003F55E0" w:rsidRDefault="003F55E0" w:rsidP="003F55E0">
            <w:pPr>
              <w:jc w:val="center"/>
            </w:pPr>
            <w:r>
              <w:t>Určené</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Odolnosť proti drobeniu</w:t>
            </w:r>
          </w:p>
        </w:tc>
        <w:tc>
          <w:tcPr>
            <w:tcW w:w="1559" w:type="dxa"/>
          </w:tcPr>
          <w:p w14:paraId="7A5AE211" w14:textId="77777777" w:rsidR="003F55E0" w:rsidRPr="003F55E0" w:rsidRDefault="003F55E0" w:rsidP="003F55E0">
            <w:pPr>
              <w:jc w:val="center"/>
            </w:pPr>
            <w:r>
              <w:t>Kategória</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Odolnosť proti oderu</w:t>
            </w:r>
          </w:p>
        </w:tc>
        <w:tc>
          <w:tcPr>
            <w:tcW w:w="1559" w:type="dxa"/>
          </w:tcPr>
          <w:p w14:paraId="00E5A80D" w14:textId="77777777" w:rsidR="003F55E0" w:rsidRPr="003F55E0" w:rsidRDefault="003F55E0" w:rsidP="003F55E0">
            <w:pPr>
              <w:jc w:val="center"/>
            </w:pPr>
            <w:r>
              <w:t>Kategória</w:t>
            </w:r>
          </w:p>
        </w:tc>
        <w:tc>
          <w:tcPr>
            <w:tcW w:w="1843" w:type="dxa"/>
          </w:tcPr>
          <w:p w14:paraId="056CAE21" w14:textId="77777777" w:rsidR="003F55E0" w:rsidRPr="003F55E0" w:rsidRDefault="003F55E0" w:rsidP="003F55E0">
            <w:pPr>
              <w:jc w:val="center"/>
            </w:pPr>
            <w:r>
              <w:t>NR</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Mrazuvzdornosť v 1 % roztoku NaCl</w:t>
            </w:r>
          </w:p>
        </w:tc>
        <w:tc>
          <w:tcPr>
            <w:tcW w:w="1559" w:type="dxa"/>
          </w:tcPr>
          <w:p w14:paraId="143F5858" w14:textId="77777777" w:rsidR="003F55E0" w:rsidRPr="003F55E0" w:rsidRDefault="003F55E0" w:rsidP="003F55E0">
            <w:pPr>
              <w:jc w:val="center"/>
            </w:pPr>
            <w:r>
              <w:t>Kategória</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Index odlupovania</w:t>
            </w:r>
          </w:p>
        </w:tc>
        <w:tc>
          <w:tcPr>
            <w:tcW w:w="1559" w:type="dxa"/>
          </w:tcPr>
          <w:p w14:paraId="7A0FCAB8" w14:textId="77777777" w:rsidR="003F55E0" w:rsidRPr="003F55E0" w:rsidRDefault="003F55E0" w:rsidP="003F55E0">
            <w:pPr>
              <w:jc w:val="center"/>
            </w:pPr>
            <w:r>
              <w:t>Kategória</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Priľnavosť pomocou bitúmenového spojiva pri metóde nárazu**</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Priľnavosť pri metóde gúľajúcej sa fľaše po 24 hodinách**</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Obsah jemných častíc</w:t>
            </w:r>
          </w:p>
        </w:tc>
        <w:tc>
          <w:tcPr>
            <w:tcW w:w="1559" w:type="dxa"/>
          </w:tcPr>
          <w:p w14:paraId="1C94A8B5" w14:textId="77777777" w:rsidR="003F55E0" w:rsidRPr="003F55E0" w:rsidRDefault="003F55E0" w:rsidP="003F55E0">
            <w:pPr>
              <w:jc w:val="center"/>
            </w:pPr>
            <w:r>
              <w:t>Kategória</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dostupný prepravný objem;</w:t>
      </w:r>
    </w:p>
    <w:p w14:paraId="00291473" w14:textId="77777777" w:rsidR="003F55E0" w:rsidRPr="003F55E0" w:rsidRDefault="003F55E0" w:rsidP="003F55E0">
      <w:r>
        <w:t>** – na preukázanie priľnavosti sa vyberie jedna z dvoch metód podľa použitého spojiva. Ak sa povrchová úprava vykonáva pomocou bitúmenovej emulzie, priľnavosť sa posúdi podľa normy EVS-EN 12272-3, a ak sa použije bitúmen, použije sa norma EVS-EN 12697-11;</w:t>
      </w:r>
    </w:p>
    <w:p w14:paraId="55E1D9F1" w14:textId="56B58005" w:rsidR="001B7672" w:rsidRDefault="003F55E0" w:rsidP="00683D28">
      <w:r>
        <w:t>NR – neregulované.</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026F"/>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4CBD"/>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833B1"/>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(Registračné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BA6EB7"/>
    <w:rsid w:val="00E777A7"/>
    <w:rsid w:val="00F34CBD"/>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98B7FAEE-E3D3-40B6-8C86-D029D4B48031}">
  <ds:schemaRefs>
    <ds:schemaRef ds:uri="http://purl.org/dc/terms/"/>
    <ds:schemaRef ds:uri="609eabb9-0856-44a7-8264-14370f27e90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3.xml><?xml version="1.0" encoding="utf-8"?>
<ds:datastoreItem xmlns:ds="http://schemas.openxmlformats.org/officeDocument/2006/customXml" ds:itemID="{FBEFA6A8-2F5B-422F-A4E4-B3E8446A16CA}">
  <ds:schemaRefs>
    <ds:schemaRef ds:uri="http://schemas.microsoft.com/sharepoint/v3/contenttype/forms"/>
  </ds:schemaRefs>
</ds:datastoreItem>
</file>

<file path=customXml/itemProps4.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3648</Words>
  <Characters>20796</Characters>
  <Application>Microsoft Office Word</Application>
  <DocSecurity>0</DocSecurity>
  <Lines>173</Lines>
  <Paragraphs>48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