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44AE" w:rsidR="003657BF" w:rsidRDefault="003657BF" w14:paraId="16A1CF9B" w14:textId="244937DB">
      <w:pPr>
        <w:pStyle w:val="VorblattDokumentstatus"/>
      </w:pPr>
      <w:bookmarkStart w:name="ENORM_STATUS_VORBL" w:id="0"/>
      <w:r w:rsidRPr="005C44AE">
        <w:t>Verordnung</w:t>
      </w:r>
      <w:bookmarkEnd w:id="0"/>
      <w:r w:rsidR="00BA7A30">
        <w:t>sentwurf</w:t>
      </w:r>
    </w:p>
    <w:p w:rsidRPr="005C44AE" w:rsidR="003657BF" w:rsidRDefault="003657BF" w14:paraId="58A63A8F" w14:textId="77777777">
      <w:pPr>
        <w:pStyle w:val="Initiant"/>
      </w:pPr>
      <w:bookmarkStart w:name="ENORM_INITIANTEN" w:id="1"/>
      <w:r w:rsidRPr="005C44AE">
        <w:t>des Bundesministeriums für Gesundheit</w:t>
      </w:r>
      <w:bookmarkEnd w:id="1"/>
    </w:p>
    <w:p w:rsidRPr="005C44AE" w:rsidR="003657BF" w:rsidRDefault="00C6482C" w14:paraId="7C216433" w14:textId="223FFD3C">
      <w:pPr>
        <w:pStyle w:val="VorblattBezeichnung"/>
      </w:pPr>
      <w:r>
        <w:t>Vier</w:t>
      </w:r>
      <w:r w:rsidR="008C17D3">
        <w:t>undzwanzigste</w:t>
      </w:r>
      <w:r w:rsidRPr="00F25498" w:rsidR="00E17168">
        <w:t xml:space="preserve"> </w:t>
      </w:r>
      <w:r w:rsidRPr="00F25498" w:rsidR="00722C5E">
        <w:t>Verordnung zur Änderun</w:t>
      </w:r>
      <w:r w:rsidRPr="00F25498" w:rsidR="004A678D">
        <w:t xml:space="preserve">g </w:t>
      </w:r>
      <w:r w:rsidR="00444EA7">
        <w:t>von</w:t>
      </w:r>
      <w:r w:rsidRPr="00F25498" w:rsidR="00F25498">
        <w:t xml:space="preserve"> Anlagen des Betäubungsmittelgesetzes</w:t>
      </w:r>
    </w:p>
    <w:p w:rsidRPr="005C44AE" w:rsidR="003657BF" w:rsidRDefault="003657BF" w14:paraId="280DFA15" w14:textId="77777777">
      <w:pPr>
        <w:pStyle w:val="VorblattTitelProblemundZiel"/>
      </w:pPr>
      <w:r w:rsidRPr="005C44AE">
        <w:t>A. Problem und Ziel</w:t>
      </w:r>
    </w:p>
    <w:p w:rsidRPr="003F0CD9" w:rsidR="00245927" w:rsidP="00722C5E" w:rsidRDefault="00161CAB" w14:paraId="0948E66E" w14:textId="528E6B59">
      <w:pPr>
        <w:pStyle w:val="Text"/>
      </w:pPr>
      <w:r w:rsidRPr="003F0CD9">
        <w:t xml:space="preserve">Am </w:t>
      </w:r>
      <w:r w:rsidRPr="003F0CD9" w:rsidR="00A16F20">
        <w:t>1</w:t>
      </w:r>
      <w:r w:rsidRPr="003F0CD9" w:rsidR="00245927">
        <w:t>9</w:t>
      </w:r>
      <w:r w:rsidRPr="003F0CD9">
        <w:t>. März 202</w:t>
      </w:r>
      <w:r w:rsidRPr="003F0CD9" w:rsidR="00245927">
        <w:t>4</w:t>
      </w:r>
      <w:r w:rsidRPr="003F0CD9">
        <w:t xml:space="preserve"> wurde in der 6</w:t>
      </w:r>
      <w:r w:rsidRPr="003F0CD9" w:rsidR="00245927">
        <w:t>7</w:t>
      </w:r>
      <w:r w:rsidRPr="003F0CD9">
        <w:t>. Sitzung der Suchtstoffkommission der Vereinten Nationen (Commission on Narcotic Drugs)</w:t>
      </w:r>
      <w:r w:rsidRPr="003F0CD9" w:rsidR="00245927">
        <w:t xml:space="preserve"> </w:t>
      </w:r>
      <w:r w:rsidR="0064020B">
        <w:t xml:space="preserve">beschlossen, </w:t>
      </w:r>
      <w:r w:rsidRPr="00126074" w:rsidR="00245927">
        <w:t xml:space="preserve">Butonitazen in den Anhang I </w:t>
      </w:r>
      <w:r w:rsidRPr="003F0CD9" w:rsidR="00245927">
        <w:t>des Einheits-Übereinkommens von 1961 über Suchtstoffe auf</w:t>
      </w:r>
      <w:r w:rsidR="0064020B">
        <w:t>zunehm</w:t>
      </w:r>
      <w:r w:rsidRPr="003F0CD9" w:rsidR="00245927">
        <w:t>en</w:t>
      </w:r>
      <w:r w:rsidRPr="00126074" w:rsidR="00245927">
        <w:t xml:space="preserve">. </w:t>
      </w:r>
      <w:r w:rsidRPr="00126074" w:rsidR="00481914">
        <w:t>Darüber hinaus werden i</w:t>
      </w:r>
      <w:r w:rsidRPr="00126074" w:rsidR="00245927">
        <w:t xml:space="preserve">n den Anhang II des Übereinkommens </w:t>
      </w:r>
      <w:r w:rsidRPr="003F0CD9" w:rsidR="00245927">
        <w:t xml:space="preserve">von 1971 über psychotrope Stoffe </w:t>
      </w:r>
      <w:r w:rsidRPr="00126074" w:rsidR="00245927">
        <w:t xml:space="preserve">3-CMC, Dipentylon, 2-Fluordeschloroketamin und in den Anhang IV des Übereinkommens über psychotrope Stoffe Bromazolam aufgenommen. </w:t>
      </w:r>
    </w:p>
    <w:p w:rsidRPr="003F0CD9" w:rsidR="00F45599" w:rsidP="00722C5E" w:rsidRDefault="00161CAB" w14:paraId="788A3CCA" w14:textId="64023AE0">
      <w:pPr>
        <w:pStyle w:val="Text"/>
      </w:pPr>
      <w:r w:rsidRPr="003F0CD9">
        <w:t>Ziel</w:t>
      </w:r>
      <w:r w:rsidRPr="003F0CD9" w:rsidR="004A678D">
        <w:t xml:space="preserve"> </w:t>
      </w:r>
      <w:r w:rsidRPr="003F0CD9">
        <w:t xml:space="preserve">dieser Verordnung ist es, </w:t>
      </w:r>
      <w:r w:rsidRPr="003F0CD9" w:rsidR="00722C5E">
        <w:t>au</w:t>
      </w:r>
      <w:r w:rsidRPr="003F0CD9" w:rsidR="004A678D">
        <w:t>f Grundlage von</w:t>
      </w:r>
      <w:r w:rsidRPr="003F0CD9" w:rsidR="00722C5E">
        <w:t xml:space="preserve"> § 1 Absatz 4 </w:t>
      </w:r>
      <w:r w:rsidRPr="003F0CD9" w:rsidR="000C5A3C">
        <w:t>des Betäubungs</w:t>
      </w:r>
      <w:r w:rsidRPr="003F0CD9" w:rsidR="00A73AF7">
        <w:softHyphen/>
      </w:r>
      <w:r w:rsidRPr="003F0CD9" w:rsidR="000C5A3C">
        <w:t>mittelgesetzes (</w:t>
      </w:r>
      <w:r w:rsidRPr="003F0CD9" w:rsidR="004A678D">
        <w:t>BtMG</w:t>
      </w:r>
      <w:r w:rsidRPr="003F0CD9" w:rsidR="000C5A3C">
        <w:t>)</w:t>
      </w:r>
      <w:r w:rsidRPr="003F0CD9" w:rsidR="00D2087E">
        <w:t xml:space="preserve"> </w:t>
      </w:r>
      <w:r w:rsidRPr="003F0CD9" w:rsidR="00245927">
        <w:t>vier</w:t>
      </w:r>
      <w:r w:rsidRPr="003F0CD9" w:rsidR="007A4AD2">
        <w:t xml:space="preserve"> dieser </w:t>
      </w:r>
      <w:r w:rsidRPr="003F0CD9" w:rsidR="00722C5E">
        <w:t>NPS</w:t>
      </w:r>
      <w:r w:rsidRPr="003F0CD9" w:rsidR="00CB5655">
        <w:t>, die noch nicht dem BtMG unterstellt sind,</w:t>
      </w:r>
      <w:r w:rsidRPr="003F0CD9" w:rsidR="00722C5E">
        <w:t xml:space="preserve"> in Anlage II des BtMG auf</w:t>
      </w:r>
      <w:r w:rsidRPr="003F0CD9">
        <w:t>zunehmen</w:t>
      </w:r>
      <w:r w:rsidRPr="003F0CD9" w:rsidR="007A4AD2">
        <w:t>.</w:t>
      </w:r>
      <w:r w:rsidRPr="00126074" w:rsidR="00992148">
        <w:t xml:space="preserve"> 3-CMC ist bereits in der Anlage II des BtMG unterstellt und muss daher in dieser Verordnung nicht mehr berücksichtigt werden.</w:t>
      </w:r>
    </w:p>
    <w:p w:rsidRPr="003F0CD9" w:rsidR="003657BF" w:rsidP="00C82871" w:rsidRDefault="007718CC" w14:paraId="5FC464EF" w14:textId="20E964FF">
      <w:pPr>
        <w:pStyle w:val="VorblattTitelLsung"/>
      </w:pPr>
      <w:r w:rsidRPr="003F0CD9">
        <w:t>B</w:t>
      </w:r>
      <w:r w:rsidRPr="003F0CD9" w:rsidR="003657BF">
        <w:t>. Lösung</w:t>
      </w:r>
    </w:p>
    <w:p w:rsidRPr="003F0CD9" w:rsidR="00161CAB" w:rsidP="00176319" w:rsidRDefault="00C0634E" w14:paraId="0C610868" w14:textId="7CAFF184">
      <w:r w:rsidRPr="003F0CD9">
        <w:t xml:space="preserve">Auf der Grundlage von § 1 Absatz 4 </w:t>
      </w:r>
      <w:r w:rsidRPr="003F0CD9" w:rsidR="000C5A3C">
        <w:t>BtMG</w:t>
      </w:r>
      <w:r w:rsidRPr="003F0CD9">
        <w:t xml:space="preserve"> werden die </w:t>
      </w:r>
      <w:r w:rsidRPr="003F0CD9" w:rsidR="007F01E0">
        <w:t>vier</w:t>
      </w:r>
      <w:r w:rsidRPr="003F0CD9" w:rsidR="00176319">
        <w:t xml:space="preserve"> </w:t>
      </w:r>
      <w:r w:rsidRPr="003F0CD9" w:rsidR="00F25498">
        <w:t>NPS</w:t>
      </w:r>
      <w:r w:rsidRPr="003F0CD9" w:rsidR="00176319">
        <w:t xml:space="preserve"> </w:t>
      </w:r>
      <w:r w:rsidRPr="003F0CD9" w:rsidR="005267F5">
        <w:rPr>
          <w:vanish/>
        </w:rPr>
        <w:t>Butonitazen, Dipentylon, 2-</w:t>
      </w:r>
      <w:r w:rsidRPr="00972739" w:rsidR="005267F5">
        <w:t>Fluordeschloroketamin und Bromazolam</w:t>
      </w:r>
      <w:r w:rsidRPr="003F0CD9" w:rsidR="00176319">
        <w:t xml:space="preserve">, </w:t>
      </w:r>
      <w:r w:rsidRPr="003F0CD9">
        <w:t>in Anlage II des BtMG aufge</w:t>
      </w:r>
      <w:r w:rsidRPr="003F0CD9" w:rsidR="00A16F20">
        <w:softHyphen/>
      </w:r>
      <w:r w:rsidRPr="003F0CD9">
        <w:t xml:space="preserve">nommen. </w:t>
      </w:r>
      <w:r w:rsidRPr="003F0CD9" w:rsidR="00161CAB">
        <w:t>Mit d</w:t>
      </w:r>
      <w:r w:rsidRPr="003F0CD9">
        <w:t>ies</w:t>
      </w:r>
      <w:r w:rsidRPr="003F0CD9" w:rsidR="00CD430F">
        <w:t>er</w:t>
      </w:r>
      <w:r w:rsidRPr="003F0CD9" w:rsidR="00161CAB">
        <w:t xml:space="preserve"> Aufnahme entspricht die Bundesrepublik Deutschland ihren völkervertrags</w:t>
      </w:r>
      <w:r w:rsidRPr="003F0CD9" w:rsidR="006C58B7">
        <w:softHyphen/>
      </w:r>
      <w:r w:rsidRPr="003F0CD9" w:rsidR="00161CAB">
        <w:t>rechtlichen Verpflichtungen zur Umsetzung geänderter völkerrechtlicher Vorgaben in nationales Recht</w:t>
      </w:r>
      <w:r w:rsidRPr="003F0CD9" w:rsidR="00176319">
        <w:t>.</w:t>
      </w:r>
    </w:p>
    <w:p w:rsidRPr="003F0CD9" w:rsidR="00161CAB" w:rsidP="00161CAB" w:rsidRDefault="00C0634E" w14:paraId="018C409F" w14:textId="7F66B441">
      <w:pPr>
        <w:pStyle w:val="Text"/>
      </w:pPr>
      <w:r w:rsidRPr="003F0CD9">
        <w:t>Mit der Aufnahme</w:t>
      </w:r>
      <w:r w:rsidRPr="003F0CD9" w:rsidR="00161CAB">
        <w:t xml:space="preserve"> </w:t>
      </w:r>
      <w:r w:rsidRPr="003F0CD9" w:rsidR="000A6CA1">
        <w:t xml:space="preserve">sollen </w:t>
      </w:r>
      <w:r w:rsidRPr="003F0CD9" w:rsidR="00161CAB">
        <w:t>zum Schutz der Gesundheit des Einzelnen und der Bevölkerung die Verbreitung und der Missbrauch dieser gesundheitsgefährdenden synthetischen Stof</w:t>
      </w:r>
      <w:r w:rsidRPr="003F0CD9" w:rsidR="001639A8">
        <w:t>fe eingedämmt und</w:t>
      </w:r>
      <w:r w:rsidRPr="003F0CD9" w:rsidR="00161CAB">
        <w:t xml:space="preserve"> die Strafverfolgung erleichtert werden.</w:t>
      </w:r>
    </w:p>
    <w:p w:rsidRPr="003F0CD9" w:rsidR="003657BF" w:rsidRDefault="007718CC" w14:paraId="4D6D4E17" w14:textId="77777777">
      <w:pPr>
        <w:pStyle w:val="VorblattTitelAlternativen"/>
      </w:pPr>
      <w:r w:rsidRPr="003F0CD9">
        <w:t>C</w:t>
      </w:r>
      <w:r w:rsidRPr="003F0CD9" w:rsidR="003657BF">
        <w:t>. Alternativen</w:t>
      </w:r>
    </w:p>
    <w:p w:rsidRPr="003F0CD9" w:rsidR="003657BF" w:rsidP="008C6F8D" w:rsidRDefault="00546991" w14:paraId="75599694" w14:textId="77777777">
      <w:pPr>
        <w:pStyle w:val="Text"/>
      </w:pPr>
      <w:r w:rsidRPr="003F0CD9">
        <w:t>Zu der Änderung von Anlage II des BtMG besteht keine Alternative.</w:t>
      </w:r>
    </w:p>
    <w:p w:rsidRPr="003F0CD9" w:rsidR="003657BF" w:rsidP="008C6F8D" w:rsidRDefault="007718CC" w14:paraId="5E9FB327" w14:textId="77777777">
      <w:pPr>
        <w:pStyle w:val="VorblattTitelHaushaltsausgabenohneErfllungsaufwand"/>
      </w:pPr>
      <w:r w:rsidRPr="003F0CD9">
        <w:t>D</w:t>
      </w:r>
      <w:r w:rsidRPr="003F0CD9" w:rsidR="003657BF">
        <w:t>. Haushaltsausgaben ohne Erfüllungsaufwand</w:t>
      </w:r>
    </w:p>
    <w:p w:rsidRPr="003F0CD9" w:rsidR="003743F8" w:rsidP="003743F8" w:rsidRDefault="001E5752" w14:paraId="78E7DB36" w14:textId="66C2B22C">
      <w:pPr>
        <w:pStyle w:val="Text"/>
      </w:pPr>
      <w:r w:rsidRPr="003F0CD9">
        <w:t>Etwaige Mehrbedarfe des Bundes an Sach- und Personalmitteln</w:t>
      </w:r>
      <w:r w:rsidRPr="003F0CD9" w:rsidR="001C2877">
        <w:t xml:space="preserve"> infolge der Änderung von Anlage II des BtMG</w:t>
      </w:r>
      <w:r w:rsidRPr="003F0CD9">
        <w:t xml:space="preserve"> sind finanziell und stellenmäßig im jeweiligen Einzelplan auszugleichen.</w:t>
      </w:r>
    </w:p>
    <w:p w:rsidRPr="003F0CD9" w:rsidR="003657BF" w:rsidP="008C6F8D" w:rsidRDefault="007718CC" w14:paraId="71D1A2FF" w14:textId="77777777">
      <w:pPr>
        <w:pStyle w:val="VorblattTitelErfllungsaufwand"/>
      </w:pPr>
      <w:r w:rsidRPr="003F0CD9">
        <w:t>E</w:t>
      </w:r>
      <w:r w:rsidRPr="003F0CD9" w:rsidR="003657BF">
        <w:t>. Erfüllungsaufwand</w:t>
      </w:r>
    </w:p>
    <w:p w:rsidRPr="003F0CD9" w:rsidR="003657BF" w:rsidP="008C6F8D" w:rsidRDefault="007718CC" w14:paraId="1266FE8F" w14:textId="77777777">
      <w:pPr>
        <w:pStyle w:val="VorblattTitelErfllungsaufwandBrgerinnenundBrger"/>
      </w:pPr>
      <w:r w:rsidRPr="003F0CD9">
        <w:t>E</w:t>
      </w:r>
      <w:r w:rsidRPr="003F0CD9" w:rsidR="003657BF">
        <w:t>.1 Erfüllungsaufwand für Bürgerinnen und Bürger</w:t>
      </w:r>
    </w:p>
    <w:p w:rsidRPr="003F0CD9" w:rsidR="003657BF" w:rsidP="008C6F8D" w:rsidRDefault="00722C5E" w14:paraId="14407969" w14:textId="77777777">
      <w:pPr>
        <w:pStyle w:val="Text"/>
      </w:pPr>
      <w:r w:rsidRPr="003F0CD9">
        <w:t>Für Bürgerinnen und Bürger entsteht kein zusätzlicher Erfüllungsaufwand.</w:t>
      </w:r>
    </w:p>
    <w:p w:rsidRPr="003F0CD9" w:rsidR="003657BF" w:rsidP="008C6F8D" w:rsidRDefault="003657BF" w14:paraId="087E733C" w14:textId="77777777">
      <w:pPr>
        <w:pStyle w:val="VorblattTitelErfllungsaufwandWirtschaft"/>
      </w:pPr>
      <w:r w:rsidRPr="003F0CD9">
        <w:lastRenderedPageBreak/>
        <w:t>E.2 Erfüllungsaufwand für die Wirtschaft</w:t>
      </w:r>
    </w:p>
    <w:p w:rsidRPr="003F0CD9" w:rsidR="003657BF" w:rsidP="008C6F8D" w:rsidRDefault="00176319" w14:paraId="76178036" w14:textId="3F5D1323">
      <w:pPr>
        <w:pStyle w:val="Text"/>
      </w:pPr>
      <w:r w:rsidRPr="003F0CD9">
        <w:t>Für die Wirtschaft entsteht kein zusätzlicher Erfüllungsaufwand.</w:t>
      </w:r>
    </w:p>
    <w:p w:rsidRPr="003F0CD9" w:rsidR="003657BF" w:rsidP="00B0411E" w:rsidRDefault="003657BF" w14:paraId="7E9E9964" w14:textId="77777777">
      <w:pPr>
        <w:pStyle w:val="VorblattTitelErfllungsaufwandVerwaltung"/>
        <w:tabs>
          <w:tab w:val="left" w:pos="6263"/>
        </w:tabs>
      </w:pPr>
      <w:r w:rsidRPr="003F0CD9">
        <w:t>E.3 Erfüllungsaufwand der Verwaltung</w:t>
      </w:r>
    </w:p>
    <w:p w:rsidRPr="003F0CD9" w:rsidR="00722C5E" w:rsidP="00722C5E" w:rsidRDefault="009837A0" w14:paraId="41E47A89" w14:textId="37616839">
      <w:pPr>
        <w:pStyle w:val="Text"/>
      </w:pPr>
      <w:r w:rsidRPr="003F0CD9">
        <w:t>Für die Verwaltung entsteht kein zusätzlicher Erfüllungsaufwand</w:t>
      </w:r>
      <w:r w:rsidRPr="003F0CD9">
        <w:rPr>
          <w:sz w:val="28"/>
          <w:szCs w:val="28"/>
          <w:shd w:val="clear" w:color="auto" w:fill="FFFFFF"/>
        </w:rPr>
        <w:t xml:space="preserve">. </w:t>
      </w:r>
    </w:p>
    <w:p w:rsidRPr="003F0CD9" w:rsidR="003657BF" w:rsidP="008C6F8D" w:rsidRDefault="003657BF" w14:paraId="041887BC" w14:textId="77777777">
      <w:pPr>
        <w:pStyle w:val="VorblattTitelWeitereKosten"/>
      </w:pPr>
      <w:r w:rsidRPr="003F0CD9">
        <w:t>F. Weitere Kosten</w:t>
      </w:r>
    </w:p>
    <w:p w:rsidRPr="00B959B8" w:rsidR="003657BF" w:rsidP="003657BF" w:rsidRDefault="00722C5E" w14:paraId="3C1BF63D" w14:textId="77777777">
      <w:pPr>
        <w:pStyle w:val="Text"/>
      </w:pPr>
      <w:r w:rsidRPr="003F0CD9">
        <w:t>Keine.</w:t>
      </w:r>
    </w:p>
    <w:p w:rsidRPr="009E5B8D" w:rsidR="003657BF" w:rsidP="003657BF" w:rsidRDefault="003657BF" w14:paraId="17C24BD1" w14:textId="77777777">
      <w:pPr>
        <w:rPr>
          <w:highlight w:val="yellow"/>
        </w:rPr>
        <w:sectPr w:rsidRPr="009E5B8D" w:rsidR="003657BF" w:rsidSect="005F0C3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701" w:header="709" w:footer="709" w:gutter="0"/>
          <w:pgNumType w:start="1"/>
          <w:cols w:space="708"/>
          <w:titlePg/>
          <w:docGrid w:linePitch="360"/>
        </w:sectPr>
      </w:pPr>
    </w:p>
    <w:p w:rsidRPr="00B959B8" w:rsidR="003657BF" w:rsidP="008C6F8D" w:rsidRDefault="003657BF" w14:paraId="13E3599C" w14:textId="77777777">
      <w:pPr>
        <w:pStyle w:val="Dokumentstatus"/>
      </w:pPr>
      <w:bookmarkStart w:name="ENORM_STATUS_REGL" w:id="2"/>
      <w:r w:rsidRPr="00B959B8">
        <w:lastRenderedPageBreak/>
        <w:t>Verordnung</w:t>
      </w:r>
      <w:bookmarkEnd w:id="2"/>
      <w:r w:rsidR="00BA7A30">
        <w:t>sentwurf</w:t>
      </w:r>
      <w:r w:rsidRPr="00B959B8">
        <w:t xml:space="preserve"> des Bundesministeriums für Gesundheit</w:t>
      </w:r>
    </w:p>
    <w:p w:rsidRPr="00B959B8" w:rsidR="003657BF" w:rsidP="008C6F8D" w:rsidRDefault="005062FA" w14:paraId="13F1707E" w14:textId="28F2453F">
      <w:pPr>
        <w:pStyle w:val="Bezeichnungnderungsdokument"/>
      </w:pPr>
      <w:r>
        <w:t>Vier</w:t>
      </w:r>
      <w:r w:rsidR="008C17D3">
        <w:t xml:space="preserve">undzwanzigste </w:t>
      </w:r>
      <w:r w:rsidR="00040221">
        <w:t>Verordnung zur Änderung</w:t>
      </w:r>
      <w:r w:rsidRPr="00040221" w:rsidR="00040221">
        <w:t xml:space="preserve"> </w:t>
      </w:r>
      <w:r w:rsidR="00444EA7">
        <w:t>von</w:t>
      </w:r>
      <w:r w:rsidR="008C17D3">
        <w:t xml:space="preserve"> Anlagen des Betäubungsmittelgesetzes</w:t>
      </w:r>
      <w:r w:rsidRPr="00A54AA2" w:rsidR="00BB02FD">
        <w:rPr>
          <w:rStyle w:val="Funotenzeichen"/>
        </w:rPr>
        <w:footnoteReference w:customMarkFollows="1" w:id="1"/>
        <w:t>*</w:t>
      </w:r>
    </w:p>
    <w:p w:rsidRPr="00B959B8" w:rsidR="003657BF" w:rsidP="008C6F8D" w:rsidRDefault="003657BF" w14:paraId="30755BCE" w14:textId="77777777">
      <w:pPr>
        <w:pStyle w:val="Ausfertigungsdatumnderungsdokument"/>
      </w:pPr>
      <w:r w:rsidRPr="00B959B8">
        <w:t xml:space="preserve">Vom </w:t>
      </w:r>
      <w:r w:rsidR="00740178">
        <w:t>…</w:t>
      </w:r>
    </w:p>
    <w:p w:rsidRPr="00155F74" w:rsidR="003657BF" w:rsidP="00763B8A" w:rsidRDefault="00763B8A" w14:paraId="214FB2FF" w14:textId="786B7D05">
      <w:pPr>
        <w:pStyle w:val="EingangsformelStandardnderungsdokument"/>
      </w:pPr>
      <w:r w:rsidRPr="00155F74">
        <w:t xml:space="preserve">Auf Grund des § 1 Absatz 4 des </w:t>
      </w:r>
      <w:r w:rsidRPr="007A750A">
        <w:t>Betäubungsmittelgesetzes</w:t>
      </w:r>
      <w:r w:rsidR="00CB5655">
        <w:t>,</w:t>
      </w:r>
      <w:r w:rsidRPr="00155F74" w:rsidR="00EF7D44">
        <w:t xml:space="preserve"> </w:t>
      </w:r>
      <w:r w:rsidR="00CB5655">
        <w:t xml:space="preserve">der </w:t>
      </w:r>
      <w:r w:rsidRPr="00155F74">
        <w:t>zuletzt durch Artikel 8 des Gesetzes vom 9. August 2019 (BGBl. I S. 1202) geändert</w:t>
      </w:r>
      <w:r w:rsidRPr="00155F74" w:rsidR="00EF7D44">
        <w:t xml:space="preserve"> </w:t>
      </w:r>
      <w:r w:rsidRPr="00155F74" w:rsidR="00DB7FBF">
        <w:t>worden ist,</w:t>
      </w:r>
      <w:r w:rsidRPr="00155F74">
        <w:t xml:space="preserve"> verordnet das Bundesministerium für Gesundheit:</w:t>
      </w:r>
    </w:p>
    <w:p w:rsidRPr="00444EA7" w:rsidR="007E7181" w:rsidP="00444EA7" w:rsidRDefault="007E7181" w14:paraId="0992AD38" w14:textId="77777777">
      <w:pPr>
        <w:pStyle w:val="ArtikelBezeichner"/>
        <w:numPr>
          <w:ilvl w:val="0"/>
          <w:numId w:val="1"/>
        </w:numPr>
        <w:jc w:val="both"/>
      </w:pPr>
    </w:p>
    <w:p w:rsidR="007E7181" w:rsidP="007E7181" w:rsidRDefault="007E7181" w14:paraId="720BD203" w14:textId="46AEF6FD">
      <w:pPr>
        <w:pStyle w:val="JuristischerAbsatznichtnummeriert"/>
      </w:pPr>
      <w:r w:rsidRPr="003F0CD9">
        <w:t>In Anlage II des Betäubungsmittelgesetzes in der Fassung der Bekanntmachung vom 1. März 1994 (BGBl</w:t>
      </w:r>
      <w:r w:rsidRPr="003F0CD9" w:rsidR="00E44514">
        <w:t>.</w:t>
      </w:r>
      <w:r w:rsidRPr="003F0CD9">
        <w:t xml:space="preserve"> I S. 358), das zuletzt durch </w:t>
      </w:r>
      <w:r w:rsidRPr="003F0CD9" w:rsidR="00040221">
        <w:t xml:space="preserve">Artikel </w:t>
      </w:r>
      <w:r w:rsidRPr="003F0CD9" w:rsidR="005062FA">
        <w:t>3</w:t>
      </w:r>
      <w:r w:rsidR="00992148">
        <w:t xml:space="preserve"> </w:t>
      </w:r>
      <w:r w:rsidRPr="003F0CD9" w:rsidR="005062FA">
        <w:t>des Gesetzes vom 27.</w:t>
      </w:r>
      <w:r w:rsidR="003F0CD9">
        <w:t xml:space="preserve"> </w:t>
      </w:r>
      <w:r w:rsidRPr="003F0CD9" w:rsidR="005062FA">
        <w:t xml:space="preserve">März 2024 </w:t>
      </w:r>
      <w:r w:rsidRPr="003F0CD9" w:rsidR="00040221">
        <w:t>(</w:t>
      </w:r>
      <w:r w:rsidRPr="003F0CD9" w:rsidR="005062FA">
        <w:t>BGBl.2024 I Nr. 109</w:t>
      </w:r>
      <w:r w:rsidRPr="003F0CD9">
        <w:t>) geändert worden ist, werden die folgenden Positionen jeweils alphabetisch in die bestehende Reihenfolge eingefügt:</w:t>
      </w:r>
    </w:p>
    <w:tbl>
      <w:tblPr>
        <w:tblW w:w="8897" w:type="dxa"/>
        <w:tblLayout w:type="fixed"/>
        <w:tblLook w:val="01E0" w:firstRow="1" w:lastRow="1" w:firstColumn="1" w:lastColumn="1" w:noHBand="0" w:noVBand="0"/>
      </w:tblPr>
      <w:tblGrid>
        <w:gridCol w:w="1708"/>
        <w:gridCol w:w="3304"/>
        <w:gridCol w:w="15"/>
        <w:gridCol w:w="3870"/>
      </w:tblGrid>
      <w:tr w:rsidRPr="003F0CD9" w:rsidR="007E7181" w:rsidTr="00B82E62" w14:paraId="40F9ECB6" w14:textId="77777777">
        <w:trPr>
          <w:trHeight w:val="255"/>
        </w:trPr>
        <w:tc>
          <w:tcPr>
            <w:tcW w:w="1708" w:type="dxa"/>
            <w:tcBorders>
              <w:top w:val="single" w:color="auto" w:sz="4" w:space="0"/>
              <w:left w:val="nil"/>
              <w:bottom w:val="single" w:color="auto" w:sz="4" w:space="0"/>
              <w:right w:val="nil"/>
            </w:tcBorders>
          </w:tcPr>
          <w:p w:rsidRPr="003F0CD9" w:rsidR="007E7181" w:rsidP="00B82E62" w:rsidRDefault="007E7181" w14:paraId="4A84BC18" w14:textId="77777777">
            <w:pPr>
              <w:keepNext/>
              <w:widowControl w:val="0"/>
              <w:tabs>
                <w:tab w:val="left" w:pos="426"/>
                <w:tab w:val="left" w:pos="851"/>
                <w:tab w:val="left" w:pos="1276"/>
                <w:tab w:val="left" w:pos="1701"/>
                <w:tab w:val="left" w:pos="2127"/>
                <w:tab w:val="left" w:pos="2552"/>
                <w:tab w:val="left" w:pos="2977"/>
              </w:tabs>
              <w:snapToGrid w:val="0"/>
              <w:spacing w:line="360" w:lineRule="atLeast"/>
              <w:jc w:val="center"/>
              <w:rPr>
                <w:b/>
              </w:rPr>
            </w:pPr>
            <w:r w:rsidRPr="003F0CD9">
              <w:rPr>
                <w:b/>
              </w:rPr>
              <w:t>INN</w:t>
            </w:r>
          </w:p>
        </w:tc>
        <w:tc>
          <w:tcPr>
            <w:tcW w:w="3304" w:type="dxa"/>
            <w:tcBorders>
              <w:top w:val="single" w:color="auto" w:sz="4" w:space="0"/>
              <w:left w:val="nil"/>
              <w:bottom w:val="single" w:color="auto" w:sz="4" w:space="0"/>
              <w:right w:val="nil"/>
            </w:tcBorders>
          </w:tcPr>
          <w:p w:rsidRPr="003F0CD9" w:rsidR="007E7181" w:rsidP="00B82E62" w:rsidRDefault="007E7181" w14:paraId="6130BA0F" w14:textId="77777777">
            <w:pPr>
              <w:keepNext/>
              <w:widowControl w:val="0"/>
              <w:tabs>
                <w:tab w:val="left" w:pos="426"/>
                <w:tab w:val="left" w:pos="851"/>
                <w:tab w:val="left" w:pos="1276"/>
                <w:tab w:val="left" w:pos="1701"/>
                <w:tab w:val="left" w:pos="2127"/>
                <w:tab w:val="left" w:pos="2552"/>
                <w:tab w:val="left" w:pos="2977"/>
              </w:tabs>
              <w:snapToGrid w:val="0"/>
              <w:jc w:val="center"/>
              <w:rPr>
                <w:b/>
              </w:rPr>
            </w:pPr>
            <w:r w:rsidRPr="003F0CD9">
              <w:rPr>
                <w:b/>
              </w:rPr>
              <w:t xml:space="preserve">andere nicht geschützte </w:t>
            </w:r>
            <w:r w:rsidRPr="003F0CD9">
              <w:rPr>
                <w:b/>
              </w:rPr>
              <w:br/>
              <w:t>oder Trivialnamen</w:t>
            </w:r>
          </w:p>
        </w:tc>
        <w:tc>
          <w:tcPr>
            <w:tcW w:w="3885" w:type="dxa"/>
            <w:gridSpan w:val="2"/>
            <w:tcBorders>
              <w:top w:val="single" w:color="auto" w:sz="4" w:space="0"/>
              <w:left w:val="nil"/>
              <w:bottom w:val="single" w:color="auto" w:sz="4" w:space="0"/>
              <w:right w:val="nil"/>
            </w:tcBorders>
          </w:tcPr>
          <w:p w:rsidRPr="003F0CD9" w:rsidR="007E7181" w:rsidP="00B82E62" w:rsidRDefault="007E7181" w14:paraId="255ECD62" w14:textId="77777777">
            <w:pPr>
              <w:keepNext/>
              <w:widowControl w:val="0"/>
              <w:tabs>
                <w:tab w:val="left" w:pos="426"/>
                <w:tab w:val="left" w:pos="851"/>
                <w:tab w:val="left" w:pos="1276"/>
                <w:tab w:val="left" w:pos="1701"/>
                <w:tab w:val="left" w:pos="2127"/>
                <w:tab w:val="left" w:pos="2552"/>
                <w:tab w:val="left" w:pos="2977"/>
              </w:tabs>
              <w:snapToGrid w:val="0"/>
              <w:jc w:val="center"/>
              <w:rPr>
                <w:b/>
              </w:rPr>
            </w:pPr>
            <w:r w:rsidRPr="003F0CD9">
              <w:rPr>
                <w:b/>
              </w:rPr>
              <w:t xml:space="preserve">chemische Namen </w:t>
            </w:r>
            <w:r w:rsidRPr="003F0CD9">
              <w:rPr>
                <w:b/>
              </w:rPr>
              <w:br/>
              <w:t>(IUPAC)</w:t>
            </w:r>
          </w:p>
        </w:tc>
      </w:tr>
      <w:tr w:rsidRPr="005F0C3E" w:rsidR="007E7181" w:rsidTr="00B82E62" w14:paraId="5FD7CA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trPr>
        <w:tc>
          <w:tcPr>
            <w:tcW w:w="1708" w:type="dxa"/>
            <w:tcBorders>
              <w:top w:val="nil"/>
              <w:left w:val="nil"/>
              <w:bottom w:val="nil"/>
              <w:right w:val="nil"/>
            </w:tcBorders>
            <w:shd w:val="clear" w:color="auto" w:fill="auto"/>
          </w:tcPr>
          <w:p w:rsidRPr="003F0CD9" w:rsidR="007E7181" w:rsidP="00B82E62" w:rsidRDefault="007E7181" w14:paraId="4EFAE03A" w14:textId="77777777">
            <w:pPr>
              <w:keepNext/>
              <w:widowControl w:val="0"/>
              <w:tabs>
                <w:tab w:val="left" w:pos="426"/>
                <w:tab w:val="left" w:pos="851"/>
                <w:tab w:val="left" w:pos="1276"/>
                <w:tab w:val="left" w:pos="1701"/>
                <w:tab w:val="left" w:pos="2127"/>
                <w:tab w:val="left" w:pos="2552"/>
                <w:tab w:val="left" w:pos="2977"/>
              </w:tabs>
              <w:snapToGrid w:val="0"/>
              <w:spacing w:line="360" w:lineRule="atLeast"/>
              <w:rPr>
                <w:rFonts w:eastAsia="Times New Roman"/>
                <w:szCs w:val="24"/>
              </w:rPr>
            </w:pPr>
            <w:r w:rsidRPr="003F0CD9">
              <w:rPr>
                <w:rFonts w:eastAsia="Times New Roman"/>
                <w:szCs w:val="24"/>
                <w:lang w:val="en-US"/>
              </w:rPr>
              <w:t xml:space="preserve"> </w:t>
            </w:r>
            <w:r w:rsidRPr="003F0CD9">
              <w:rPr>
                <w:rFonts w:eastAsia="Times New Roman"/>
                <w:szCs w:val="24"/>
              </w:rPr>
              <w:t>„—</w:t>
            </w:r>
          </w:p>
        </w:tc>
        <w:tc>
          <w:tcPr>
            <w:tcW w:w="3319" w:type="dxa"/>
            <w:gridSpan w:val="2"/>
            <w:tcBorders>
              <w:top w:val="nil"/>
              <w:left w:val="nil"/>
              <w:bottom w:val="nil"/>
              <w:right w:val="nil"/>
            </w:tcBorders>
            <w:shd w:val="clear" w:color="auto" w:fill="auto"/>
          </w:tcPr>
          <w:p w:rsidRPr="003F0CD9" w:rsidR="007E7181" w:rsidP="00884749" w:rsidRDefault="003F0CD9" w14:paraId="0978F04F" w14:textId="5EA15C07">
            <w:pPr>
              <w:keepNext/>
              <w:widowControl w:val="0"/>
              <w:tabs>
                <w:tab w:val="left" w:pos="426"/>
                <w:tab w:val="left" w:pos="851"/>
                <w:tab w:val="left" w:pos="1276"/>
                <w:tab w:val="left" w:pos="1701"/>
                <w:tab w:val="left" w:pos="2127"/>
                <w:tab w:val="left" w:pos="2552"/>
                <w:tab w:val="left" w:pos="2977"/>
              </w:tabs>
              <w:suppressAutoHyphens/>
              <w:snapToGrid w:val="0"/>
              <w:jc w:val="left"/>
              <w:rPr>
                <w:lang w:val="en-GB"/>
              </w:rPr>
            </w:pPr>
            <w:r w:rsidRPr="003F0CD9">
              <w:rPr>
                <w:lang w:val="en-GB"/>
              </w:rPr>
              <w:t>Bromazolam</w:t>
            </w:r>
          </w:p>
        </w:tc>
        <w:tc>
          <w:tcPr>
            <w:tcW w:w="3870" w:type="dxa"/>
            <w:tcBorders>
              <w:top w:val="nil"/>
              <w:left w:val="nil"/>
              <w:bottom w:val="nil"/>
              <w:right w:val="nil"/>
            </w:tcBorders>
            <w:shd w:val="clear" w:color="auto" w:fill="auto"/>
          </w:tcPr>
          <w:p w:rsidRPr="003F0CD9" w:rsidR="007E7181" w:rsidP="00B82E62" w:rsidRDefault="003F0CD9" w14:paraId="7FA7B500" w14:textId="2FDE14F6">
            <w:pPr>
              <w:keepNext/>
              <w:suppressAutoHyphens/>
              <w:snapToGrid w:val="0"/>
              <w:jc w:val="left"/>
              <w:rPr>
                <w:lang w:val="en-US"/>
              </w:rPr>
            </w:pPr>
            <w:r w:rsidRPr="003F0CD9">
              <w:rPr>
                <w:lang w:val="en-GB"/>
              </w:rPr>
              <w:t>8-Brom-1-methyl-6-phenyl-4</w:t>
            </w:r>
            <w:r w:rsidRPr="0031570C">
              <w:rPr>
                <w:i/>
                <w:lang w:val="en-GB"/>
              </w:rPr>
              <w:t>H</w:t>
            </w:r>
            <w:r w:rsidRPr="003F0CD9">
              <w:rPr>
                <w:lang w:val="en-GB"/>
              </w:rPr>
              <w:t>-[1,2,4]triazol[4,3-a][1,4]benzodiazepin</w:t>
            </w:r>
          </w:p>
        </w:tc>
      </w:tr>
      <w:tr w:rsidRPr="005F0C3E" w:rsidR="007E7181" w:rsidTr="00B82E62" w14:paraId="2FAEA4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trPr>
        <w:tc>
          <w:tcPr>
            <w:tcW w:w="1708" w:type="dxa"/>
            <w:tcBorders>
              <w:top w:val="nil"/>
              <w:left w:val="nil"/>
              <w:bottom w:val="nil"/>
              <w:right w:val="nil"/>
            </w:tcBorders>
            <w:shd w:val="clear" w:color="auto" w:fill="auto"/>
          </w:tcPr>
          <w:p w:rsidRPr="003F0CD9" w:rsidR="007E7181" w:rsidP="00B82E62" w:rsidRDefault="007E7181" w14:paraId="749168D2" w14:textId="77777777">
            <w:pPr>
              <w:keepNext/>
              <w:widowControl w:val="0"/>
              <w:tabs>
                <w:tab w:val="left" w:pos="426"/>
                <w:tab w:val="left" w:pos="851"/>
                <w:tab w:val="left" w:pos="1276"/>
                <w:tab w:val="left" w:pos="1701"/>
                <w:tab w:val="left" w:pos="2127"/>
                <w:tab w:val="left" w:pos="2552"/>
                <w:tab w:val="left" w:pos="2977"/>
              </w:tabs>
              <w:snapToGrid w:val="0"/>
              <w:spacing w:line="360" w:lineRule="atLeast"/>
              <w:rPr>
                <w:rFonts w:eastAsia="Times New Roman"/>
                <w:szCs w:val="24"/>
                <w:lang w:val="en-US"/>
              </w:rPr>
            </w:pPr>
            <w:r w:rsidRPr="003F0CD9">
              <w:rPr>
                <w:rFonts w:eastAsia="Times New Roman"/>
                <w:szCs w:val="24"/>
                <w:lang w:val="en-US"/>
              </w:rPr>
              <w:t>—</w:t>
            </w:r>
          </w:p>
        </w:tc>
        <w:tc>
          <w:tcPr>
            <w:tcW w:w="3319" w:type="dxa"/>
            <w:gridSpan w:val="2"/>
            <w:tcBorders>
              <w:top w:val="nil"/>
              <w:left w:val="nil"/>
              <w:bottom w:val="nil"/>
              <w:right w:val="nil"/>
            </w:tcBorders>
            <w:shd w:val="clear" w:color="auto" w:fill="auto"/>
          </w:tcPr>
          <w:p w:rsidRPr="003F0CD9" w:rsidR="007E7181" w:rsidP="00B82E62" w:rsidRDefault="003F0CD9" w14:paraId="096F485D" w14:textId="2115827C">
            <w:pPr>
              <w:keepNext/>
              <w:widowControl w:val="0"/>
              <w:tabs>
                <w:tab w:val="left" w:pos="426"/>
                <w:tab w:val="left" w:pos="851"/>
                <w:tab w:val="left" w:pos="1276"/>
                <w:tab w:val="left" w:pos="1701"/>
                <w:tab w:val="left" w:pos="2127"/>
                <w:tab w:val="left" w:pos="2552"/>
                <w:tab w:val="left" w:pos="2977"/>
              </w:tabs>
              <w:suppressAutoHyphens/>
              <w:snapToGrid w:val="0"/>
              <w:jc w:val="left"/>
              <w:rPr>
                <w:rFonts w:eastAsia="Times New Roman"/>
                <w:szCs w:val="24"/>
                <w:lang w:val="en-US"/>
              </w:rPr>
            </w:pPr>
            <w:r w:rsidRPr="003F0CD9">
              <w:t>Butonitazen</w:t>
            </w:r>
            <w:r w:rsidR="003E4BEE">
              <w:t xml:space="preserve"> </w:t>
            </w:r>
            <w:r w:rsidRPr="00F8598D" w:rsidR="003E4BEE">
              <w:rPr>
                <w:lang w:val="en-GB"/>
              </w:rPr>
              <w:t>(Butoxynitazen)</w:t>
            </w:r>
          </w:p>
        </w:tc>
        <w:tc>
          <w:tcPr>
            <w:tcW w:w="3870" w:type="dxa"/>
            <w:tcBorders>
              <w:top w:val="nil"/>
              <w:left w:val="nil"/>
              <w:bottom w:val="nil"/>
              <w:right w:val="nil"/>
            </w:tcBorders>
            <w:shd w:val="clear" w:color="auto" w:fill="auto"/>
          </w:tcPr>
          <w:p w:rsidRPr="003E4BEE" w:rsidR="007E7181" w:rsidP="00B82E62" w:rsidRDefault="003E4BEE" w14:paraId="0D37C5DF" w14:textId="6A4CF879">
            <w:pPr>
              <w:keepNext/>
              <w:suppressAutoHyphens/>
              <w:snapToGrid w:val="0"/>
              <w:jc w:val="left"/>
              <w:rPr>
                <w:lang w:val="en-US"/>
              </w:rPr>
            </w:pPr>
            <w:r w:rsidRPr="003E4BEE">
              <w:rPr>
                <w:i/>
                <w:lang w:val="en-US"/>
              </w:rPr>
              <w:t>N</w:t>
            </w:r>
            <w:r w:rsidRPr="003E4BEE">
              <w:rPr>
                <w:lang w:val="en-US"/>
              </w:rPr>
              <w:t>,</w:t>
            </w:r>
            <w:r w:rsidRPr="003E4BEE">
              <w:rPr>
                <w:i/>
                <w:lang w:val="en-US"/>
              </w:rPr>
              <w:t>N</w:t>
            </w:r>
            <w:r w:rsidRPr="003E4BEE">
              <w:rPr>
                <w:lang w:val="en-US"/>
              </w:rPr>
              <w:t>-Diethyl-2-{2-[(4-butoxyphenyl)methyl]-5-nitro-1</w:t>
            </w:r>
            <w:r w:rsidRPr="003E4BEE">
              <w:rPr>
                <w:i/>
                <w:lang w:val="en-US"/>
              </w:rPr>
              <w:t>H</w:t>
            </w:r>
            <w:r w:rsidRPr="003E4BEE">
              <w:rPr>
                <w:lang w:val="en-US"/>
              </w:rPr>
              <w:t>-benzimidazol-1-yl}-ethan-1-amin</w:t>
            </w:r>
          </w:p>
        </w:tc>
      </w:tr>
      <w:tr w:rsidRPr="005F0C3E" w:rsidR="007E7181" w:rsidTr="00B82E62" w14:paraId="610F84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trPr>
        <w:tc>
          <w:tcPr>
            <w:tcW w:w="1708" w:type="dxa"/>
            <w:tcBorders>
              <w:top w:val="nil"/>
              <w:left w:val="nil"/>
              <w:bottom w:val="nil"/>
              <w:right w:val="nil"/>
            </w:tcBorders>
            <w:shd w:val="clear" w:color="auto" w:fill="auto"/>
          </w:tcPr>
          <w:p w:rsidRPr="003F0CD9" w:rsidR="007E7181" w:rsidP="00B82E62" w:rsidRDefault="007E7181" w14:paraId="59E2D35A" w14:textId="77777777">
            <w:pPr>
              <w:keepNext/>
              <w:widowControl w:val="0"/>
              <w:tabs>
                <w:tab w:val="left" w:pos="426"/>
                <w:tab w:val="left" w:pos="851"/>
                <w:tab w:val="left" w:pos="1276"/>
                <w:tab w:val="left" w:pos="1701"/>
                <w:tab w:val="left" w:pos="2127"/>
                <w:tab w:val="left" w:pos="2552"/>
                <w:tab w:val="left" w:pos="2977"/>
              </w:tabs>
              <w:snapToGrid w:val="0"/>
              <w:spacing w:line="360" w:lineRule="atLeast"/>
              <w:rPr>
                <w:rFonts w:eastAsia="Times New Roman"/>
                <w:szCs w:val="24"/>
              </w:rPr>
            </w:pPr>
            <w:r w:rsidRPr="003F0CD9">
              <w:rPr>
                <w:rFonts w:eastAsia="Times New Roman"/>
                <w:szCs w:val="24"/>
              </w:rPr>
              <w:t>—</w:t>
            </w:r>
          </w:p>
        </w:tc>
        <w:tc>
          <w:tcPr>
            <w:tcW w:w="3319" w:type="dxa"/>
            <w:gridSpan w:val="2"/>
            <w:tcBorders>
              <w:top w:val="nil"/>
              <w:left w:val="nil"/>
              <w:bottom w:val="nil"/>
              <w:right w:val="nil"/>
            </w:tcBorders>
            <w:shd w:val="clear" w:color="auto" w:fill="auto"/>
          </w:tcPr>
          <w:p w:rsidRPr="003E4BEE" w:rsidR="007E7181" w:rsidDel="0036463B" w:rsidP="00B82E62" w:rsidRDefault="003E4BEE" w14:paraId="6DD2FD4F" w14:textId="5FC54B0B">
            <w:pPr>
              <w:keepNext/>
              <w:widowControl w:val="0"/>
              <w:tabs>
                <w:tab w:val="left" w:pos="426"/>
                <w:tab w:val="left" w:pos="851"/>
                <w:tab w:val="left" w:pos="1276"/>
                <w:tab w:val="left" w:pos="1701"/>
                <w:tab w:val="left" w:pos="2127"/>
                <w:tab w:val="left" w:pos="2552"/>
                <w:tab w:val="left" w:pos="2977"/>
              </w:tabs>
              <w:suppressAutoHyphens/>
              <w:snapToGrid w:val="0"/>
              <w:jc w:val="left"/>
              <w:rPr>
                <w:rFonts w:eastAsia="Times New Roman"/>
                <w:szCs w:val="24"/>
                <w:lang w:val="en-GB"/>
              </w:rPr>
            </w:pPr>
            <w:r w:rsidRPr="00F8598D">
              <w:rPr>
                <w:i/>
                <w:lang w:val="en-GB"/>
              </w:rPr>
              <w:t>N</w:t>
            </w:r>
            <w:r w:rsidRPr="00F8598D">
              <w:rPr>
                <w:lang w:val="en-GB"/>
              </w:rPr>
              <w:t>,</w:t>
            </w:r>
            <w:r w:rsidRPr="00F8598D">
              <w:rPr>
                <w:i/>
                <w:lang w:val="en-GB"/>
              </w:rPr>
              <w:t>N</w:t>
            </w:r>
            <w:r w:rsidRPr="00F8598D">
              <w:rPr>
                <w:lang w:val="en-GB"/>
              </w:rPr>
              <w:t xml:space="preserve">-Dimethylpentylon (Dipentylon, </w:t>
            </w:r>
            <w:r w:rsidRPr="004311BF">
              <w:rPr>
                <w:lang w:val="en-GB"/>
              </w:rPr>
              <w:t>bk-DMBDP)</w:t>
            </w:r>
          </w:p>
        </w:tc>
        <w:tc>
          <w:tcPr>
            <w:tcW w:w="3870" w:type="dxa"/>
            <w:tcBorders>
              <w:top w:val="nil"/>
              <w:left w:val="nil"/>
              <w:bottom w:val="nil"/>
              <w:right w:val="nil"/>
            </w:tcBorders>
            <w:shd w:val="clear" w:color="auto" w:fill="auto"/>
          </w:tcPr>
          <w:p w:rsidRPr="003F0CD9" w:rsidR="007E7181" w:rsidDel="0036463B" w:rsidP="00B82E62" w:rsidRDefault="003F0CD9" w14:paraId="524CA2D4" w14:textId="6A3A531C">
            <w:pPr>
              <w:keepNext/>
              <w:suppressAutoHyphens/>
              <w:snapToGrid w:val="0"/>
              <w:jc w:val="left"/>
              <w:rPr>
                <w:lang w:val="en-GB"/>
              </w:rPr>
            </w:pPr>
            <w:r w:rsidRPr="003F0CD9">
              <w:rPr>
                <w:shd w:val="clear" w:color="auto" w:fill="FFFFFF"/>
                <w:lang w:val="en-GB"/>
              </w:rPr>
              <w:t>1-(1,3-Benzodioxol-5-yl)-2-(dimethylamino)pentan-1-on</w:t>
            </w:r>
          </w:p>
        </w:tc>
      </w:tr>
      <w:tr w:rsidRPr="003F0CD9" w:rsidR="003E4BEE" w:rsidTr="00B82E62" w14:paraId="4CFCB1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trPr>
        <w:tc>
          <w:tcPr>
            <w:tcW w:w="1708" w:type="dxa"/>
            <w:tcBorders>
              <w:top w:val="nil"/>
              <w:left w:val="nil"/>
              <w:bottom w:val="nil"/>
              <w:right w:val="nil"/>
            </w:tcBorders>
            <w:shd w:val="clear" w:color="auto" w:fill="auto"/>
          </w:tcPr>
          <w:p w:rsidRPr="003F0CD9" w:rsidR="003E4BEE" w:rsidP="003E4BEE" w:rsidRDefault="003E4BEE" w14:paraId="2B68268A" w14:textId="77777777">
            <w:pPr>
              <w:keepNext/>
              <w:widowControl w:val="0"/>
              <w:tabs>
                <w:tab w:val="left" w:pos="426"/>
                <w:tab w:val="left" w:pos="851"/>
                <w:tab w:val="left" w:pos="1276"/>
                <w:tab w:val="left" w:pos="1701"/>
                <w:tab w:val="left" w:pos="2127"/>
                <w:tab w:val="left" w:pos="2552"/>
                <w:tab w:val="left" w:pos="2977"/>
              </w:tabs>
              <w:snapToGrid w:val="0"/>
              <w:spacing w:line="360" w:lineRule="atLeast"/>
              <w:rPr>
                <w:rFonts w:eastAsia="Times New Roman"/>
                <w:szCs w:val="24"/>
                <w:lang w:val="en-US"/>
              </w:rPr>
            </w:pPr>
            <w:r w:rsidRPr="003F0CD9">
              <w:rPr>
                <w:rFonts w:eastAsia="Times New Roman"/>
                <w:szCs w:val="24"/>
                <w:lang w:val="en-US"/>
              </w:rPr>
              <w:t>—</w:t>
            </w:r>
          </w:p>
        </w:tc>
        <w:tc>
          <w:tcPr>
            <w:tcW w:w="3319" w:type="dxa"/>
            <w:gridSpan w:val="2"/>
            <w:tcBorders>
              <w:top w:val="nil"/>
              <w:left w:val="nil"/>
              <w:bottom w:val="nil"/>
              <w:right w:val="nil"/>
            </w:tcBorders>
            <w:shd w:val="clear" w:color="auto" w:fill="auto"/>
          </w:tcPr>
          <w:p w:rsidRPr="003F0CD9" w:rsidR="003E4BEE" w:rsidDel="0036463B" w:rsidP="003E4BEE" w:rsidRDefault="003E4BEE" w14:paraId="559B4E54" w14:textId="760529D3">
            <w:pPr>
              <w:keepNext/>
              <w:widowControl w:val="0"/>
              <w:tabs>
                <w:tab w:val="left" w:pos="426"/>
                <w:tab w:val="left" w:pos="851"/>
                <w:tab w:val="left" w:pos="1276"/>
                <w:tab w:val="left" w:pos="1701"/>
                <w:tab w:val="left" w:pos="2127"/>
                <w:tab w:val="left" w:pos="2552"/>
                <w:tab w:val="left" w:pos="2977"/>
              </w:tabs>
              <w:suppressAutoHyphens/>
              <w:snapToGrid w:val="0"/>
              <w:jc w:val="left"/>
              <w:rPr>
                <w:lang w:val="en-US"/>
              </w:rPr>
            </w:pPr>
            <w:bookmarkStart w:name="_Hlk150768691" w:id="3"/>
            <w:r w:rsidRPr="00F8598D">
              <w:rPr>
                <w:lang w:val="en-GB"/>
              </w:rPr>
              <w:t>2-Fluordeschlorketamin</w:t>
            </w:r>
            <w:bookmarkEnd w:id="3"/>
            <w:r w:rsidRPr="004D02AD">
              <w:t xml:space="preserve"> (2-Fluorketamin, 2-FDCK, 2-FL-2‘-OXO-PCM)</w:t>
            </w:r>
          </w:p>
        </w:tc>
        <w:tc>
          <w:tcPr>
            <w:tcW w:w="3870" w:type="dxa"/>
            <w:tcBorders>
              <w:top w:val="nil"/>
              <w:left w:val="nil"/>
              <w:bottom w:val="nil"/>
              <w:right w:val="nil"/>
            </w:tcBorders>
            <w:shd w:val="clear" w:color="auto" w:fill="auto"/>
          </w:tcPr>
          <w:p w:rsidRPr="003F0CD9" w:rsidR="003E4BEE" w:rsidDel="0036463B" w:rsidP="003E4BEE" w:rsidRDefault="003E4BEE" w14:paraId="4218D052" w14:textId="1A94FD4E">
            <w:pPr>
              <w:keepNext/>
              <w:suppressAutoHyphens/>
              <w:snapToGrid w:val="0"/>
              <w:jc w:val="left"/>
              <w:rPr>
                <w:lang w:val="en-US"/>
              </w:rPr>
            </w:pPr>
            <w:r w:rsidRPr="00F8598D">
              <w:rPr>
                <w:lang w:val="en-GB"/>
              </w:rPr>
              <w:t>2-(2-Fluorphenyl)-2-(methylamino)cyclohexan-1-on</w:t>
            </w:r>
            <w:r>
              <w:rPr>
                <w:lang w:val="en-GB"/>
              </w:rPr>
              <w:t>”.</w:t>
            </w:r>
          </w:p>
        </w:tc>
      </w:tr>
      <w:tr w:rsidRPr="00F927F4" w:rsidR="003F0CD9" w:rsidTr="00B82E62" w14:paraId="4B559D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7189" w:type="dxa"/>
          <w:trHeight w:val="255"/>
        </w:trPr>
        <w:tc>
          <w:tcPr>
            <w:tcW w:w="1708" w:type="dxa"/>
            <w:tcBorders>
              <w:top w:val="nil"/>
              <w:left w:val="nil"/>
              <w:bottom w:val="nil"/>
              <w:right w:val="nil"/>
            </w:tcBorders>
            <w:shd w:val="clear" w:color="auto" w:fill="auto"/>
          </w:tcPr>
          <w:p w:rsidRPr="005062FA" w:rsidR="003F0CD9" w:rsidP="00B82E62" w:rsidRDefault="003F0CD9" w14:paraId="28F6AC2D" w14:textId="4FEBA1AF">
            <w:pPr>
              <w:keepNext/>
              <w:widowControl w:val="0"/>
              <w:tabs>
                <w:tab w:val="left" w:pos="426"/>
                <w:tab w:val="left" w:pos="851"/>
                <w:tab w:val="left" w:pos="1276"/>
                <w:tab w:val="left" w:pos="1701"/>
                <w:tab w:val="left" w:pos="2127"/>
                <w:tab w:val="left" w:pos="2552"/>
                <w:tab w:val="left" w:pos="2977"/>
              </w:tabs>
              <w:snapToGrid w:val="0"/>
              <w:spacing w:line="360" w:lineRule="atLeast"/>
              <w:rPr>
                <w:rFonts w:eastAsia="Times New Roman"/>
                <w:color w:val="800000"/>
                <w:szCs w:val="24"/>
                <w:highlight w:val="yellow"/>
                <w:lang w:val="en-US"/>
              </w:rPr>
            </w:pPr>
          </w:p>
        </w:tc>
      </w:tr>
    </w:tbl>
    <w:p w:rsidRPr="00AA3D6D" w:rsidR="007E7181" w:rsidP="00444EA7" w:rsidRDefault="007E7181" w14:paraId="5E00EBFE" w14:textId="77777777">
      <w:pPr>
        <w:pStyle w:val="ArtikelBezeichner"/>
        <w:ind w:left="4111" w:hanging="142"/>
        <w:jc w:val="both"/>
      </w:pPr>
    </w:p>
    <w:p w:rsidRPr="003F0CD9" w:rsidR="00234D50" w:rsidP="00F25498" w:rsidRDefault="00F25498" w14:paraId="27747345" w14:textId="29CE9E40">
      <w:pPr>
        <w:pStyle w:val="JuristischerAbsatznichtnummeriert"/>
      </w:pPr>
      <w:r w:rsidRPr="003F0CD9">
        <w:t>Diese Verordnung tritt am Tag nach der Verkündung in Kraft.</w:t>
      </w:r>
    </w:p>
    <w:p w:rsidRPr="003F0CD9" w:rsidR="00B57B6E" w:rsidP="003657BF" w:rsidRDefault="00B57B6E" w14:paraId="3976ECAB" w14:textId="77777777">
      <w:pPr>
        <w:sectPr w:rsidRPr="003F0CD9" w:rsidR="00B57B6E" w:rsidSect="005F0C3E">
          <w:pgSz w:w="11907" w:h="16839"/>
          <w:pgMar w:top="1134" w:right="1417" w:bottom="1134" w:left="1701" w:header="709" w:footer="709" w:gutter="0"/>
          <w:cols w:space="708"/>
          <w:docGrid w:linePitch="360"/>
        </w:sectPr>
      </w:pPr>
    </w:p>
    <w:p w:rsidRPr="003F0CD9" w:rsidR="003657BF" w:rsidRDefault="003657BF" w14:paraId="2262245B" w14:textId="77777777">
      <w:pPr>
        <w:pStyle w:val="BegrndungTitel"/>
      </w:pPr>
      <w:r w:rsidRPr="003F0CD9">
        <w:lastRenderedPageBreak/>
        <w:t>Begründung</w:t>
      </w:r>
    </w:p>
    <w:p w:rsidRPr="003F0CD9" w:rsidR="003657BF" w:rsidRDefault="003657BF" w14:paraId="2A196E6F" w14:textId="77777777">
      <w:pPr>
        <w:pStyle w:val="BegrndungAllgemeinerTeil"/>
      </w:pPr>
      <w:r w:rsidRPr="003F0CD9">
        <w:t>A. Allgemeiner Teil</w:t>
      </w:r>
    </w:p>
    <w:p w:rsidRPr="003F0CD9" w:rsidR="003657BF" w:rsidP="00565CD9" w:rsidRDefault="003657BF" w14:paraId="2CAE54B8" w14:textId="77777777">
      <w:pPr>
        <w:pStyle w:val="berschriftrmischBegrndung"/>
        <w:numPr>
          <w:ilvl w:val="0"/>
          <w:numId w:val="2"/>
        </w:numPr>
      </w:pPr>
      <w:r w:rsidRPr="003F0CD9">
        <w:t>Zielsetzung und Notwendigkeit der Regelungen</w:t>
      </w:r>
    </w:p>
    <w:p w:rsidRPr="003F0CD9" w:rsidR="00BE0BC8" w:rsidP="00A63CA5" w:rsidRDefault="00C16DCB" w14:paraId="7441C7CE" w14:textId="44491AE8">
      <w:pPr>
        <w:pStyle w:val="Text"/>
      </w:pPr>
      <w:r w:rsidRPr="00BD7A47">
        <w:t>Artikel 1 d</w:t>
      </w:r>
      <w:r w:rsidRPr="00BD7A47" w:rsidR="00763B8A">
        <w:t>iese</w:t>
      </w:r>
      <w:r w:rsidRPr="00BD7A47">
        <w:t>r</w:t>
      </w:r>
      <w:r w:rsidRPr="00BD7A47" w:rsidR="00763B8A">
        <w:t xml:space="preserve"> Verordnung dient der nationalen </w:t>
      </w:r>
      <w:r w:rsidRPr="00BD7A47" w:rsidR="00AD527A">
        <w:t xml:space="preserve">Umsetzung </w:t>
      </w:r>
      <w:r w:rsidRPr="00BD7A47" w:rsidR="00884749">
        <w:t>der</w:t>
      </w:r>
      <w:r w:rsidRPr="00BD7A47" w:rsidR="00AD527A">
        <w:t xml:space="preserve"> Beschlüsse</w:t>
      </w:r>
      <w:r w:rsidRPr="00BD7A47" w:rsidR="00884749">
        <w:t xml:space="preserve"> 6</w:t>
      </w:r>
      <w:r w:rsidRPr="00BD7A47" w:rsidR="007C3AAE">
        <w:t>7</w:t>
      </w:r>
      <w:r w:rsidRPr="00BD7A47" w:rsidR="00884749">
        <w:t>/1</w:t>
      </w:r>
      <w:r w:rsidRPr="00BD7A47" w:rsidR="007C3AAE">
        <w:t xml:space="preserve"> (Butonitazen)</w:t>
      </w:r>
      <w:r w:rsidRPr="00BD7A47" w:rsidR="00884749">
        <w:t>, 6</w:t>
      </w:r>
      <w:r w:rsidRPr="00BD7A47" w:rsidR="007C3AAE">
        <w:t>7</w:t>
      </w:r>
      <w:r w:rsidRPr="00BD7A47" w:rsidR="00884749">
        <w:t>/</w:t>
      </w:r>
      <w:r w:rsidRPr="00BD7A47" w:rsidR="007C3AAE">
        <w:t>3 (Dipentylon)</w:t>
      </w:r>
      <w:r w:rsidRPr="00BD7A47" w:rsidR="00884749">
        <w:t>, 6</w:t>
      </w:r>
      <w:r w:rsidRPr="00BD7A47" w:rsidR="007C3AAE">
        <w:t>7</w:t>
      </w:r>
      <w:r w:rsidRPr="00BD7A47" w:rsidR="00884749">
        <w:t>/4</w:t>
      </w:r>
      <w:r w:rsidRPr="00BD7A47" w:rsidR="007C3AAE">
        <w:t xml:space="preserve"> (</w:t>
      </w:r>
      <w:r w:rsidRPr="00972739" w:rsidR="007C3AAE">
        <w:t>2-Fluordeschloroketamin</w:t>
      </w:r>
      <w:r w:rsidRPr="00BD7A47" w:rsidR="007C3AAE">
        <w:rPr>
          <w:vanish/>
        </w:rPr>
        <w:t>)</w:t>
      </w:r>
      <w:r w:rsidRPr="00BD7A47" w:rsidR="007C3AAE">
        <w:t xml:space="preserve"> und</w:t>
      </w:r>
      <w:r w:rsidRPr="00BD7A47" w:rsidR="00884749">
        <w:t xml:space="preserve"> 6</w:t>
      </w:r>
      <w:r w:rsidRPr="00BD7A47" w:rsidR="007C3AAE">
        <w:t>7</w:t>
      </w:r>
      <w:r w:rsidRPr="00BD7A47" w:rsidR="00884749">
        <w:t>/5</w:t>
      </w:r>
      <w:r w:rsidRPr="00BD7A47" w:rsidR="007C3AAE">
        <w:t xml:space="preserve"> (Bromazolam) </w:t>
      </w:r>
      <w:r w:rsidRPr="00BD7A47" w:rsidR="00763B8A">
        <w:t xml:space="preserve">der Suchtstoffkommission der Vereinten Nationen (Commission on Narcotic Drugs, CND) vom </w:t>
      </w:r>
      <w:r w:rsidRPr="00BD7A47" w:rsidR="00C25060">
        <w:t>1</w:t>
      </w:r>
      <w:r w:rsidRPr="00BD7A47" w:rsidR="003927B2">
        <w:t>9</w:t>
      </w:r>
      <w:r w:rsidRPr="00BD7A47" w:rsidR="00720B16">
        <w:t>.</w:t>
      </w:r>
      <w:r w:rsidRPr="00BD7A47" w:rsidR="00AD527A">
        <w:t xml:space="preserve"> März 202</w:t>
      </w:r>
      <w:r w:rsidRPr="00BD7A47" w:rsidR="003927B2">
        <w:t>4</w:t>
      </w:r>
      <w:r w:rsidRPr="00BD7A47" w:rsidR="00720B16">
        <w:t xml:space="preserve">, durch die </w:t>
      </w:r>
      <w:r w:rsidRPr="00BD7A47" w:rsidR="00CC3FB7">
        <w:t xml:space="preserve">der </w:t>
      </w:r>
      <w:r w:rsidRPr="00BD7A47" w:rsidR="00720B16">
        <w:t>Anhang I des Einheits-Übereinkommens</w:t>
      </w:r>
      <w:r w:rsidRPr="003F0CD9" w:rsidR="00720B16">
        <w:t xml:space="preserve"> von 1961 über Suchtstoff</w:t>
      </w:r>
      <w:r w:rsidRPr="003F0CD9" w:rsidR="0050710B">
        <w:t xml:space="preserve">e sowie </w:t>
      </w:r>
      <w:r w:rsidRPr="003F0CD9" w:rsidR="00720B16">
        <w:t xml:space="preserve">Anhang II </w:t>
      </w:r>
      <w:r w:rsidRPr="003F0CD9" w:rsidR="0050710B">
        <w:t xml:space="preserve">und Anhang IV </w:t>
      </w:r>
      <w:r w:rsidRPr="003F0CD9" w:rsidR="00720B16">
        <w:t xml:space="preserve">des Übereinkommens von 1971 über psychotrope Stoffe </w:t>
      </w:r>
      <w:r w:rsidRPr="003F0CD9" w:rsidR="00763B8A">
        <w:t>durch die Aufnahme weiterer neuer psychoaktiver Stoffe (NPS) geändert worden sind.</w:t>
      </w:r>
      <w:r w:rsidRPr="003F0CD9" w:rsidR="001C1676">
        <w:t xml:space="preserve"> </w:t>
      </w:r>
    </w:p>
    <w:p w:rsidRPr="003F0CD9" w:rsidR="003657BF" w:rsidRDefault="003657BF" w14:paraId="51C49EDE" w14:textId="77777777">
      <w:pPr>
        <w:pStyle w:val="berschriftrmischBegrndung"/>
      </w:pPr>
      <w:r w:rsidRPr="003F0CD9">
        <w:t>Wesentlicher Inhalt des Entwurfs</w:t>
      </w:r>
    </w:p>
    <w:p w:rsidRPr="003F0CD9" w:rsidR="00763B8A" w:rsidP="00763B8A" w:rsidRDefault="00AD527A" w14:paraId="7F0F7EDD" w14:textId="0C14334D">
      <w:pPr>
        <w:pStyle w:val="Text"/>
      </w:pPr>
      <w:r w:rsidRPr="003F0CD9">
        <w:t>Bei der 6</w:t>
      </w:r>
      <w:r w:rsidRPr="003F0CD9" w:rsidR="003927B2">
        <w:t>7</w:t>
      </w:r>
      <w:r w:rsidRPr="003F0CD9" w:rsidR="00763B8A">
        <w:t>. Sitzung der CND wurd</w:t>
      </w:r>
      <w:r w:rsidRPr="003F0CD9" w:rsidR="009572CC">
        <w:t>e unter anderem beschlossen, die</w:t>
      </w:r>
      <w:r w:rsidRPr="003F0CD9" w:rsidR="00763B8A">
        <w:t xml:space="preserve"> </w:t>
      </w:r>
      <w:r w:rsidRPr="003F0CD9" w:rsidR="009572CC">
        <w:t xml:space="preserve">psychoaktiven </w:t>
      </w:r>
      <w:r w:rsidRPr="003F0CD9" w:rsidR="00763B8A">
        <w:t>Stoff</w:t>
      </w:r>
      <w:r w:rsidRPr="003F0CD9" w:rsidR="009572CC">
        <w:t>e</w:t>
      </w:r>
      <w:r w:rsidRPr="003F0CD9" w:rsidR="00763B8A">
        <w:t xml:space="preserve"> </w:t>
      </w:r>
      <w:r w:rsidRPr="00126074" w:rsidR="0050710B">
        <w:t xml:space="preserve">Butonitazen </w:t>
      </w:r>
      <w:r w:rsidRPr="003F0CD9" w:rsidR="0050710B">
        <w:t>in Anhang I des Einheits-Übereinkommens von 1961 über Suchtstoffe</w:t>
      </w:r>
      <w:r w:rsidRPr="003F0CD9" w:rsidR="00C75811">
        <w:t xml:space="preserve">, </w:t>
      </w:r>
      <w:r w:rsidRPr="00126074" w:rsidR="0050710B">
        <w:t>3-CMC, Dipentylon und 2-Fluordeschloroketamin</w:t>
      </w:r>
      <w:r w:rsidRPr="003F0CD9" w:rsidR="00C75811">
        <w:t xml:space="preserve"> </w:t>
      </w:r>
      <w:r w:rsidRPr="003F0CD9" w:rsidR="003F0CD9">
        <w:t>i</w:t>
      </w:r>
      <w:r w:rsidRPr="00126074" w:rsidR="0050710B">
        <w:t xml:space="preserve">n den Anhang II des Übereinkommens </w:t>
      </w:r>
      <w:r w:rsidRPr="003F0CD9" w:rsidR="0050710B">
        <w:t xml:space="preserve">von 1971 über psychotrope Stoffe </w:t>
      </w:r>
      <w:r w:rsidRPr="003F0CD9" w:rsidR="00C75811">
        <w:t xml:space="preserve">und </w:t>
      </w:r>
      <w:r w:rsidRPr="00126074" w:rsidR="0050710B">
        <w:t>Bromazolam in den Anhang IV des Übereinkommens über psychotrope Stoffe aufzunehmen</w:t>
      </w:r>
      <w:r w:rsidRPr="003F0CD9" w:rsidR="00C75811">
        <w:t xml:space="preserve">. </w:t>
      </w:r>
    </w:p>
    <w:p w:rsidRPr="003F0CD9" w:rsidR="0023260E" w:rsidP="00A63CA5" w:rsidRDefault="00763B8A" w14:paraId="1D9514F8" w14:textId="4A28466B">
      <w:pPr>
        <w:pStyle w:val="Text"/>
      </w:pPr>
      <w:r w:rsidRPr="003F0CD9">
        <w:t xml:space="preserve">Zur Umsetzung der mit diesen Beschlüssen vorgenommenen Änderungen der Anhänge </w:t>
      </w:r>
      <w:r w:rsidRPr="003F0CD9" w:rsidR="000E2836">
        <w:t xml:space="preserve">der </w:t>
      </w:r>
      <w:r w:rsidRPr="003F0CD9" w:rsidR="00F1455A">
        <w:t xml:space="preserve">Übereinkommen </w:t>
      </w:r>
      <w:r w:rsidRPr="003F0CD9">
        <w:t>in nationales Recht werden mit</w:t>
      </w:r>
      <w:r w:rsidRPr="003F0CD9" w:rsidR="009C5712">
        <w:t xml:space="preserve"> </w:t>
      </w:r>
      <w:r w:rsidRPr="003F0CD9" w:rsidR="00523DC8">
        <w:t>dieser Verordnung</w:t>
      </w:r>
      <w:r w:rsidRPr="003F0CD9">
        <w:t xml:space="preserve"> </w:t>
      </w:r>
      <w:r w:rsidRPr="003F0CD9" w:rsidR="0050710B">
        <w:t>vier</w:t>
      </w:r>
      <w:r w:rsidRPr="003F0CD9">
        <w:t xml:space="preserve"> NPS auf der Grundlage der </w:t>
      </w:r>
      <w:r w:rsidRPr="003F0CD9" w:rsidR="000E2836">
        <w:t>Verordnungsermächtigung des</w:t>
      </w:r>
      <w:r w:rsidRPr="003F0CD9">
        <w:t xml:space="preserve"> § 1 Absatz 4 </w:t>
      </w:r>
      <w:r w:rsidRPr="003F0CD9" w:rsidR="00094E84">
        <w:t>des Betäubungs</w:t>
      </w:r>
      <w:r w:rsidRPr="003F0CD9" w:rsidR="0050710B">
        <w:softHyphen/>
      </w:r>
      <w:r w:rsidRPr="003F0CD9" w:rsidR="00094E84">
        <w:t>mittelgesetzes (</w:t>
      </w:r>
      <w:r w:rsidRPr="003F0CD9" w:rsidR="006002E0">
        <w:t>BtMG</w:t>
      </w:r>
      <w:r w:rsidRPr="003F0CD9" w:rsidR="00094E84">
        <w:t>)</w:t>
      </w:r>
      <w:r w:rsidRPr="003F0CD9">
        <w:t xml:space="preserve"> in Anlage II des BtMG aufgenommen</w:t>
      </w:r>
      <w:r w:rsidRPr="003F0CD9" w:rsidR="00A276B6">
        <w:t>.</w:t>
      </w:r>
      <w:r w:rsidRPr="003F0CD9" w:rsidR="00C75811">
        <w:t xml:space="preserve"> D</w:t>
      </w:r>
      <w:r w:rsidRPr="003F0CD9" w:rsidR="0050710B">
        <w:t>er</w:t>
      </w:r>
      <w:r w:rsidRPr="003F0CD9" w:rsidR="00C75811">
        <w:t xml:space="preserve"> </w:t>
      </w:r>
      <w:r w:rsidRPr="003F0CD9" w:rsidR="00F06B7B">
        <w:t xml:space="preserve">Stoff </w:t>
      </w:r>
      <w:r w:rsidRPr="003F0CD9" w:rsidR="00C75811">
        <w:t>3-</w:t>
      </w:r>
      <w:r w:rsidRPr="003F0CD9" w:rsidR="0050710B">
        <w:t>CMC wird</w:t>
      </w:r>
      <w:r w:rsidRPr="003F0CD9" w:rsidR="00C75811">
        <w:t xml:space="preserve"> nicht aufgenommen, </w:t>
      </w:r>
      <w:r w:rsidRPr="003F0CD9" w:rsidR="00DD4FB0">
        <w:t xml:space="preserve">weil </w:t>
      </w:r>
      <w:r w:rsidRPr="003F0CD9" w:rsidR="00F06B7B">
        <w:t>der Stoff</w:t>
      </w:r>
      <w:r w:rsidRPr="003F0CD9" w:rsidR="002E63A3">
        <w:t xml:space="preserve"> </w:t>
      </w:r>
      <w:r w:rsidRPr="003F0CD9" w:rsidR="00C75811">
        <w:t xml:space="preserve">bereits </w:t>
      </w:r>
      <w:r w:rsidRPr="003F0CD9" w:rsidR="002E63A3">
        <w:t xml:space="preserve">als verkehrsfähiges, aber nicht verschreibungsfähiges Betäubungsmittel in </w:t>
      </w:r>
      <w:r w:rsidRPr="003F0CD9" w:rsidR="006705B1">
        <w:t xml:space="preserve">Anlage II </w:t>
      </w:r>
      <w:r w:rsidRPr="003F0CD9" w:rsidR="00C75811">
        <w:t>des BtMG aufgeführt</w:t>
      </w:r>
      <w:r w:rsidRPr="003F0CD9" w:rsidR="00DD4FB0">
        <w:t xml:space="preserve"> </w:t>
      </w:r>
      <w:r w:rsidRPr="003F0CD9" w:rsidR="0050710B">
        <w:t>ist</w:t>
      </w:r>
      <w:r w:rsidRPr="003F0CD9" w:rsidR="00C75811">
        <w:t xml:space="preserve">. </w:t>
      </w:r>
    </w:p>
    <w:p w:rsidRPr="003F0CD9" w:rsidR="003657BF" w:rsidRDefault="003657BF" w14:paraId="7B521EF2" w14:textId="77777777">
      <w:pPr>
        <w:pStyle w:val="berschriftrmischBegrndung"/>
      </w:pPr>
      <w:r w:rsidRPr="003F0CD9">
        <w:t>Alternativen</w:t>
      </w:r>
    </w:p>
    <w:p w:rsidRPr="003F0CD9" w:rsidR="00260024" w:rsidRDefault="003657BF" w14:paraId="187A143D" w14:textId="77777777">
      <w:pPr>
        <w:pStyle w:val="Text"/>
      </w:pPr>
      <w:r w:rsidRPr="003F0CD9">
        <w:t>Keine.</w:t>
      </w:r>
      <w:r w:rsidRPr="003F0CD9" w:rsidR="005B1B65">
        <w:t xml:space="preserve"> </w:t>
      </w:r>
    </w:p>
    <w:p w:rsidRPr="003F0CD9" w:rsidR="003657BF" w:rsidRDefault="003657BF" w14:paraId="78EBDC39" w14:textId="77777777">
      <w:pPr>
        <w:pStyle w:val="berschriftrmischBegrndung"/>
      </w:pPr>
      <w:r w:rsidRPr="003F0CD9">
        <w:t>Regelungskompetenz</w:t>
      </w:r>
    </w:p>
    <w:p w:rsidRPr="003F0CD9" w:rsidR="00A63CA5" w:rsidP="00A63CA5" w:rsidRDefault="003657BF" w14:paraId="59996BB8" w14:textId="57CA4C08">
      <w:pPr>
        <w:pStyle w:val="Text"/>
      </w:pPr>
      <w:r w:rsidRPr="003F0CD9">
        <w:t>Die Regelungskompetenz des Bundesministeriums für Gesundheit</w:t>
      </w:r>
      <w:r w:rsidRPr="003F0CD9" w:rsidR="00260024">
        <w:t xml:space="preserve"> für die Änderung </w:t>
      </w:r>
      <w:r w:rsidRPr="003F0CD9" w:rsidR="002E63A3">
        <w:t>von Anlage II</w:t>
      </w:r>
      <w:r w:rsidRPr="003F0CD9" w:rsidR="001E60A4">
        <w:t xml:space="preserve"> des BtMG</w:t>
      </w:r>
      <w:r w:rsidRPr="003F0CD9">
        <w:t xml:space="preserve"> folgt aus </w:t>
      </w:r>
      <w:r w:rsidRPr="003F0CD9" w:rsidR="00B43E2E">
        <w:t>§ 1 Absatz 4 BtMG.</w:t>
      </w:r>
      <w:r w:rsidRPr="003F0CD9" w:rsidR="00260024">
        <w:t xml:space="preserve"> </w:t>
      </w:r>
    </w:p>
    <w:p w:rsidRPr="003F0CD9" w:rsidR="003657BF" w:rsidRDefault="003657BF" w14:paraId="6E9104DE" w14:textId="77777777">
      <w:pPr>
        <w:pStyle w:val="berschriftrmischBegrndung"/>
      </w:pPr>
      <w:r w:rsidRPr="003F0CD9">
        <w:t>Vereinbarkeit mit dem Recht der Europäischen Union und völkerrechtlichen Verträgen</w:t>
      </w:r>
    </w:p>
    <w:p w:rsidRPr="003F0CD9" w:rsidR="00380EB5" w:rsidRDefault="00B43E2E" w14:paraId="4C74B6C1" w14:textId="77777777">
      <w:pPr>
        <w:pStyle w:val="Text"/>
      </w:pPr>
      <w:r w:rsidRPr="003F0CD9">
        <w:t xml:space="preserve">Die Verordnung ist mit dem Recht der </w:t>
      </w:r>
      <w:r w:rsidRPr="003F0CD9" w:rsidR="004E2F10">
        <w:t xml:space="preserve">Europäischen Union </w:t>
      </w:r>
      <w:r w:rsidRPr="003F0CD9">
        <w:t xml:space="preserve">und den völkerrechtlichen Verträgen, die die Bundesrepublik Deutschland abgeschlossen hat, vereinbar. </w:t>
      </w:r>
    </w:p>
    <w:p w:rsidRPr="003F0CD9" w:rsidR="00380EB5" w:rsidRDefault="00B43E2E" w14:paraId="3493D890" w14:textId="108DA768">
      <w:pPr>
        <w:pStyle w:val="Text"/>
      </w:pPr>
      <w:r w:rsidRPr="003F0CD9">
        <w:t xml:space="preserve">Durch die Aufnahme der </w:t>
      </w:r>
      <w:r w:rsidRPr="003F0CD9" w:rsidR="003927B2">
        <w:t>vier</w:t>
      </w:r>
      <w:r w:rsidRPr="003F0CD9" w:rsidR="00BD75AF">
        <w:t xml:space="preserve"> </w:t>
      </w:r>
      <w:r w:rsidRPr="003F0CD9" w:rsidR="00CF11EF">
        <w:t>NPS</w:t>
      </w:r>
      <w:r w:rsidRPr="003F0CD9">
        <w:t xml:space="preserve"> in Anlage II des BtMG</w:t>
      </w:r>
      <w:r w:rsidRPr="003F0CD9" w:rsidR="00530846">
        <w:t xml:space="preserve"> </w:t>
      </w:r>
      <w:r w:rsidRPr="003F0CD9">
        <w:t>werden</w:t>
      </w:r>
      <w:r w:rsidRPr="003F0CD9" w:rsidR="00236C80">
        <w:t xml:space="preserve"> die</w:t>
      </w:r>
      <w:r w:rsidRPr="003F0CD9">
        <w:t xml:space="preserve"> </w:t>
      </w:r>
      <w:r w:rsidRPr="003F0CD9" w:rsidR="00CF11EF">
        <w:t>durch</w:t>
      </w:r>
      <w:r w:rsidRPr="003F0CD9" w:rsidR="00AD5DBD">
        <w:t xml:space="preserve"> die</w:t>
      </w:r>
      <w:r w:rsidRPr="003F0CD9" w:rsidR="00CF11EF">
        <w:t xml:space="preserve"> </w:t>
      </w:r>
      <w:r w:rsidRPr="003F0CD9">
        <w:t>Beschlüsse der</w:t>
      </w:r>
      <w:r w:rsidRPr="003F0CD9" w:rsidR="0078358E">
        <w:t xml:space="preserve"> 6</w:t>
      </w:r>
      <w:r w:rsidRPr="003F0CD9" w:rsidR="003927B2">
        <w:t>7</w:t>
      </w:r>
      <w:r w:rsidRPr="003F0CD9">
        <w:t xml:space="preserve">. Sitzung der CND </w:t>
      </w:r>
      <w:r w:rsidRPr="003F0CD9" w:rsidR="00CF11EF">
        <w:t>bewirkte</w:t>
      </w:r>
      <w:r w:rsidRPr="003F0CD9" w:rsidR="00236C80">
        <w:t>n</w:t>
      </w:r>
      <w:r w:rsidRPr="003F0CD9" w:rsidR="00CF11EF">
        <w:t xml:space="preserve"> Änderungen </w:t>
      </w:r>
      <w:r w:rsidRPr="003F0CD9" w:rsidR="00236C80">
        <w:t>de</w:t>
      </w:r>
      <w:r w:rsidRPr="003F0CD9" w:rsidR="00FF7259">
        <w:t xml:space="preserve">s </w:t>
      </w:r>
      <w:r w:rsidRPr="003F0CD9" w:rsidR="00236C80">
        <w:t>Anh</w:t>
      </w:r>
      <w:r w:rsidRPr="003F0CD9" w:rsidR="00FF7259">
        <w:t>angs I</w:t>
      </w:r>
      <w:r w:rsidRPr="003F0CD9" w:rsidR="00236C80">
        <w:t xml:space="preserve"> </w:t>
      </w:r>
      <w:r w:rsidRPr="003F0CD9" w:rsidR="00FF7259">
        <w:t xml:space="preserve">des Einheits-Übereinkommens von 1961 über Suchtstoffe und des Anhangs II des Übereinkommens von 1971 über psychotrope Stoffe </w:t>
      </w:r>
      <w:r w:rsidRPr="003F0CD9" w:rsidR="00CF11EF">
        <w:t xml:space="preserve">in nationales Recht </w:t>
      </w:r>
      <w:r w:rsidRPr="003F0CD9">
        <w:t xml:space="preserve">umgesetzt. </w:t>
      </w:r>
    </w:p>
    <w:p w:rsidRPr="003F0CD9" w:rsidR="00AD2C19" w:rsidRDefault="00B43E2E" w14:paraId="43F3B08C" w14:textId="05975A84">
      <w:pPr>
        <w:pStyle w:val="Text"/>
      </w:pPr>
      <w:r w:rsidRPr="003F0CD9">
        <w:lastRenderedPageBreak/>
        <w:t xml:space="preserve">Zu den </w:t>
      </w:r>
      <w:r w:rsidRPr="003F0CD9" w:rsidR="0085173D">
        <w:t xml:space="preserve">vorgenommenen </w:t>
      </w:r>
      <w:r w:rsidRPr="003F0CD9">
        <w:t xml:space="preserve">Änderungen </w:t>
      </w:r>
      <w:r w:rsidRPr="003F0CD9" w:rsidR="002E63A3">
        <w:t xml:space="preserve">von </w:t>
      </w:r>
      <w:r w:rsidRPr="003F0CD9" w:rsidR="0085173D">
        <w:t>Anlage II des BtMG</w:t>
      </w:r>
      <w:r w:rsidRPr="003F0CD9" w:rsidR="00070300">
        <w:t xml:space="preserve"> </w:t>
      </w:r>
      <w:r w:rsidRPr="003F0CD9">
        <w:t>wurde die Notifizierung durchgeführt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p w:rsidRPr="003F0CD9" w:rsidR="003657BF" w:rsidRDefault="00910263" w14:paraId="76C8B4D0" w14:textId="77777777">
      <w:pPr>
        <w:pStyle w:val="berschriftrmischBegrndung"/>
      </w:pPr>
      <w:r w:rsidRPr="003F0CD9">
        <w:t>Verordnung</w:t>
      </w:r>
      <w:r w:rsidRPr="003F0CD9" w:rsidR="009527C6">
        <w:t>s</w:t>
      </w:r>
      <w:r w:rsidRPr="003F0CD9" w:rsidR="003657BF">
        <w:t>folgen</w:t>
      </w:r>
    </w:p>
    <w:p w:rsidRPr="003F0CD9" w:rsidR="00721EE3" w:rsidRDefault="00910263" w14:paraId="40EC73BF" w14:textId="6FF360CE">
      <w:pPr>
        <w:pStyle w:val="Text"/>
      </w:pPr>
      <w:r w:rsidRPr="003F0CD9">
        <w:t xml:space="preserve">Die Aufnahme der </w:t>
      </w:r>
      <w:r w:rsidRPr="003F0CD9" w:rsidR="001D1481">
        <w:t>vier</w:t>
      </w:r>
      <w:r w:rsidRPr="003F0CD9" w:rsidR="00E17168">
        <w:t xml:space="preserve"> </w:t>
      </w:r>
      <w:r w:rsidRPr="003F0CD9" w:rsidR="004E4DA3">
        <w:t>S</w:t>
      </w:r>
      <w:r w:rsidRPr="003F0CD9" w:rsidR="000369AA">
        <w:t>toffe</w:t>
      </w:r>
      <w:r w:rsidRPr="003F0CD9">
        <w:t xml:space="preserve"> in Anlage II des BtMG</w:t>
      </w:r>
      <w:r w:rsidRPr="003F0CD9" w:rsidR="00721EE3">
        <w:t xml:space="preserve"> durch </w:t>
      </w:r>
      <w:r w:rsidRPr="003F0CD9" w:rsidR="001E60A4">
        <w:t xml:space="preserve">diese </w:t>
      </w:r>
      <w:r w:rsidRPr="003F0CD9" w:rsidR="00721EE3">
        <w:t>Verordnung</w:t>
      </w:r>
      <w:r w:rsidRPr="003F0CD9">
        <w:t xml:space="preserve"> hat zur Folge, dass diese als verkehrsfähige, aber nicht verschreibungsfähige Betäubungsmittel im Sinne der Vorschriften des BtMG behandelt werden.</w:t>
      </w:r>
    </w:p>
    <w:p w:rsidRPr="003F0CD9" w:rsidR="003657BF" w:rsidRDefault="003657BF" w14:paraId="4A213FDA" w14:textId="77777777">
      <w:pPr>
        <w:pStyle w:val="berschriftarabischBegrndung"/>
      </w:pPr>
      <w:r w:rsidRPr="003F0CD9">
        <w:t>Rechts- und Verwaltungsvereinfachung</w:t>
      </w:r>
    </w:p>
    <w:p w:rsidRPr="003F0CD9" w:rsidR="00D86B21" w:rsidP="00D86B21" w:rsidRDefault="00191C46" w14:paraId="789B6363" w14:textId="29543656">
      <w:r w:rsidRPr="003F0CD9">
        <w:t>Die Verordnung sieht keine Aufhebung von Regelungen oder Vereinfachung von Verwaltungsverfahren vor</w:t>
      </w:r>
      <w:r w:rsidRPr="003F0CD9" w:rsidR="00D86B21">
        <w:t xml:space="preserve">. </w:t>
      </w:r>
    </w:p>
    <w:p w:rsidRPr="003F0CD9" w:rsidR="003657BF" w:rsidRDefault="003657BF" w14:paraId="7C40BAF5" w14:textId="77777777">
      <w:pPr>
        <w:pStyle w:val="berschriftarabischBegrndung"/>
      </w:pPr>
      <w:r w:rsidRPr="003F0CD9">
        <w:t>Nachhaltigkeitsaspekte</w:t>
      </w:r>
    </w:p>
    <w:p w:rsidRPr="003F0CD9" w:rsidR="00D86B21" w:rsidP="00910263" w:rsidRDefault="001D1481" w14:paraId="60BE9409" w14:textId="451CA9D7">
      <w:pPr>
        <w:pStyle w:val="Text"/>
      </w:pPr>
      <w:r w:rsidRPr="003F0CD9">
        <w:t>Der Verordnungsentwurf berücksichtigt die Ziele und Prinzipien der Deutschen Nachhaltigkeitsstrategie (DNS). Er dient insbesondere dem Nachhaltigkeitsziel 3 „Ein gesundes Leben für alle Menschen jeden Alters gewährleisten und ihr Wohlergehen fördern“, indem durch die Fortschreibung der in der Anlage II des BtMG enthaltenen Stoffe die Verbreitung und der Missbrauch der davon umfassten gesundheits</w:t>
      </w:r>
      <w:r w:rsidRPr="003F0CD9">
        <w:softHyphen/>
        <w:t>gefährdenden synthetischen Stoffe eingedämmt wird. Die vorgesehenen Regelungen dienen damit dem Gesundheitsschutz des Einzelnen wie der Bevölkerung insgesamt und entsprechen damit überdies dem Leitprinzip 3b der DNS, „Gefahren und unvertretbare Risiken für die menschliche Gesundheit zu vermeiden“.</w:t>
      </w:r>
    </w:p>
    <w:p w:rsidRPr="003F0CD9" w:rsidR="003657BF" w:rsidRDefault="003657BF" w14:paraId="0A42172E" w14:textId="77777777">
      <w:pPr>
        <w:pStyle w:val="berschriftarabischBegrndung"/>
      </w:pPr>
      <w:r w:rsidRPr="003F0CD9">
        <w:t>Haushaltsausgaben ohne Erfüllungsaufwand</w:t>
      </w:r>
    </w:p>
    <w:p w:rsidRPr="003F0CD9" w:rsidR="00BF51B0" w:rsidP="0058637A" w:rsidRDefault="001E5752" w14:paraId="2480077F" w14:textId="77777777">
      <w:pPr>
        <w:pStyle w:val="Text"/>
      </w:pPr>
      <w:r w:rsidRPr="003F0CD9">
        <w:t xml:space="preserve">Etwaige Mehrbedarfe des Bundes an Sach- und Personalmitteln sind finanziell und stellenmäßig im jeweiligen Einzelplan auszugleichen. </w:t>
      </w:r>
    </w:p>
    <w:p w:rsidRPr="003F0CD9" w:rsidR="003657BF" w:rsidRDefault="003657BF" w14:paraId="5EAC470F" w14:textId="77777777">
      <w:pPr>
        <w:pStyle w:val="berschriftarabischBegrndung"/>
      </w:pPr>
      <w:r w:rsidRPr="003F0CD9">
        <w:t>Erfüllungsaufwand</w:t>
      </w:r>
    </w:p>
    <w:p w:rsidRPr="003F0CD9" w:rsidR="002412D2" w:rsidP="002412D2" w:rsidRDefault="002412D2" w14:paraId="122F05EF" w14:textId="77777777">
      <w:pPr>
        <w:pStyle w:val="Text"/>
      </w:pPr>
      <w:r w:rsidRPr="003F0CD9">
        <w:t>Für Bürgerinnen und Bürger entsteht kein zusätzlicher Erfüllungsaufwand.</w:t>
      </w:r>
    </w:p>
    <w:p w:rsidRPr="003F0CD9" w:rsidR="00176319" w:rsidP="00176319" w:rsidRDefault="00176319" w14:paraId="018B32CF" w14:textId="77777777">
      <w:pPr>
        <w:pStyle w:val="Text"/>
      </w:pPr>
      <w:r w:rsidRPr="003F0CD9">
        <w:t>Für die Wirtschaft entsteht kein zusätzlicher Erfüllungsaufwand.</w:t>
      </w:r>
    </w:p>
    <w:p w:rsidRPr="003F0CD9" w:rsidR="009837A0" w:rsidP="00176319" w:rsidRDefault="009837A0" w14:paraId="06C584BD" w14:textId="178CD693">
      <w:pPr>
        <w:pStyle w:val="Text"/>
      </w:pPr>
      <w:r w:rsidRPr="003F0CD9">
        <w:t>Für die Bundesverwaltung entsteht durch die Ausweitung der Überwachung durch die neu hinzugekommenen NPS in Folge der Fortschreibung der Anlage II des BtMG nur ein geringer zusätzlicher Vollzugsaufwand für die Strafverfolgung durch die Zollbehörden und das Bundeskriminalamt. Die Anzahl der Kontrollen ist gleichbleibend. Für die Überwachungsbehörden und Polizeibehörden der Länder kann durch die vorgenannte Ausweitung der Überwachung des Umgangs mit NPS ein erhöhter, derzeit aber nicht quantifizierbarer Vollzugsaufwand entstehen. Es wird angenommen, dass auch hier die Mehrbelastung im Einzelfall sehr gering ausfällt.</w:t>
      </w:r>
    </w:p>
    <w:p w:rsidRPr="003F0CD9" w:rsidR="003657BF" w:rsidRDefault="003657BF" w14:paraId="75BA07F2" w14:textId="77777777">
      <w:pPr>
        <w:pStyle w:val="berschriftarabischBegrndung"/>
      </w:pPr>
      <w:r w:rsidRPr="003F0CD9">
        <w:t>Weitere Kosten</w:t>
      </w:r>
    </w:p>
    <w:p w:rsidRPr="003F0CD9" w:rsidR="003657BF" w:rsidRDefault="002412D2" w14:paraId="7CCFD243" w14:textId="77777777">
      <w:pPr>
        <w:pStyle w:val="Text"/>
      </w:pPr>
      <w:r w:rsidRPr="003F0CD9">
        <w:t>Keine.</w:t>
      </w:r>
    </w:p>
    <w:p w:rsidRPr="003F0CD9" w:rsidR="003657BF" w:rsidRDefault="003657BF" w14:paraId="4BC23E37" w14:textId="77777777">
      <w:pPr>
        <w:pStyle w:val="berschriftarabischBegrndung"/>
      </w:pPr>
      <w:r w:rsidRPr="003F0CD9">
        <w:lastRenderedPageBreak/>
        <w:t xml:space="preserve">Weitere </w:t>
      </w:r>
      <w:r w:rsidRPr="003F0CD9" w:rsidR="003E4F81">
        <w:t>Regelungs</w:t>
      </w:r>
      <w:r w:rsidRPr="003F0CD9">
        <w:t>folgen</w:t>
      </w:r>
    </w:p>
    <w:p w:rsidRPr="003F0CD9" w:rsidR="003657BF" w:rsidRDefault="002412D2" w14:paraId="75D990C7" w14:textId="77777777">
      <w:pPr>
        <w:pStyle w:val="Text"/>
      </w:pPr>
      <w:r w:rsidRPr="003F0CD9">
        <w:t>Diese Verordnung hat keine demographischen und keine gleichstellungspolitischen Auswirkungen.</w:t>
      </w:r>
    </w:p>
    <w:p w:rsidRPr="003F0CD9" w:rsidR="003657BF" w:rsidRDefault="003657BF" w14:paraId="36942977" w14:textId="77777777">
      <w:pPr>
        <w:pStyle w:val="berschriftrmischBegrndung"/>
      </w:pPr>
      <w:r w:rsidRPr="003F0CD9">
        <w:t>Befristung; Evaluierung</w:t>
      </w:r>
    </w:p>
    <w:p w:rsidRPr="003F0CD9" w:rsidR="003657BF" w:rsidRDefault="002412D2" w14:paraId="6D0787C7" w14:textId="77777777">
      <w:pPr>
        <w:pStyle w:val="Text"/>
      </w:pPr>
      <w:r w:rsidRPr="003F0CD9">
        <w:t xml:space="preserve">Eine Befristung der Verordnung ist nicht vorgesehen. </w:t>
      </w:r>
      <w:r w:rsidRPr="003F0CD9">
        <w:rPr>
          <w:noProof/>
        </w:rPr>
        <w:t>Die Anlagen zum BtMG werden fortlaufend anhand der mit ihrem Vollzug gesammelten Erfahrungen und auf der Grundlage von neuen wissenschaftlichen Erkenntnissen evaluiert.</w:t>
      </w:r>
    </w:p>
    <w:p w:rsidRPr="003F0CD9" w:rsidR="003657BF" w:rsidRDefault="003657BF" w14:paraId="54F0DD6B" w14:textId="77777777">
      <w:pPr>
        <w:pStyle w:val="BegrndungBesondererTeil"/>
      </w:pPr>
      <w:r w:rsidRPr="003F0CD9">
        <w:t>B. Besonderer Teil</w:t>
      </w:r>
    </w:p>
    <w:p w:rsidRPr="003F0CD9" w:rsidR="00390110" w:rsidP="00E643A8" w:rsidRDefault="00390110" w14:paraId="376B4317" w14:textId="77777777">
      <w:pPr>
        <w:pStyle w:val="Text"/>
        <w:rPr>
          <w:b/>
        </w:rPr>
      </w:pPr>
      <w:r w:rsidRPr="003F0CD9">
        <w:rPr>
          <w:b/>
        </w:rPr>
        <w:t>Zu Artikel 1</w:t>
      </w:r>
    </w:p>
    <w:p w:rsidRPr="003F0CD9" w:rsidR="00E81258" w:rsidP="00C5568C" w:rsidRDefault="00BA7265" w14:paraId="156283FD" w14:textId="1C28490C">
      <w:pPr>
        <w:pStyle w:val="Text"/>
      </w:pPr>
      <w:r w:rsidRPr="003F0CD9">
        <w:t xml:space="preserve">Bei </w:t>
      </w:r>
      <w:r w:rsidRPr="003F0CD9" w:rsidR="00E81258">
        <w:t>der 6</w:t>
      </w:r>
      <w:r w:rsidRPr="003F0CD9" w:rsidR="005E0AC0">
        <w:t>7</w:t>
      </w:r>
      <w:r w:rsidRPr="003F0CD9" w:rsidR="00FA33E8">
        <w:t>. Sitzun</w:t>
      </w:r>
      <w:r w:rsidRPr="003F0CD9" w:rsidR="00E81258">
        <w:t xml:space="preserve">g der CND wurde am </w:t>
      </w:r>
      <w:r w:rsidRPr="003F0CD9" w:rsidR="00190C81">
        <w:t>1</w:t>
      </w:r>
      <w:r w:rsidRPr="003F0CD9" w:rsidR="006C567B">
        <w:t>9</w:t>
      </w:r>
      <w:r w:rsidRPr="003F0CD9" w:rsidR="00E81258">
        <w:t>. März 202</w:t>
      </w:r>
      <w:r w:rsidRPr="003F0CD9" w:rsidR="006C567B">
        <w:t>4</w:t>
      </w:r>
      <w:r w:rsidRPr="003F0CD9" w:rsidR="00FA33E8">
        <w:t xml:space="preserve"> beschlossen</w:t>
      </w:r>
      <w:r w:rsidRPr="003F0CD9" w:rsidR="0082276D">
        <w:t>,</w:t>
      </w:r>
      <w:r w:rsidRPr="003F0CD9" w:rsidR="009572CC">
        <w:t xml:space="preserve"> </w:t>
      </w:r>
      <w:r w:rsidRPr="003F0CD9" w:rsidR="00FA33E8">
        <w:t xml:space="preserve">neue psychoaktive Stoffe in Anhang I des Einheits-Übereinkommens von 1961 über Suchtstoffe und in Anhang II </w:t>
      </w:r>
      <w:r w:rsidRPr="003F0CD9" w:rsidR="006C567B">
        <w:t xml:space="preserve">und Anhang IV </w:t>
      </w:r>
      <w:r w:rsidRPr="003F0CD9" w:rsidR="00FA33E8">
        <w:t xml:space="preserve">des Übereinkommens von 1971 über psychotrope Stoffe aufzunehmen. </w:t>
      </w:r>
    </w:p>
    <w:p w:rsidRPr="003F0CD9" w:rsidR="00C5568C" w:rsidP="00C5568C" w:rsidRDefault="00F568C1" w14:paraId="28F98E71" w14:textId="3DB93B1A">
      <w:pPr>
        <w:pStyle w:val="Text"/>
      </w:pPr>
      <w:r w:rsidRPr="003F0CD9">
        <w:t xml:space="preserve">In </w:t>
      </w:r>
      <w:r w:rsidRPr="003F0CD9">
        <w:rPr>
          <w:noProof/>
        </w:rPr>
        <w:t xml:space="preserve">Anhang I des </w:t>
      </w:r>
      <w:r w:rsidRPr="003F0CD9" w:rsidR="00005203">
        <w:rPr>
          <w:noProof/>
        </w:rPr>
        <w:t>Einheits-</w:t>
      </w:r>
      <w:r w:rsidRPr="003F0CD9">
        <w:rPr>
          <w:noProof/>
        </w:rPr>
        <w:t xml:space="preserve">Übereinkommens </w:t>
      </w:r>
      <w:r w:rsidRPr="003F0CD9" w:rsidR="00005203">
        <w:rPr>
          <w:noProof/>
        </w:rPr>
        <w:t xml:space="preserve">von 1961 </w:t>
      </w:r>
      <w:r w:rsidRPr="003F0CD9">
        <w:rPr>
          <w:noProof/>
        </w:rPr>
        <w:t>über Suchtstoffe</w:t>
      </w:r>
      <w:r w:rsidRPr="003F0CD9">
        <w:t xml:space="preserve"> wurde </w:t>
      </w:r>
      <w:r w:rsidRPr="003F0CD9" w:rsidR="00E81258">
        <w:t>d</w:t>
      </w:r>
      <w:r w:rsidRPr="003F0CD9" w:rsidR="006C567B">
        <w:t>er</w:t>
      </w:r>
      <w:r w:rsidRPr="003F0CD9" w:rsidR="00E81258">
        <w:t xml:space="preserve"> psychoaktive Stoff</w:t>
      </w:r>
      <w:r w:rsidRPr="003F0CD9" w:rsidR="006C567B">
        <w:t xml:space="preserve"> Butonitazen</w:t>
      </w:r>
      <w:r w:rsidRPr="003F0CD9" w:rsidR="00E81258">
        <w:rPr>
          <w:noProof/>
        </w:rPr>
        <w:t xml:space="preserve"> </w:t>
      </w:r>
      <w:r w:rsidRPr="003F0CD9">
        <w:rPr>
          <w:noProof/>
        </w:rPr>
        <w:t>aufgenommen</w:t>
      </w:r>
      <w:r w:rsidRPr="003F0CD9" w:rsidR="00E81258">
        <w:rPr>
          <w:noProof/>
        </w:rPr>
        <w:t xml:space="preserve">. In Anhang II des Übereinkommens </w:t>
      </w:r>
      <w:r w:rsidRPr="003F0CD9" w:rsidR="00005203">
        <w:rPr>
          <w:noProof/>
        </w:rPr>
        <w:t xml:space="preserve">von 1971 </w:t>
      </w:r>
      <w:r w:rsidRPr="003F0CD9" w:rsidR="00E81258">
        <w:rPr>
          <w:noProof/>
        </w:rPr>
        <w:t xml:space="preserve">über psychotrope Stoffe wurden die Stoffe </w:t>
      </w:r>
      <w:r w:rsidRPr="003F0CD9" w:rsidR="006C567B">
        <w:rPr>
          <w:noProof/>
        </w:rPr>
        <w:t>3-CMC, Dipentylon und 2-Fluordeschloroketamin</w:t>
      </w:r>
      <w:r w:rsidRPr="003F0CD9" w:rsidR="00E81258">
        <w:rPr>
          <w:noProof/>
        </w:rPr>
        <w:t xml:space="preserve"> aufgenommen</w:t>
      </w:r>
      <w:r w:rsidRPr="003F0CD9" w:rsidR="00E81258">
        <w:t>.</w:t>
      </w:r>
      <w:r w:rsidRPr="003F0CD9">
        <w:t xml:space="preserve"> </w:t>
      </w:r>
      <w:r w:rsidRPr="003F0CD9" w:rsidR="006C567B">
        <w:rPr>
          <w:noProof/>
        </w:rPr>
        <w:t>In Anhang IV des Übereinkommens von 1971 über psychotrope Stoffe wurde der Stoff Bromazolam aufgenommen</w:t>
      </w:r>
      <w:r w:rsidR="005F44D1">
        <w:rPr>
          <w:noProof/>
        </w:rPr>
        <w:t>.</w:t>
      </w:r>
      <w:r w:rsidRPr="003F0CD9" w:rsidR="006C567B">
        <w:t xml:space="preserve"> Der Stoff 3-CMC wurde</w:t>
      </w:r>
      <w:r w:rsidRPr="003F0CD9" w:rsidR="00C5568C">
        <w:t xml:space="preserve"> bereits in die Anlagen des BtMG aufgenommen, weshalb die völkerrechtliche Verpflichtung zur Umsetzung in nationales Recht insoweit bereits erfüllt ist.</w:t>
      </w:r>
    </w:p>
    <w:p w:rsidRPr="003F0CD9" w:rsidR="00BA7265" w:rsidP="00BA7265" w:rsidRDefault="00C5568C" w14:paraId="08DA4AAA" w14:textId="1D9AA234">
      <w:pPr>
        <w:pStyle w:val="Text"/>
      </w:pPr>
      <w:r w:rsidRPr="003F0CD9">
        <w:t>I</w:t>
      </w:r>
      <w:r w:rsidRPr="003F0CD9" w:rsidR="008D2C97">
        <w:t xml:space="preserve">nsgesamt </w:t>
      </w:r>
      <w:r w:rsidRPr="003F0CD9">
        <w:t xml:space="preserve">werden </w:t>
      </w:r>
      <w:r w:rsidRPr="003F0CD9" w:rsidR="006C567B">
        <w:t>vier</w:t>
      </w:r>
      <w:r w:rsidRPr="003F0CD9" w:rsidR="008D2C97">
        <w:t xml:space="preserve"> Stoffe zur nationalen Umsetzun</w:t>
      </w:r>
      <w:r w:rsidRPr="003F0CD9" w:rsidR="00DD4D0D">
        <w:t>g der Änderungen der Anhänge de</w:t>
      </w:r>
      <w:r w:rsidRPr="003F0CD9">
        <w:t>r</w:t>
      </w:r>
      <w:r w:rsidRPr="003F0CD9" w:rsidR="008D2C97">
        <w:t xml:space="preserve"> genannten Übereinkommen gemäß § 1 Absatz 4 BtMG mit dieser Verordnung in Anlage II des BtMG aufgenommen. </w:t>
      </w:r>
    </w:p>
    <w:p w:rsidRPr="003F0CD9" w:rsidR="00C5568C" w:rsidP="00BA7265" w:rsidRDefault="00BA7265" w14:paraId="396F056B" w14:textId="4E2BE50F">
      <w:pPr>
        <w:pStyle w:val="Text"/>
      </w:pPr>
      <w:r w:rsidRPr="003F0CD9">
        <w:t xml:space="preserve">Die </w:t>
      </w:r>
      <w:r w:rsidRPr="003F0CD9" w:rsidR="006C567B">
        <w:t>vier</w:t>
      </w:r>
      <w:r w:rsidRPr="003F0CD9">
        <w:t xml:space="preserve"> neu aufzunehmenden Stoffe weisen hinsichtlich ihrer jeweiligen Wirkung Ähnlichkeit</w:t>
      </w:r>
      <w:r w:rsidRPr="003F0CD9" w:rsidR="00DF1D68">
        <w:t>en</w:t>
      </w:r>
      <w:r w:rsidRPr="003F0CD9">
        <w:t xml:space="preserve"> zu anderen</w:t>
      </w:r>
      <w:r w:rsidRPr="003F0CD9" w:rsidR="00AD5DBD">
        <w:t xml:space="preserve"> </w:t>
      </w:r>
      <w:r w:rsidRPr="003F0CD9">
        <w:t xml:space="preserve">in den </w:t>
      </w:r>
      <w:r w:rsidRPr="003F0CD9" w:rsidR="00C5568C">
        <w:t xml:space="preserve">Anhängen des Einheits-Übereinkommens von 1961 </w:t>
      </w:r>
      <w:r w:rsidRPr="003F0CD9" w:rsidR="00005203">
        <w:t xml:space="preserve">über Suchtstoffe </w:t>
      </w:r>
      <w:r w:rsidRPr="003F0CD9" w:rsidR="00C5568C">
        <w:t xml:space="preserve">und </w:t>
      </w:r>
      <w:r w:rsidRPr="003F0CD9">
        <w:t xml:space="preserve">des Übereinkommens von 1971 über psychotrope Stoffe gelisteten </w:t>
      </w:r>
      <w:r w:rsidRPr="003F0CD9" w:rsidR="00884749">
        <w:t xml:space="preserve">Stoffe </w:t>
      </w:r>
      <w:r w:rsidRPr="003F0CD9">
        <w:t xml:space="preserve">auf. Der Konsum dieser </w:t>
      </w:r>
      <w:r w:rsidRPr="003F0CD9" w:rsidR="006C567B">
        <w:t>vier</w:t>
      </w:r>
      <w:r w:rsidRPr="003F0CD9">
        <w:t xml:space="preserve"> NPS führt zu teils schweren Intoxikationen</w:t>
      </w:r>
      <w:r w:rsidRPr="003F0CD9" w:rsidR="00AA6BE7">
        <w:t xml:space="preserve"> einschließlich Hospitalisierungen</w:t>
      </w:r>
      <w:r w:rsidRPr="003F0CD9">
        <w:t xml:space="preserve">. </w:t>
      </w:r>
    </w:p>
    <w:p w:rsidRPr="003F0CD9" w:rsidR="00BA7265" w:rsidP="00BA7265" w:rsidRDefault="00BA7265" w14:paraId="732FB368" w14:textId="129ED3DA">
      <w:pPr>
        <w:pStyle w:val="Text"/>
        <w:rPr>
          <w:noProof/>
        </w:rPr>
      </w:pPr>
      <w:r w:rsidRPr="003F0CD9">
        <w:t xml:space="preserve">Im Zusammenhang mit der Einnahme von </w:t>
      </w:r>
      <w:r w:rsidRPr="003F0CD9" w:rsidR="006C567B">
        <w:t>Bromazolam</w:t>
      </w:r>
      <w:r w:rsidR="007C3AAE">
        <w:t>,</w:t>
      </w:r>
      <w:r w:rsidRPr="003F0CD9" w:rsidR="006C567B">
        <w:t xml:space="preserve"> </w:t>
      </w:r>
      <w:r w:rsidRPr="003F0CD9" w:rsidR="003F0CD9">
        <w:t xml:space="preserve">Butonitazen </w:t>
      </w:r>
      <w:r w:rsidRPr="003F0CD9" w:rsidR="006C567B">
        <w:t xml:space="preserve">und </w:t>
      </w:r>
      <w:r w:rsidRPr="003F0CD9" w:rsidR="006C567B">
        <w:rPr>
          <w:noProof/>
        </w:rPr>
        <w:t>2-Fluor</w:t>
      </w:r>
      <w:r w:rsidRPr="003F0CD9" w:rsidR="003F0CD9">
        <w:rPr>
          <w:noProof/>
        </w:rPr>
        <w:softHyphen/>
      </w:r>
      <w:r w:rsidRPr="003F0CD9" w:rsidR="006C567B">
        <w:rPr>
          <w:noProof/>
        </w:rPr>
        <w:t>deschloro</w:t>
      </w:r>
      <w:r w:rsidRPr="003F0CD9" w:rsidR="003F0CD9">
        <w:rPr>
          <w:noProof/>
        </w:rPr>
        <w:softHyphen/>
      </w:r>
      <w:r w:rsidRPr="003F0CD9" w:rsidR="006C567B">
        <w:rPr>
          <w:noProof/>
        </w:rPr>
        <w:t>ketamin</w:t>
      </w:r>
      <w:r w:rsidRPr="003F0CD9">
        <w:t xml:space="preserve"> </w:t>
      </w:r>
      <w:r w:rsidRPr="003F0CD9" w:rsidR="00B01547">
        <w:t>wurden</w:t>
      </w:r>
      <w:r w:rsidRPr="003F0CD9">
        <w:t xml:space="preserve"> tödli</w:t>
      </w:r>
      <w:r w:rsidRPr="003F0CD9" w:rsidR="00B01547">
        <w:t>che Intoxikationen nachgewiesen</w:t>
      </w:r>
      <w:r w:rsidRPr="003F0CD9">
        <w:t>.</w:t>
      </w:r>
    </w:p>
    <w:p w:rsidRPr="003F0CD9" w:rsidR="008C17D3" w:rsidP="008C17D3" w:rsidRDefault="008C17D3" w14:paraId="34AA7166" w14:textId="77777777">
      <w:pPr>
        <w:pStyle w:val="Text"/>
      </w:pPr>
      <w:r w:rsidRPr="003F0CD9">
        <w:t>Im Einzelnen:</w:t>
      </w:r>
    </w:p>
    <w:p w:rsidRPr="003F0CD9" w:rsidR="00DD1547" w:rsidP="00D72A6A" w:rsidRDefault="00D72A6A" w14:paraId="2C3855A0" w14:textId="27A897B1">
      <w:pPr>
        <w:pStyle w:val="Text"/>
        <w:jc w:val="left"/>
      </w:pPr>
      <w:r w:rsidRPr="003F0CD9">
        <w:t>Das Benzodiazepin Bromazolam</w:t>
      </w:r>
      <w:r w:rsidRPr="003F0CD9" w:rsidR="00DD1547">
        <w:t xml:space="preserve"> hat keinen bekannten therapeutischen Nutzen und ist auch nicht </w:t>
      </w:r>
      <w:r w:rsidR="005F44D1">
        <w:t xml:space="preserve">als Arzneimittel </w:t>
      </w:r>
      <w:r w:rsidRPr="003F0CD9" w:rsidR="00DD1547">
        <w:t>zugelassen. Es liegen hinreichende Nachweise dafür vor, dass Bromazolam missbräuchlich verwendet wird oder ein Missbrauch wahrscheinlich ist und der Stoff ein Problem für die öffentliche Gesundheit und ein soziales Problem darstellen könnte, sodass internationale Kontrollmaßnahmen gerechtfertigt sind. Mitgliedsstaaten haben akute Vergiftungen nach einer Exposition</w:t>
      </w:r>
      <w:r w:rsidR="005F0C3E">
        <w:t xml:space="preserve"> </w:t>
      </w:r>
      <w:bookmarkStart w:name="_GoBack" w:id="4"/>
      <w:bookmarkEnd w:id="4"/>
      <w:r w:rsidRPr="003F0CD9" w:rsidR="00DD1547">
        <w:t>gegenüber Bromazolam gemeldet. Insgesamt wurden 15 Todesfälle nach einer bestätigten Exposition gegenüber Bromazolam gemeldet.</w:t>
      </w:r>
    </w:p>
    <w:p w:rsidRPr="003F0CD9" w:rsidR="00D72A6A" w:rsidP="007C3AAE" w:rsidRDefault="009D3EFC" w14:paraId="7A3E46CD" w14:textId="01BC1E24">
      <w:pPr>
        <w:pStyle w:val="Text"/>
        <w:jc w:val="left"/>
      </w:pPr>
      <w:r w:rsidRPr="003F0CD9">
        <w:t xml:space="preserve">Das synthetische </w:t>
      </w:r>
      <w:r w:rsidRPr="003F0CD9" w:rsidR="00D72A6A">
        <w:t>Opioid Butonitazen</w:t>
      </w:r>
      <w:r w:rsidRPr="003F0CD9" w:rsidR="00D72A6A">
        <w:rPr>
          <w:noProof/>
        </w:rPr>
        <w:t xml:space="preserve"> weist chemisch-strukturelle und pharmakologische Ähnlichkeiten mit Stoffen in Anhang I des Einheits-Über</w:t>
      </w:r>
      <w:r w:rsidRPr="003F0CD9" w:rsidR="00D72A6A">
        <w:rPr>
          <w:noProof/>
        </w:rPr>
        <w:softHyphen/>
        <w:t xml:space="preserve">einkommens von 1961 über Suchtstoffe wie Etonitazen und Isotonitazen auf, </w:t>
      </w:r>
      <w:r w:rsidRPr="003F0CD9" w:rsidR="00F568C1">
        <w:rPr>
          <w:noProof/>
        </w:rPr>
        <w:t xml:space="preserve">hat keinen therapeutischen Nutzen und </w:t>
      </w:r>
      <w:r w:rsidRPr="003F0CD9" w:rsidR="00F568C1">
        <w:rPr>
          <w:noProof/>
        </w:rPr>
        <w:lastRenderedPageBreak/>
        <w:t xml:space="preserve">ist auch nicht als Arzneimittel zugelassen. </w:t>
      </w:r>
      <w:r w:rsidRPr="003F0CD9" w:rsidR="00DD1547">
        <w:t xml:space="preserve">Es liegen hinreichende Nachweise dafür vor, dass Butonitazen missbräuchlich verwendet wird oder ein Missbrauch wahrscheinlich ist und der Stoff ein Problem für die öffentliche Gesundheit und ein soziales Problem darstellen könnte. </w:t>
      </w:r>
      <w:r w:rsidRPr="003F0CD9" w:rsidR="00EB2398">
        <w:t xml:space="preserve">Das synthetische </w:t>
      </w:r>
      <w:r w:rsidRPr="003F0CD9" w:rsidR="00DD1547">
        <w:t>Opioid</w:t>
      </w:r>
      <w:r w:rsidRPr="003F0CD9" w:rsidR="00EB2398">
        <w:t xml:space="preserve"> </w:t>
      </w:r>
      <w:r w:rsidRPr="003F0CD9" w:rsidR="00F568C1">
        <w:rPr>
          <w:noProof/>
        </w:rPr>
        <w:t xml:space="preserve">wird mit schwerwiegenden unerwünschten Ereignissen in Verbindung gebracht, darunter </w:t>
      </w:r>
      <w:r w:rsidR="00BD7A47">
        <w:rPr>
          <w:noProof/>
        </w:rPr>
        <w:t>ein</w:t>
      </w:r>
      <w:r w:rsidRPr="003F0CD9" w:rsidR="00F568C1">
        <w:rPr>
          <w:noProof/>
        </w:rPr>
        <w:t> Todesf</w:t>
      </w:r>
      <w:r w:rsidRPr="003F0CD9" w:rsidR="00D97599">
        <w:rPr>
          <w:noProof/>
        </w:rPr>
        <w:t>all</w:t>
      </w:r>
      <w:r w:rsidRPr="003F0CD9" w:rsidR="00F568C1">
        <w:rPr>
          <w:noProof/>
        </w:rPr>
        <w:t xml:space="preserve">. </w:t>
      </w:r>
      <w:r w:rsidRPr="003F0CD9" w:rsidR="00D97599">
        <w:rPr>
          <w:noProof/>
        </w:rPr>
        <w:t>Butonitazen</w:t>
      </w:r>
      <w:r w:rsidRPr="003F0CD9" w:rsidR="008C17D3">
        <w:rPr>
          <w:noProof/>
        </w:rPr>
        <w:t xml:space="preserve"> </w:t>
      </w:r>
      <w:r w:rsidRPr="003F0CD9" w:rsidR="008C17D3">
        <w:rPr>
          <w:rStyle w:val="markedcontent"/>
        </w:rPr>
        <w:t>wird derzeit von der Euro</w:t>
      </w:r>
      <w:r w:rsidRPr="003F0CD9" w:rsidR="00EB2398">
        <w:rPr>
          <w:rStyle w:val="markedcontent"/>
        </w:rPr>
        <w:softHyphen/>
      </w:r>
      <w:r w:rsidRPr="003F0CD9" w:rsidR="008C17D3">
        <w:rPr>
          <w:rStyle w:val="markedcontent"/>
        </w:rPr>
        <w:t>päischen Beobachtungsstelle für Drogen und Drogensucht</w:t>
      </w:r>
      <w:r w:rsidRPr="003F0CD9" w:rsidR="00EB2398">
        <w:rPr>
          <w:rStyle w:val="markedcontent"/>
        </w:rPr>
        <w:t xml:space="preserve"> (EBDD)</w:t>
      </w:r>
      <w:r w:rsidRPr="003F0CD9" w:rsidR="008C17D3">
        <w:rPr>
          <w:rStyle w:val="markedcontent"/>
        </w:rPr>
        <w:t xml:space="preserve"> intensiv über</w:t>
      </w:r>
      <w:r w:rsidRPr="003F0CD9" w:rsidR="00EB2398">
        <w:rPr>
          <w:rStyle w:val="markedcontent"/>
        </w:rPr>
        <w:softHyphen/>
      </w:r>
      <w:r w:rsidRPr="003F0CD9" w:rsidR="008C17D3">
        <w:rPr>
          <w:rStyle w:val="markedcontent"/>
        </w:rPr>
        <w:t xml:space="preserve">wacht. </w:t>
      </w:r>
    </w:p>
    <w:p w:rsidRPr="003F0CD9" w:rsidR="00D97599" w:rsidP="008D2B25" w:rsidRDefault="00D97599" w14:paraId="7AD3BC85" w14:textId="7539DF93">
      <w:pPr>
        <w:pStyle w:val="Text"/>
      </w:pPr>
      <w:r w:rsidRPr="003F0CD9">
        <w:t>Das synthetisches Stimulans der Cathinonfamilie Dipenthylon hat eine</w:t>
      </w:r>
      <w:r w:rsidRPr="003F0CD9" w:rsidR="008D2B25">
        <w:rPr>
          <w:noProof/>
        </w:rPr>
        <w:t xml:space="preserve"> </w:t>
      </w:r>
      <w:r w:rsidRPr="003F0CD9">
        <w:t xml:space="preserve">ähnliche chemische Struktur und pharmakologische Wirkung wie andere synthetische Cathinone in Anhang II des Übereinkommens über psychotrope Stoffe. Dipentylon wurde bislang nicht vom ECDD überprüft. Dipentylon hat keinen bekannten therapeutischen Nutzen und ist auch nicht zugelassen. Es liegen hinreichende Nachweise dafür vor, dass Dipentylon missbräuchlich verwendet wird oder ein Missbrauch wahrscheinlich ist und der Stoff ein Problem für die öffentliche Gesundheit und ein soziales Problem darstellen könnte, sodass internationale Kontrollmaßnahmen gerechtfertigt sind. Es liegen keine Meldungen über eine Genehmigung zur medizinischen Anwendung vor. </w:t>
      </w:r>
    </w:p>
    <w:p w:rsidRPr="003F0CD9" w:rsidR="00D97599" w:rsidP="008D2B25" w:rsidRDefault="00D97599" w14:paraId="6D6246E8" w14:textId="2A2C13F0">
      <w:pPr>
        <w:pStyle w:val="Text"/>
        <w:rPr>
          <w:noProof/>
        </w:rPr>
      </w:pPr>
      <w:r w:rsidRPr="003F0CD9">
        <w:t xml:space="preserve">2-Fluordeschloroketamin (2-FDCK) ist ein Arylcyclohexylamin, das mit dem dissoziativ wirkenden Anästhetikum Ketamin chemisch verwandt ist. 2-FDCK wurde bislang nicht vom ECDD überprüft. 2-FDCK hat keinen bekannten therapeutischen Nutzen und ist auch nicht zugelassen. Es liegen hinreichende Nachweise dafür vor, dass 2-FDCK missbräuchlich verwendet wird oder ein Missbrauch wahrscheinlich ist und der Stoff ein Problem für die öffentliche Gesundheit und ein soziales Problem darstellen könnte, sodass internationale Kontrollmaßnahmen gerechtfertigt sind. 2-FDCK wird derzeit von der </w:t>
      </w:r>
      <w:r w:rsidR="007558A5">
        <w:t>Europäischen Drogenagentur</w:t>
      </w:r>
      <w:r w:rsidRPr="003F0CD9">
        <w:t xml:space="preserve"> intensiv beobachtet. Zwei Todesfälle wurden nach einer bestätigten Exposition gegenüber 2-FDCK gemeldet. Zudem wurden insgesamt elf Fälle akuter Vergiftung nach einer bestätigten Exposition und eine weitere akute Vergiftung nach einer vermuteten Exposition gegenüber 2-FDCK gemeldet.</w:t>
      </w:r>
    </w:p>
    <w:p w:rsidRPr="003F0CD9" w:rsidR="000339CE" w:rsidP="000339CE" w:rsidRDefault="000339CE" w14:paraId="4932915A" w14:textId="41350E05">
      <w:r w:rsidRPr="003F0CD9">
        <w:t xml:space="preserve">Eine arzneiliche Anwendung dieser Stoffe, insbesondere als Fertigarzneimittel, ist für Deutschland derzeit nicht bekannt. </w:t>
      </w:r>
      <w:r w:rsidRPr="003F0CD9" w:rsidR="006558DE">
        <w:t xml:space="preserve">Daher ist eine Aufnahme in Anlage III des BtMG </w:t>
      </w:r>
      <w:r w:rsidRPr="003F0CD9" w:rsidR="00E23CAA">
        <w:t xml:space="preserve">(verkehrsfähige und verschreibungsfähige Betäubungsmittel) </w:t>
      </w:r>
      <w:r w:rsidRPr="003F0CD9" w:rsidR="006558DE">
        <w:t>nicht geboten.</w:t>
      </w:r>
    </w:p>
    <w:p w:rsidRPr="003F0CD9" w:rsidR="000339CE" w:rsidP="00801540" w:rsidRDefault="000339CE" w14:paraId="33FF0316" w14:textId="344F04C3">
      <w:r w:rsidRPr="003F0CD9">
        <w:t xml:space="preserve">Eine Verwendung </w:t>
      </w:r>
      <w:r w:rsidRPr="003F0CD9" w:rsidR="00190C81">
        <w:t xml:space="preserve">dieser Stoffe </w:t>
      </w:r>
      <w:r w:rsidRPr="003F0CD9">
        <w:t>in der wissenschaftlichen Forschung oder als Referenzsubstanzen für die Analytik ist nicht auszuschließen</w:t>
      </w:r>
      <w:r w:rsidRPr="003F0CD9" w:rsidR="0082276D">
        <w:t>.</w:t>
      </w:r>
      <w:r w:rsidRPr="003F0CD9">
        <w:t xml:space="preserve"> </w:t>
      </w:r>
      <w:r w:rsidRPr="003F0CD9" w:rsidR="0082276D">
        <w:t>D</w:t>
      </w:r>
      <w:r w:rsidRPr="003F0CD9">
        <w:t xml:space="preserve">aher ist die Aufnahme dieser Stoffe in Anlage II des BtMG </w:t>
      </w:r>
      <w:r w:rsidRPr="003F0CD9" w:rsidR="00E23CAA">
        <w:t xml:space="preserve">(verkehrsfähige, aber nicht verschreibungsfähige Betäubungsmittel) </w:t>
      </w:r>
      <w:r w:rsidRPr="003F0CD9">
        <w:t>geboten.</w:t>
      </w:r>
      <w:r w:rsidRPr="003F0CD9" w:rsidR="00801540">
        <w:t xml:space="preserve"> Die Aufnahme in Anlage II des BtMG ermöglicht</w:t>
      </w:r>
      <w:r w:rsidRPr="003F0CD9" w:rsidR="00F57914">
        <w:t xml:space="preserve"> </w:t>
      </w:r>
      <w:r w:rsidRPr="003F0CD9" w:rsidR="00801540">
        <w:t xml:space="preserve">einen </w:t>
      </w:r>
      <w:r w:rsidRPr="003F0CD9">
        <w:t>erlaubnispflichtige</w:t>
      </w:r>
      <w:r w:rsidRPr="003F0CD9" w:rsidR="00801540">
        <w:t>n</w:t>
      </w:r>
      <w:r w:rsidRPr="003F0CD9">
        <w:t>, legale</w:t>
      </w:r>
      <w:r w:rsidRPr="003F0CD9" w:rsidR="00801540">
        <w:t>n</w:t>
      </w:r>
      <w:r w:rsidRPr="003F0CD9">
        <w:t xml:space="preserve"> Handel mit diesen Stoffen für Forschungs- und industrielle Zwecke. Über das umfassende Erlaubniserfordernis können Verwendungszwecke wirksam unterbunden werden, die mit den Zielen des BtMG nicht vereinbar sind.</w:t>
      </w:r>
    </w:p>
    <w:p w:rsidRPr="003F0CD9" w:rsidR="00D86B21" w:rsidP="00D86B21" w:rsidRDefault="00D86B21" w14:paraId="6A83C144" w14:textId="379202F0">
      <w:pPr>
        <w:pStyle w:val="VerweisBegrndung"/>
      </w:pPr>
      <w:r w:rsidRPr="003F0CD9">
        <w:t xml:space="preserve">Zu Artikel </w:t>
      </w:r>
      <w:r w:rsidRPr="003F0CD9" w:rsidR="00176319">
        <w:t>2</w:t>
      </w:r>
      <w:r w:rsidRPr="003F0CD9" w:rsidR="00CE705F">
        <w:t xml:space="preserve"> (Inkrafttreten)</w:t>
      </w:r>
    </w:p>
    <w:p w:rsidRPr="009B52F4" w:rsidR="000339CE" w:rsidP="000339CE" w:rsidRDefault="00234D50" w14:paraId="45E5BA68" w14:textId="4AA5E05E">
      <w:pPr>
        <w:pStyle w:val="Text"/>
      </w:pPr>
      <w:r w:rsidRPr="003F0CD9">
        <w:t xml:space="preserve">Es wird </w:t>
      </w:r>
      <w:r w:rsidRPr="003F0CD9" w:rsidR="000339CE">
        <w:t>das Inkrafttreten</w:t>
      </w:r>
      <w:r w:rsidRPr="003F0CD9">
        <w:t xml:space="preserve"> von Artikel 1 diese</w:t>
      </w:r>
      <w:r w:rsidRPr="003F0CD9" w:rsidR="000339CE">
        <w:t>r Verordnung</w:t>
      </w:r>
      <w:r w:rsidRPr="003F0CD9">
        <w:t xml:space="preserve"> geregelt</w:t>
      </w:r>
      <w:r w:rsidRPr="003F0CD9" w:rsidR="000339CE">
        <w:t>.</w:t>
      </w:r>
      <w:r w:rsidRPr="003F0CD9" w:rsidR="00EE6C6F">
        <w:t xml:space="preserve"> Da zum Schutz der Gesundheit des Einzelnen und der Bevölkerung die Verbreitung und der Missbrauch der gesundheitsgefährdenden </w:t>
      </w:r>
      <w:r w:rsidRPr="003F0CD9" w:rsidR="00095EE9">
        <w:t xml:space="preserve">NPS </w:t>
      </w:r>
      <w:r w:rsidRPr="003F0CD9" w:rsidR="00EE6C6F">
        <w:t>möglichst schnell eingedämmt werden soll</w:t>
      </w:r>
      <w:r w:rsidRPr="003F0CD9" w:rsidR="00095EE9">
        <w:t>en</w:t>
      </w:r>
      <w:r w:rsidRPr="003F0CD9" w:rsidR="00EE6C6F">
        <w:t>, ist ein Inkrafttreten</w:t>
      </w:r>
      <w:r w:rsidRPr="003F0CD9">
        <w:t xml:space="preserve"> der Änderungen </w:t>
      </w:r>
      <w:r w:rsidRPr="003F0CD9" w:rsidR="005B4A5A">
        <w:t xml:space="preserve">von </w:t>
      </w:r>
      <w:r w:rsidRPr="003F0CD9">
        <w:t>Anlage II des BtMG</w:t>
      </w:r>
      <w:r w:rsidRPr="003F0CD9" w:rsidR="00EE6C6F">
        <w:t xml:space="preserve"> am Tag nach der Verkündung vorgesehen.</w:t>
      </w:r>
    </w:p>
    <w:p w:rsidRPr="00517D67" w:rsidR="000A01DC" w:rsidP="000339CE" w:rsidRDefault="000A01DC" w14:paraId="3C8B951F" w14:textId="77777777">
      <w:pPr>
        <w:pStyle w:val="Text"/>
      </w:pPr>
    </w:p>
    <w:sectPr w:rsidRPr="00517D67" w:rsidR="000A01DC" w:rsidSect="005F0C3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C27" w:rsidP="00FE1646" w:rsidRDefault="00544C27" w14:paraId="017082F8" w14:textId="77777777">
      <w:pPr>
        <w:spacing w:before="0" w:after="0"/>
      </w:pPr>
      <w:r>
        <w:separator/>
      </w:r>
    </w:p>
  </w:endnote>
  <w:endnote w:type="continuationSeparator" w:id="0">
    <w:p w:rsidR="00544C27" w:rsidP="00FE1646" w:rsidRDefault="00544C27" w14:paraId="1058A4F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FD92" w14:textId="77777777" w:rsidR="005F0C3E" w:rsidRPr="005F0C3E" w:rsidRDefault="005F0C3E" w:rsidP="005F0C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379D" w14:textId="77777777" w:rsidR="005F0C3E" w:rsidRPr="005F0C3E" w:rsidRDefault="005F0C3E" w:rsidP="005F0C3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84C8" w14:textId="77777777" w:rsidR="005F0C3E" w:rsidRPr="005F0C3E" w:rsidRDefault="005F0C3E" w:rsidP="005F0C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C27" w:rsidP="00FE1646" w:rsidRDefault="00544C27" w14:paraId="0802C1D3" w14:textId="77777777">
      <w:pPr>
        <w:spacing w:before="0" w:after="0"/>
      </w:pPr>
      <w:r>
        <w:separator/>
      </w:r>
    </w:p>
  </w:footnote>
  <w:footnote w:type="continuationSeparator" w:id="0">
    <w:p w:rsidR="00544C27" w:rsidP="00FE1646" w:rsidRDefault="00544C27" w14:paraId="6131B452" w14:textId="77777777">
      <w:pPr>
        <w:spacing w:before="0" w:after="0"/>
      </w:pPr>
      <w:r>
        <w:continuationSeparator/>
      </w:r>
    </w:p>
  </w:footnote>
  <w:footnote w:id="1">
    <w:p w:rsidRPr="00062895" w:rsidR="00544C27" w:rsidP="00BB02FD" w:rsidRDefault="00544C27" w14:paraId="05906F11" w14:textId="77777777">
      <w:pPr>
        <w:pStyle w:val="Funotentext"/>
      </w:pPr>
      <w:r>
        <w:rPr>
          <w:rStyle w:val="Funotenzeichen"/>
        </w:rPr>
        <w:t>*</w:t>
      </w:r>
      <w:r>
        <w:tab/>
      </w:r>
      <w:r w:rsidRPr="00D12488">
        <w:t xml:space="preserve">Notifiziert gemäß der Richtlinie (EU) 2015/1535 des Europäischen Parlaments und des Rates vom 9. September 2015 über ein Informationsverfahren auf dem Gebiet der technischen Vorschriften und der Vorschriften für die Dienste der Informationsgesellschaft (ABl. </w:t>
      </w:r>
      <w:r w:rsidRPr="00062895">
        <w:t>L 241 vom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9621" w14:textId="77777777" w:rsidR="005F0C3E" w:rsidRPr="005F0C3E" w:rsidRDefault="005F0C3E" w:rsidP="005F0C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F532" w14:textId="2C881A2F" w:rsidR="00544C27" w:rsidRPr="005F0C3E" w:rsidRDefault="005F0C3E" w:rsidP="005F0C3E">
    <w:pPr>
      <w:pStyle w:val="Kopfzeile"/>
    </w:pPr>
    <w:r>
      <w:tab/>
      <w:t xml:space="preserve">- </w:t>
    </w:r>
    <w:r>
      <w:fldChar w:fldCharType="begin"/>
    </w:r>
    <w:r>
      <w:instrText xml:space="preserve"> PAGE  \* MERGEFORMAT </w:instrText>
    </w:r>
    <w:r>
      <w:fldChar w:fldCharType="separate"/>
    </w:r>
    <w:r>
      <w:rPr>
        <w:noProof/>
      </w:rPr>
      <w:t>1</w:t>
    </w:r>
    <w:r>
      <w:fldChar w:fldCharType="end"/>
    </w:r>
    <w:r w:rsidRPr="005F0C3E">
      <w:t xml:space="preserve"> -</w:t>
    </w:r>
    <w:r w:rsidRPr="005F0C3E">
      <w:tab/>
    </w:r>
    <w:fldSimple w:instr=" DOCPROPERTY &quot;Bearbeitungsstand&quot; \* MERGEFORMAT ">
      <w:r w:rsidRPr="005F0C3E">
        <w:rPr>
          <w:sz w:val="18"/>
        </w:rPr>
        <w:t>Bearbeitungsstand: 09.09.2024  10:14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5269" w14:textId="0927C19F" w:rsidR="00544C27" w:rsidRPr="005F0C3E" w:rsidRDefault="005F0C3E" w:rsidP="005F0C3E">
    <w:pPr>
      <w:pStyle w:val="Kopfzeile"/>
    </w:pPr>
    <w:r>
      <w:tab/>
    </w:r>
    <w:r w:rsidRPr="005F0C3E">
      <w:tab/>
    </w:r>
    <w:fldSimple w:instr=" DOCPROPERTY &quot;Bearbeitungsstand&quot; \* MERGEFORMAT ">
      <w:r w:rsidRPr="005F0C3E">
        <w:rPr>
          <w:sz w:val="18"/>
        </w:rPr>
        <w:t>Bearbeitungsstand: 09.09.2024  10:14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D2A0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09AC8C92"/>
    <w:name w:val="Artikel"/>
    <w:lvl w:ilvl="0">
      <w:start w:val="1"/>
      <w:numFmt w:val="decimal"/>
      <w:lvlRestart w:val="0"/>
      <w:pStyle w:val="ArtikelBezeichner"/>
      <w:suff w:val="nothing"/>
      <w:lvlText w:val="Artikel %1"/>
      <w:lvlJc w:val="left"/>
      <w:pPr>
        <w:ind w:left="4689"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709"/>
        </w:tabs>
        <w:ind w:left="-141"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4C75AF"/>
    <w:multiLevelType w:val="multilevel"/>
    <w:tmpl w:val="0FBE40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2"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4"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5"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8"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9" w15:restartNumberingAfterBreak="0">
    <w:nsid w:val="59CD528B"/>
    <w:multiLevelType w:val="multilevel"/>
    <w:tmpl w:val="03ECC30C"/>
    <w:name w:val="Artikel"/>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3F3E39"/>
    <w:multiLevelType w:val="multilevel"/>
    <w:tmpl w:val="921EEF3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5D677FBC"/>
    <w:multiLevelType w:val="multilevel"/>
    <w:tmpl w:val="03ECC30C"/>
    <w:name w:val="Artikel"/>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E13C94"/>
    <w:multiLevelType w:val="multilevel"/>
    <w:tmpl w:val="0FBE4076"/>
    <w:name w:val="Anlage Bezeichner (nummeriert)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8"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9"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39"/>
  </w:num>
  <w:num w:numId="18">
    <w:abstractNumId w:val="27"/>
  </w:num>
  <w:num w:numId="19">
    <w:abstractNumId w:val="13"/>
  </w:num>
  <w:num w:numId="20">
    <w:abstractNumId w:val="21"/>
  </w:num>
  <w:num w:numId="21">
    <w:abstractNumId w:val="10"/>
  </w:num>
  <w:num w:numId="22">
    <w:abstractNumId w:val="38"/>
  </w:num>
  <w:num w:numId="23">
    <w:abstractNumId w:val="22"/>
  </w:num>
  <w:num w:numId="24">
    <w:abstractNumId w:val="33"/>
  </w:num>
  <w:num w:numId="25">
    <w:abstractNumId w:val="12"/>
  </w:num>
  <w:num w:numId="26">
    <w:abstractNumId w:val="26"/>
  </w:num>
  <w:num w:numId="27">
    <w:abstractNumId w:val="17"/>
  </w:num>
  <w:num w:numId="28">
    <w:abstractNumId w:val="16"/>
  </w:num>
  <w:num w:numId="29">
    <w:abstractNumId w:val="25"/>
  </w:num>
  <w:num w:numId="30">
    <w:abstractNumId w:val="34"/>
  </w:num>
  <w:num w:numId="31">
    <w:abstractNumId w:val="18"/>
  </w:num>
  <w:num w:numId="32">
    <w:abstractNumId w:val="23"/>
  </w:num>
  <w:num w:numId="33">
    <w:abstractNumId w:val="11"/>
  </w:num>
  <w:num w:numId="34">
    <w:abstractNumId w:val="24"/>
  </w:num>
  <w:num w:numId="35">
    <w:abstractNumId w:val="14"/>
  </w:num>
  <w:num w:numId="36">
    <w:abstractNumId w:val="37"/>
  </w:num>
  <w:num w:numId="37">
    <w:abstractNumId w:val="35"/>
  </w:num>
  <w:num w:numId="38">
    <w:abstractNumId w:val="19"/>
  </w:num>
  <w:num w:numId="39">
    <w:abstractNumId w:val="32"/>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0"/>
  </w:num>
  <w:num w:numId="45">
    <w:abstractNumId w:val="31"/>
  </w:num>
  <w:num w:numId="46">
    <w:abstractNumId w:val="29"/>
  </w:num>
  <w:num w:numId="47">
    <w:abstractNumId w:val="30"/>
  </w:num>
  <w:num w:numId="48">
    <w:abstractNumId w:val="15"/>
  </w:num>
  <w:num w:numId="49">
    <w:abstractNumId w:val="28"/>
  </w:num>
  <w:num w:numId="50">
    <w:abstractNumId w:val="39"/>
  </w:num>
  <w:num w:numId="51">
    <w:abstractNumId w:val="27"/>
  </w:num>
  <w:num w:numId="52">
    <w:abstractNumId w:val="13"/>
  </w:num>
  <w:num w:numId="53">
    <w:abstractNumId w:val="21"/>
  </w:num>
  <w:num w:numId="54">
    <w:abstractNumId w:val="10"/>
  </w:num>
  <w:num w:numId="55">
    <w:abstractNumId w:val="38"/>
  </w:num>
  <w:num w:numId="56">
    <w:abstractNumId w:val="22"/>
  </w:num>
  <w:num w:numId="57">
    <w:abstractNumId w:val="33"/>
  </w:num>
  <w:num w:numId="58">
    <w:abstractNumId w:val="12"/>
  </w:num>
  <w:num w:numId="59">
    <w:abstractNumId w:val="26"/>
  </w:num>
  <w:num w:numId="60">
    <w:abstractNumId w:val="17"/>
  </w:num>
  <w:num w:numId="61">
    <w:abstractNumId w:val="16"/>
  </w:num>
  <w:num w:numId="62">
    <w:abstractNumId w:val="25"/>
  </w:num>
  <w:num w:numId="63">
    <w:abstractNumId w:val="34"/>
  </w:num>
  <w:num w:numId="64">
    <w:abstractNumId w:val="18"/>
  </w:num>
  <w:num w:numId="65">
    <w:abstractNumId w:val="23"/>
  </w:num>
  <w:num w:numId="66">
    <w:abstractNumId w:val="11"/>
  </w:num>
  <w:num w:numId="67">
    <w:abstractNumId w:val="24"/>
  </w:num>
  <w:num w:numId="68">
    <w:abstractNumId w:val="14"/>
  </w:num>
  <w:num w:numId="69">
    <w:abstractNumId w:val="37"/>
  </w:num>
  <w:num w:numId="70">
    <w:abstractNumId w:val="35"/>
  </w:num>
  <w:num w:numId="71">
    <w:abstractNumId w:val="19"/>
  </w:num>
  <w:num w:numId="72">
    <w:abstractNumId w:val="32"/>
  </w:num>
  <w:num w:numId="73">
    <w:abstractNumId w:val="9"/>
  </w:num>
  <w:num w:numId="74">
    <w:abstractNumId w:val="7"/>
  </w:num>
  <w:num w:numId="75">
    <w:abstractNumId w:val="6"/>
  </w:num>
  <w:num w:numId="76">
    <w:abstractNumId w:val="5"/>
  </w:num>
  <w:num w:numId="77">
    <w:abstractNumId w:val="4"/>
  </w:num>
  <w:num w:numId="78">
    <w:abstractNumId w:val="8"/>
  </w:num>
  <w:num w:numId="79">
    <w:abstractNumId w:val="3"/>
  </w:num>
  <w:num w:numId="80">
    <w:abstractNumId w:val="2"/>
  </w:num>
  <w:num w:numId="81">
    <w:abstractNumId w:val="1"/>
  </w:num>
  <w:num w:numId="82">
    <w:abstractNumId w:val="0"/>
  </w:num>
  <w:num w:numId="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attachedTemplate r:id="rId1"/>
  <w:documentProtection w:edit="trackedChanges" w:enforcement="0"/>
  <w:defaultTabStop w:val="720"/>
  <w:autoHyphenation/>
  <w:hyphenationZone w:val="425"/>
  <w:characterSpacingControl w:val="doNotCompress"/>
  <w:hdrShapeDefaults>
    <o:shapedefaults v:ext="edit" spidmax="921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01" w:val="Aktualisierung der Strukturanzeige [445ms] [Main] [eNormCommandLocal::DynamicStructureCheck.UpdateStructure]"/>
    <w:docVar w:name="BefehlsHistorie_Befehl02" w:val="Metadaten aktualisieren [3120ms] [Main] [eNormCommandLocal::MetadatenCommands.MetadatenAktualisieren_Silent]"/>
    <w:docVar w:name="BefehlsHistorie_BefehlsZähler" w:val="2"/>
    <w:docVar w:name="BefehlsHistorie_DocumentOpen" w:val="2787,84ms"/>
    <w:docVar w:name="BefehlsKontext_SpeichernOOXML_Maximum" w:val="228ms"/>
    <w:docVar w:name="BefehlsKontext_SpeichernOOXML_Schnitt" w:val="175,5ms"/>
    <w:docVar w:name="BMJ" w:val="True"/>
    <w:docVar w:name="CUSTOMER" w:val="8"/>
    <w:docVar w:name="DQCDateTime" w:val="05.12.2019 09:45:03"/>
    <w:docVar w:name="DQCHighlighting" w:val="100"/>
    <w:docVar w:name="DQCPart_Begruendung" w:val="0"/>
    <w:docVar w:name="DQCPart_Dokument" w:val="0"/>
    <w:docVar w:name="DQCPart_Regelungsteil" w:val="0"/>
    <w:docVar w:name="DQCPart_Vorblatt" w:val="0"/>
    <w:docVar w:name="DQCResult_Aenderungsbefehl" w:val="0;0"/>
    <w:docVar w:name="DQCResult_Binnenverweise" w:val="0;0"/>
    <w:docVar w:name="DQCResult_Citations" w:val="0;0"/>
    <w:docVar w:name="DQCResult_EinzelneRegelungsteile" w:val="1;0"/>
    <w:docVar w:name="DQCResult_EmbeddedObjects" w:val="0;0"/>
    <w:docVar w:name="DQCResult_Gliederung" w:val="0;0"/>
    <w:docVar w:name="DQCResult_Marker" w:val="0;0"/>
    <w:docVar w:name="DQCResult_Metadata" w:val="0;0"/>
    <w:docVar w:name="DQCResult_ModifiedCharFormat" w:val="0;0"/>
    <w:docVar w:name="DQCResult_ModifiedMargins" w:val="0;0"/>
    <w:docVar w:name="DQCResult_ModifiedNumbering" w:val="0;0"/>
    <w:docVar w:name="DQCResult_StructureCheck" w:val="0;0"/>
    <w:docVar w:name="DQCResult_SuperfluousWhitespace" w:val="0;0"/>
    <w:docVar w:name="DQCResult_TermsAndDiction" w:val="0;0"/>
    <w:docVar w:name="DQCResult_Verweise" w:val="0;0"/>
    <w:docVar w:name="DQCWithWarnings" w:val="1"/>
    <w:docVar w:name="LW_DocType" w:val="AENDER"/>
    <w:docVar w:name="LWCons_Langue" w:val="DE"/>
  </w:docVars>
  <w:rsids>
    <w:rsidRoot w:val="003657BF"/>
    <w:rsid w:val="00005203"/>
    <w:rsid w:val="00005DC9"/>
    <w:rsid w:val="00005EAE"/>
    <w:rsid w:val="00006AD8"/>
    <w:rsid w:val="00010C07"/>
    <w:rsid w:val="00011CC8"/>
    <w:rsid w:val="00012DB4"/>
    <w:rsid w:val="0001409E"/>
    <w:rsid w:val="00015CF0"/>
    <w:rsid w:val="0001795D"/>
    <w:rsid w:val="000236DB"/>
    <w:rsid w:val="00024AC6"/>
    <w:rsid w:val="00025D42"/>
    <w:rsid w:val="000275A7"/>
    <w:rsid w:val="000309C1"/>
    <w:rsid w:val="000339CE"/>
    <w:rsid w:val="000341E6"/>
    <w:rsid w:val="00034E83"/>
    <w:rsid w:val="00036721"/>
    <w:rsid w:val="000369AA"/>
    <w:rsid w:val="00036D55"/>
    <w:rsid w:val="00040221"/>
    <w:rsid w:val="00040CB1"/>
    <w:rsid w:val="0004719D"/>
    <w:rsid w:val="00047E38"/>
    <w:rsid w:val="00047FC4"/>
    <w:rsid w:val="00050074"/>
    <w:rsid w:val="000512B5"/>
    <w:rsid w:val="000545DA"/>
    <w:rsid w:val="000559A6"/>
    <w:rsid w:val="00057C72"/>
    <w:rsid w:val="00060151"/>
    <w:rsid w:val="00063293"/>
    <w:rsid w:val="00063CBE"/>
    <w:rsid w:val="00065442"/>
    <w:rsid w:val="0006573B"/>
    <w:rsid w:val="00066D24"/>
    <w:rsid w:val="00066F60"/>
    <w:rsid w:val="000671EF"/>
    <w:rsid w:val="000678A6"/>
    <w:rsid w:val="000678CF"/>
    <w:rsid w:val="00070300"/>
    <w:rsid w:val="00071D0C"/>
    <w:rsid w:val="0007205E"/>
    <w:rsid w:val="0007272A"/>
    <w:rsid w:val="00072FAC"/>
    <w:rsid w:val="00073134"/>
    <w:rsid w:val="0007343B"/>
    <w:rsid w:val="00074820"/>
    <w:rsid w:val="00075A3F"/>
    <w:rsid w:val="00075C5A"/>
    <w:rsid w:val="0007662E"/>
    <w:rsid w:val="00077F8C"/>
    <w:rsid w:val="00081107"/>
    <w:rsid w:val="00081CE8"/>
    <w:rsid w:val="00081E70"/>
    <w:rsid w:val="000836B7"/>
    <w:rsid w:val="0008530E"/>
    <w:rsid w:val="000865A0"/>
    <w:rsid w:val="00087BDB"/>
    <w:rsid w:val="00090EC8"/>
    <w:rsid w:val="00091BF8"/>
    <w:rsid w:val="00094E84"/>
    <w:rsid w:val="00095684"/>
    <w:rsid w:val="00095D95"/>
    <w:rsid w:val="00095EE9"/>
    <w:rsid w:val="000963A0"/>
    <w:rsid w:val="00097C53"/>
    <w:rsid w:val="000A01DC"/>
    <w:rsid w:val="000A0383"/>
    <w:rsid w:val="000A13BB"/>
    <w:rsid w:val="000A2FA4"/>
    <w:rsid w:val="000A49B8"/>
    <w:rsid w:val="000A6108"/>
    <w:rsid w:val="000A67B7"/>
    <w:rsid w:val="000A6CA1"/>
    <w:rsid w:val="000B00C6"/>
    <w:rsid w:val="000B235E"/>
    <w:rsid w:val="000B496E"/>
    <w:rsid w:val="000B52AD"/>
    <w:rsid w:val="000C0954"/>
    <w:rsid w:val="000C32E3"/>
    <w:rsid w:val="000C3695"/>
    <w:rsid w:val="000C37BE"/>
    <w:rsid w:val="000C53EA"/>
    <w:rsid w:val="000C5A3C"/>
    <w:rsid w:val="000C66BD"/>
    <w:rsid w:val="000C6711"/>
    <w:rsid w:val="000C790F"/>
    <w:rsid w:val="000D2B8F"/>
    <w:rsid w:val="000D55A6"/>
    <w:rsid w:val="000D6995"/>
    <w:rsid w:val="000D79FF"/>
    <w:rsid w:val="000D7AC5"/>
    <w:rsid w:val="000D7C29"/>
    <w:rsid w:val="000E034D"/>
    <w:rsid w:val="000E1971"/>
    <w:rsid w:val="000E26C9"/>
    <w:rsid w:val="000E2836"/>
    <w:rsid w:val="000E2B4A"/>
    <w:rsid w:val="000E353C"/>
    <w:rsid w:val="000E3B85"/>
    <w:rsid w:val="000E60C8"/>
    <w:rsid w:val="000E6512"/>
    <w:rsid w:val="000E6E04"/>
    <w:rsid w:val="000E7734"/>
    <w:rsid w:val="000F0DF8"/>
    <w:rsid w:val="000F0F28"/>
    <w:rsid w:val="000F1BB1"/>
    <w:rsid w:val="000F286C"/>
    <w:rsid w:val="000F3B06"/>
    <w:rsid w:val="000F527B"/>
    <w:rsid w:val="000F75C8"/>
    <w:rsid w:val="000F7D1E"/>
    <w:rsid w:val="0010043B"/>
    <w:rsid w:val="00100D84"/>
    <w:rsid w:val="0010228B"/>
    <w:rsid w:val="00102440"/>
    <w:rsid w:val="001047CB"/>
    <w:rsid w:val="00104F9A"/>
    <w:rsid w:val="00105064"/>
    <w:rsid w:val="00105B4D"/>
    <w:rsid w:val="0011146C"/>
    <w:rsid w:val="001132F4"/>
    <w:rsid w:val="001146CA"/>
    <w:rsid w:val="00120808"/>
    <w:rsid w:val="00121CC8"/>
    <w:rsid w:val="00122DD8"/>
    <w:rsid w:val="00123EF9"/>
    <w:rsid w:val="00126074"/>
    <w:rsid w:val="0012624F"/>
    <w:rsid w:val="001264CA"/>
    <w:rsid w:val="001270D6"/>
    <w:rsid w:val="001323FD"/>
    <w:rsid w:val="00133821"/>
    <w:rsid w:val="00134C6B"/>
    <w:rsid w:val="00134D10"/>
    <w:rsid w:val="00135FD4"/>
    <w:rsid w:val="00137BD7"/>
    <w:rsid w:val="00141584"/>
    <w:rsid w:val="0014256F"/>
    <w:rsid w:val="00142736"/>
    <w:rsid w:val="00143614"/>
    <w:rsid w:val="001440A4"/>
    <w:rsid w:val="00144EBF"/>
    <w:rsid w:val="00146791"/>
    <w:rsid w:val="0014798D"/>
    <w:rsid w:val="00147B6D"/>
    <w:rsid w:val="00150AA0"/>
    <w:rsid w:val="0015193A"/>
    <w:rsid w:val="00151E07"/>
    <w:rsid w:val="00152853"/>
    <w:rsid w:val="00155390"/>
    <w:rsid w:val="001554C5"/>
    <w:rsid w:val="00155AFD"/>
    <w:rsid w:val="00155F74"/>
    <w:rsid w:val="001570E7"/>
    <w:rsid w:val="00157DBD"/>
    <w:rsid w:val="00161CAB"/>
    <w:rsid w:val="001639A8"/>
    <w:rsid w:val="00164244"/>
    <w:rsid w:val="001657D7"/>
    <w:rsid w:val="00166A69"/>
    <w:rsid w:val="00171C21"/>
    <w:rsid w:val="0017210A"/>
    <w:rsid w:val="001747BD"/>
    <w:rsid w:val="00174F29"/>
    <w:rsid w:val="00176319"/>
    <w:rsid w:val="001802D3"/>
    <w:rsid w:val="00181316"/>
    <w:rsid w:val="00182745"/>
    <w:rsid w:val="00183DB6"/>
    <w:rsid w:val="00185092"/>
    <w:rsid w:val="00185880"/>
    <w:rsid w:val="00190762"/>
    <w:rsid w:val="00190C81"/>
    <w:rsid w:val="00191C46"/>
    <w:rsid w:val="00195634"/>
    <w:rsid w:val="00197137"/>
    <w:rsid w:val="00197893"/>
    <w:rsid w:val="001A0482"/>
    <w:rsid w:val="001A1A58"/>
    <w:rsid w:val="001A30C5"/>
    <w:rsid w:val="001A5C95"/>
    <w:rsid w:val="001B01C0"/>
    <w:rsid w:val="001B1798"/>
    <w:rsid w:val="001B39AB"/>
    <w:rsid w:val="001B4ECC"/>
    <w:rsid w:val="001B4F9A"/>
    <w:rsid w:val="001B545A"/>
    <w:rsid w:val="001B5F02"/>
    <w:rsid w:val="001C0059"/>
    <w:rsid w:val="001C1676"/>
    <w:rsid w:val="001C2763"/>
    <w:rsid w:val="001C2877"/>
    <w:rsid w:val="001C2901"/>
    <w:rsid w:val="001C29CA"/>
    <w:rsid w:val="001C2C34"/>
    <w:rsid w:val="001C38C2"/>
    <w:rsid w:val="001C3E93"/>
    <w:rsid w:val="001C40BF"/>
    <w:rsid w:val="001C464B"/>
    <w:rsid w:val="001D1481"/>
    <w:rsid w:val="001D15EA"/>
    <w:rsid w:val="001D1792"/>
    <w:rsid w:val="001D5A7C"/>
    <w:rsid w:val="001D7EC6"/>
    <w:rsid w:val="001E03A1"/>
    <w:rsid w:val="001E2442"/>
    <w:rsid w:val="001E29B9"/>
    <w:rsid w:val="001E3085"/>
    <w:rsid w:val="001E54A7"/>
    <w:rsid w:val="001E5752"/>
    <w:rsid w:val="001E60A4"/>
    <w:rsid w:val="001E6E9F"/>
    <w:rsid w:val="001F11D6"/>
    <w:rsid w:val="001F2638"/>
    <w:rsid w:val="001F31A5"/>
    <w:rsid w:val="001F353E"/>
    <w:rsid w:val="001F559F"/>
    <w:rsid w:val="001F5C4B"/>
    <w:rsid w:val="00200244"/>
    <w:rsid w:val="00203121"/>
    <w:rsid w:val="002034CA"/>
    <w:rsid w:val="0020470D"/>
    <w:rsid w:val="002100E4"/>
    <w:rsid w:val="00211006"/>
    <w:rsid w:val="00211C47"/>
    <w:rsid w:val="0021244F"/>
    <w:rsid w:val="00212780"/>
    <w:rsid w:val="00213181"/>
    <w:rsid w:val="002140C7"/>
    <w:rsid w:val="00215B20"/>
    <w:rsid w:val="00215BF1"/>
    <w:rsid w:val="002162B4"/>
    <w:rsid w:val="00221F60"/>
    <w:rsid w:val="00226062"/>
    <w:rsid w:val="00227EDA"/>
    <w:rsid w:val="00230026"/>
    <w:rsid w:val="0023260E"/>
    <w:rsid w:val="00233BC6"/>
    <w:rsid w:val="00234D50"/>
    <w:rsid w:val="00235334"/>
    <w:rsid w:val="00235843"/>
    <w:rsid w:val="0023644E"/>
    <w:rsid w:val="00236C80"/>
    <w:rsid w:val="002412D2"/>
    <w:rsid w:val="0024172A"/>
    <w:rsid w:val="002428A3"/>
    <w:rsid w:val="0024548E"/>
    <w:rsid w:val="00245927"/>
    <w:rsid w:val="002461D8"/>
    <w:rsid w:val="0024699E"/>
    <w:rsid w:val="00246B98"/>
    <w:rsid w:val="00247D54"/>
    <w:rsid w:val="0025034C"/>
    <w:rsid w:val="00251E5F"/>
    <w:rsid w:val="00252905"/>
    <w:rsid w:val="0025359C"/>
    <w:rsid w:val="00253977"/>
    <w:rsid w:val="0025417D"/>
    <w:rsid w:val="00260024"/>
    <w:rsid w:val="00260816"/>
    <w:rsid w:val="002610BF"/>
    <w:rsid w:val="002628B3"/>
    <w:rsid w:val="00263394"/>
    <w:rsid w:val="00266B01"/>
    <w:rsid w:val="00270192"/>
    <w:rsid w:val="00270888"/>
    <w:rsid w:val="00273C99"/>
    <w:rsid w:val="00277251"/>
    <w:rsid w:val="00277DDD"/>
    <w:rsid w:val="00281750"/>
    <w:rsid w:val="00282F73"/>
    <w:rsid w:val="00285E38"/>
    <w:rsid w:val="00290EAA"/>
    <w:rsid w:val="00291778"/>
    <w:rsid w:val="00291CCF"/>
    <w:rsid w:val="00293E5D"/>
    <w:rsid w:val="00296D28"/>
    <w:rsid w:val="00297CD1"/>
    <w:rsid w:val="002A05A5"/>
    <w:rsid w:val="002A1337"/>
    <w:rsid w:val="002A4F2A"/>
    <w:rsid w:val="002A64D3"/>
    <w:rsid w:val="002A7CF3"/>
    <w:rsid w:val="002B0AEC"/>
    <w:rsid w:val="002B1E3A"/>
    <w:rsid w:val="002B3063"/>
    <w:rsid w:val="002B349C"/>
    <w:rsid w:val="002B37BD"/>
    <w:rsid w:val="002C0FF0"/>
    <w:rsid w:val="002C5D44"/>
    <w:rsid w:val="002C785B"/>
    <w:rsid w:val="002D0B6C"/>
    <w:rsid w:val="002D1C58"/>
    <w:rsid w:val="002D1FED"/>
    <w:rsid w:val="002D2764"/>
    <w:rsid w:val="002D3BB0"/>
    <w:rsid w:val="002D4A97"/>
    <w:rsid w:val="002D6529"/>
    <w:rsid w:val="002D6CD3"/>
    <w:rsid w:val="002E06AF"/>
    <w:rsid w:val="002E29F7"/>
    <w:rsid w:val="002E63A3"/>
    <w:rsid w:val="002E66C5"/>
    <w:rsid w:val="002F1833"/>
    <w:rsid w:val="002F3432"/>
    <w:rsid w:val="002F422E"/>
    <w:rsid w:val="002F496D"/>
    <w:rsid w:val="002F5A91"/>
    <w:rsid w:val="002F5B21"/>
    <w:rsid w:val="002F7188"/>
    <w:rsid w:val="002F726A"/>
    <w:rsid w:val="002F7988"/>
    <w:rsid w:val="00301CF5"/>
    <w:rsid w:val="00303CB2"/>
    <w:rsid w:val="00304376"/>
    <w:rsid w:val="0030459B"/>
    <w:rsid w:val="00305417"/>
    <w:rsid w:val="00305EF2"/>
    <w:rsid w:val="00307055"/>
    <w:rsid w:val="00313C11"/>
    <w:rsid w:val="00313CDF"/>
    <w:rsid w:val="00313FF3"/>
    <w:rsid w:val="0031570C"/>
    <w:rsid w:val="00315FE7"/>
    <w:rsid w:val="00316432"/>
    <w:rsid w:val="0031658C"/>
    <w:rsid w:val="00320FFA"/>
    <w:rsid w:val="0032173B"/>
    <w:rsid w:val="00323A5C"/>
    <w:rsid w:val="00326593"/>
    <w:rsid w:val="003268D8"/>
    <w:rsid w:val="00326C39"/>
    <w:rsid w:val="00332FD3"/>
    <w:rsid w:val="00335C26"/>
    <w:rsid w:val="0034018F"/>
    <w:rsid w:val="0034105E"/>
    <w:rsid w:val="00341ADF"/>
    <w:rsid w:val="00343502"/>
    <w:rsid w:val="00343E25"/>
    <w:rsid w:val="00344C8D"/>
    <w:rsid w:val="00346889"/>
    <w:rsid w:val="00346E3A"/>
    <w:rsid w:val="00346FE0"/>
    <w:rsid w:val="00352B1F"/>
    <w:rsid w:val="00352D2A"/>
    <w:rsid w:val="00355612"/>
    <w:rsid w:val="00355B32"/>
    <w:rsid w:val="00355F40"/>
    <w:rsid w:val="003614B2"/>
    <w:rsid w:val="003629D4"/>
    <w:rsid w:val="00363DAC"/>
    <w:rsid w:val="0036463B"/>
    <w:rsid w:val="00364837"/>
    <w:rsid w:val="003657BF"/>
    <w:rsid w:val="003658DF"/>
    <w:rsid w:val="00365B48"/>
    <w:rsid w:val="00367760"/>
    <w:rsid w:val="00367EE4"/>
    <w:rsid w:val="003743F8"/>
    <w:rsid w:val="00374708"/>
    <w:rsid w:val="00376639"/>
    <w:rsid w:val="00380EB5"/>
    <w:rsid w:val="00382065"/>
    <w:rsid w:val="00382765"/>
    <w:rsid w:val="00383DE3"/>
    <w:rsid w:val="00386240"/>
    <w:rsid w:val="0038641C"/>
    <w:rsid w:val="00390110"/>
    <w:rsid w:val="00391FB2"/>
    <w:rsid w:val="003927B2"/>
    <w:rsid w:val="00395296"/>
    <w:rsid w:val="00395BE7"/>
    <w:rsid w:val="0039691D"/>
    <w:rsid w:val="00397301"/>
    <w:rsid w:val="0039748C"/>
    <w:rsid w:val="00397674"/>
    <w:rsid w:val="003A164E"/>
    <w:rsid w:val="003A2364"/>
    <w:rsid w:val="003A2B5E"/>
    <w:rsid w:val="003A3691"/>
    <w:rsid w:val="003A3D04"/>
    <w:rsid w:val="003A4CDA"/>
    <w:rsid w:val="003A640B"/>
    <w:rsid w:val="003A6445"/>
    <w:rsid w:val="003B150E"/>
    <w:rsid w:val="003B15E8"/>
    <w:rsid w:val="003B3DA4"/>
    <w:rsid w:val="003B4E36"/>
    <w:rsid w:val="003B67D7"/>
    <w:rsid w:val="003C10AD"/>
    <w:rsid w:val="003C21C4"/>
    <w:rsid w:val="003C38BA"/>
    <w:rsid w:val="003C4B3B"/>
    <w:rsid w:val="003C5720"/>
    <w:rsid w:val="003C59C5"/>
    <w:rsid w:val="003C6177"/>
    <w:rsid w:val="003C65B3"/>
    <w:rsid w:val="003C7135"/>
    <w:rsid w:val="003C7F40"/>
    <w:rsid w:val="003D0C38"/>
    <w:rsid w:val="003D2981"/>
    <w:rsid w:val="003D41F5"/>
    <w:rsid w:val="003D4453"/>
    <w:rsid w:val="003D7770"/>
    <w:rsid w:val="003E0EF9"/>
    <w:rsid w:val="003E20AF"/>
    <w:rsid w:val="003E26D2"/>
    <w:rsid w:val="003E3FD9"/>
    <w:rsid w:val="003E43DB"/>
    <w:rsid w:val="003E4BEE"/>
    <w:rsid w:val="003E4F81"/>
    <w:rsid w:val="003E542F"/>
    <w:rsid w:val="003E6B6D"/>
    <w:rsid w:val="003F0A32"/>
    <w:rsid w:val="003F0CD9"/>
    <w:rsid w:val="003F3FDA"/>
    <w:rsid w:val="003F4BBF"/>
    <w:rsid w:val="00400758"/>
    <w:rsid w:val="0040184F"/>
    <w:rsid w:val="00401877"/>
    <w:rsid w:val="00401BDC"/>
    <w:rsid w:val="00401F46"/>
    <w:rsid w:val="0040260C"/>
    <w:rsid w:val="00402F18"/>
    <w:rsid w:val="00403EF8"/>
    <w:rsid w:val="0040485A"/>
    <w:rsid w:val="00404D59"/>
    <w:rsid w:val="0040554B"/>
    <w:rsid w:val="004055AB"/>
    <w:rsid w:val="004077D0"/>
    <w:rsid w:val="004119A3"/>
    <w:rsid w:val="004160A4"/>
    <w:rsid w:val="004172F5"/>
    <w:rsid w:val="004229C8"/>
    <w:rsid w:val="00423990"/>
    <w:rsid w:val="00423A7E"/>
    <w:rsid w:val="00423D6D"/>
    <w:rsid w:val="004242E0"/>
    <w:rsid w:val="00425E4E"/>
    <w:rsid w:val="00427426"/>
    <w:rsid w:val="004278B4"/>
    <w:rsid w:val="0043080E"/>
    <w:rsid w:val="0043126B"/>
    <w:rsid w:val="004316C2"/>
    <w:rsid w:val="00431A22"/>
    <w:rsid w:val="00431C2C"/>
    <w:rsid w:val="00431C40"/>
    <w:rsid w:val="00431DDD"/>
    <w:rsid w:val="004325B0"/>
    <w:rsid w:val="00436099"/>
    <w:rsid w:val="00437B21"/>
    <w:rsid w:val="00437DAA"/>
    <w:rsid w:val="00442B5F"/>
    <w:rsid w:val="00444EA7"/>
    <w:rsid w:val="0045051A"/>
    <w:rsid w:val="00450668"/>
    <w:rsid w:val="004527C0"/>
    <w:rsid w:val="00453C95"/>
    <w:rsid w:val="00455E5A"/>
    <w:rsid w:val="00457204"/>
    <w:rsid w:val="00462131"/>
    <w:rsid w:val="00462E5D"/>
    <w:rsid w:val="00463351"/>
    <w:rsid w:val="00467727"/>
    <w:rsid w:val="00470267"/>
    <w:rsid w:val="004706B9"/>
    <w:rsid w:val="0047123C"/>
    <w:rsid w:val="00472765"/>
    <w:rsid w:val="0047320E"/>
    <w:rsid w:val="00474690"/>
    <w:rsid w:val="00474AB7"/>
    <w:rsid w:val="00475C23"/>
    <w:rsid w:val="004760EB"/>
    <w:rsid w:val="00476A84"/>
    <w:rsid w:val="00477683"/>
    <w:rsid w:val="00481914"/>
    <w:rsid w:val="00481B5A"/>
    <w:rsid w:val="0048398F"/>
    <w:rsid w:val="004845DA"/>
    <w:rsid w:val="00484F83"/>
    <w:rsid w:val="0048696D"/>
    <w:rsid w:val="00486E50"/>
    <w:rsid w:val="00487003"/>
    <w:rsid w:val="004871BC"/>
    <w:rsid w:val="004879FC"/>
    <w:rsid w:val="004935D4"/>
    <w:rsid w:val="004957A8"/>
    <w:rsid w:val="00497B01"/>
    <w:rsid w:val="004A0350"/>
    <w:rsid w:val="004A38CA"/>
    <w:rsid w:val="004A594D"/>
    <w:rsid w:val="004A608E"/>
    <w:rsid w:val="004A678D"/>
    <w:rsid w:val="004B092F"/>
    <w:rsid w:val="004B2C7B"/>
    <w:rsid w:val="004B483E"/>
    <w:rsid w:val="004B4D2C"/>
    <w:rsid w:val="004B702F"/>
    <w:rsid w:val="004B7EE8"/>
    <w:rsid w:val="004C0C2A"/>
    <w:rsid w:val="004C0C7C"/>
    <w:rsid w:val="004C27DD"/>
    <w:rsid w:val="004C4B11"/>
    <w:rsid w:val="004C4E4F"/>
    <w:rsid w:val="004C5A56"/>
    <w:rsid w:val="004D0344"/>
    <w:rsid w:val="004D2DEA"/>
    <w:rsid w:val="004D39BC"/>
    <w:rsid w:val="004D5ABA"/>
    <w:rsid w:val="004D63AD"/>
    <w:rsid w:val="004E280B"/>
    <w:rsid w:val="004E2F10"/>
    <w:rsid w:val="004E4704"/>
    <w:rsid w:val="004E4A25"/>
    <w:rsid w:val="004E4DA3"/>
    <w:rsid w:val="004E76DC"/>
    <w:rsid w:val="004E7D9E"/>
    <w:rsid w:val="004F2D14"/>
    <w:rsid w:val="004F3665"/>
    <w:rsid w:val="004F3B27"/>
    <w:rsid w:val="004F3C83"/>
    <w:rsid w:val="004F41DD"/>
    <w:rsid w:val="004F4D4B"/>
    <w:rsid w:val="004F6518"/>
    <w:rsid w:val="00500334"/>
    <w:rsid w:val="005031F0"/>
    <w:rsid w:val="00503C3C"/>
    <w:rsid w:val="0050417A"/>
    <w:rsid w:val="00504D23"/>
    <w:rsid w:val="00505D8D"/>
    <w:rsid w:val="005062FA"/>
    <w:rsid w:val="00506F58"/>
    <w:rsid w:val="0050710B"/>
    <w:rsid w:val="005108A0"/>
    <w:rsid w:val="00511801"/>
    <w:rsid w:val="00516450"/>
    <w:rsid w:val="00517D67"/>
    <w:rsid w:val="00523101"/>
    <w:rsid w:val="00523DC8"/>
    <w:rsid w:val="00525B16"/>
    <w:rsid w:val="005267F5"/>
    <w:rsid w:val="00530846"/>
    <w:rsid w:val="0053107C"/>
    <w:rsid w:val="00531C31"/>
    <w:rsid w:val="005322C9"/>
    <w:rsid w:val="005329E3"/>
    <w:rsid w:val="00532C78"/>
    <w:rsid w:val="005330EE"/>
    <w:rsid w:val="00534732"/>
    <w:rsid w:val="00536718"/>
    <w:rsid w:val="00542489"/>
    <w:rsid w:val="005427A5"/>
    <w:rsid w:val="005428FD"/>
    <w:rsid w:val="00543E8F"/>
    <w:rsid w:val="00544753"/>
    <w:rsid w:val="00544C27"/>
    <w:rsid w:val="00545629"/>
    <w:rsid w:val="00545EFA"/>
    <w:rsid w:val="00546991"/>
    <w:rsid w:val="0055039D"/>
    <w:rsid w:val="005513E8"/>
    <w:rsid w:val="00551FD8"/>
    <w:rsid w:val="005520A0"/>
    <w:rsid w:val="0055283F"/>
    <w:rsid w:val="00553222"/>
    <w:rsid w:val="0055367B"/>
    <w:rsid w:val="005538FA"/>
    <w:rsid w:val="00553928"/>
    <w:rsid w:val="00554403"/>
    <w:rsid w:val="0055596D"/>
    <w:rsid w:val="00556527"/>
    <w:rsid w:val="00564401"/>
    <w:rsid w:val="00564604"/>
    <w:rsid w:val="00565CD9"/>
    <w:rsid w:val="005700A6"/>
    <w:rsid w:val="005709ED"/>
    <w:rsid w:val="005723C8"/>
    <w:rsid w:val="0057471E"/>
    <w:rsid w:val="00576A4D"/>
    <w:rsid w:val="00577DB9"/>
    <w:rsid w:val="00581752"/>
    <w:rsid w:val="005831E4"/>
    <w:rsid w:val="0058637A"/>
    <w:rsid w:val="0058643E"/>
    <w:rsid w:val="00592A19"/>
    <w:rsid w:val="00592C40"/>
    <w:rsid w:val="00593215"/>
    <w:rsid w:val="00593EA2"/>
    <w:rsid w:val="00595070"/>
    <w:rsid w:val="0059539A"/>
    <w:rsid w:val="00595408"/>
    <w:rsid w:val="00595E58"/>
    <w:rsid w:val="00596937"/>
    <w:rsid w:val="005A2E8D"/>
    <w:rsid w:val="005A40C2"/>
    <w:rsid w:val="005A41DE"/>
    <w:rsid w:val="005B1B65"/>
    <w:rsid w:val="005B1B71"/>
    <w:rsid w:val="005B25E1"/>
    <w:rsid w:val="005B4A5A"/>
    <w:rsid w:val="005B5347"/>
    <w:rsid w:val="005B55EC"/>
    <w:rsid w:val="005B6342"/>
    <w:rsid w:val="005B7CDA"/>
    <w:rsid w:val="005C02D5"/>
    <w:rsid w:val="005C18F8"/>
    <w:rsid w:val="005C2112"/>
    <w:rsid w:val="005C44AE"/>
    <w:rsid w:val="005C60F6"/>
    <w:rsid w:val="005C675E"/>
    <w:rsid w:val="005C6EDA"/>
    <w:rsid w:val="005C730F"/>
    <w:rsid w:val="005C74C1"/>
    <w:rsid w:val="005C7F19"/>
    <w:rsid w:val="005D01B1"/>
    <w:rsid w:val="005D0CDE"/>
    <w:rsid w:val="005D13AC"/>
    <w:rsid w:val="005D5108"/>
    <w:rsid w:val="005D6E0D"/>
    <w:rsid w:val="005E0AC0"/>
    <w:rsid w:val="005E1642"/>
    <w:rsid w:val="005E3A13"/>
    <w:rsid w:val="005E4EAA"/>
    <w:rsid w:val="005E510C"/>
    <w:rsid w:val="005E5809"/>
    <w:rsid w:val="005E5DEA"/>
    <w:rsid w:val="005E6242"/>
    <w:rsid w:val="005E6FFC"/>
    <w:rsid w:val="005E7A11"/>
    <w:rsid w:val="005F0C3E"/>
    <w:rsid w:val="005F0C62"/>
    <w:rsid w:val="005F3B5E"/>
    <w:rsid w:val="005F44D1"/>
    <w:rsid w:val="005F6DF7"/>
    <w:rsid w:val="005F74B4"/>
    <w:rsid w:val="006002E0"/>
    <w:rsid w:val="00600933"/>
    <w:rsid w:val="00600C39"/>
    <w:rsid w:val="00601E9E"/>
    <w:rsid w:val="0061299C"/>
    <w:rsid w:val="00615177"/>
    <w:rsid w:val="00616825"/>
    <w:rsid w:val="00620706"/>
    <w:rsid w:val="006208F7"/>
    <w:rsid w:val="00621ECC"/>
    <w:rsid w:val="00622CA6"/>
    <w:rsid w:val="00625517"/>
    <w:rsid w:val="006257CC"/>
    <w:rsid w:val="00625EF4"/>
    <w:rsid w:val="00627615"/>
    <w:rsid w:val="00630E2C"/>
    <w:rsid w:val="00632017"/>
    <w:rsid w:val="00633498"/>
    <w:rsid w:val="00634464"/>
    <w:rsid w:val="006358DC"/>
    <w:rsid w:val="0064020B"/>
    <w:rsid w:val="00640937"/>
    <w:rsid w:val="0064369E"/>
    <w:rsid w:val="00643A7C"/>
    <w:rsid w:val="00643C14"/>
    <w:rsid w:val="006455E7"/>
    <w:rsid w:val="006464CF"/>
    <w:rsid w:val="00651315"/>
    <w:rsid w:val="00651CBF"/>
    <w:rsid w:val="00651D60"/>
    <w:rsid w:val="006524B6"/>
    <w:rsid w:val="0065361F"/>
    <w:rsid w:val="00653737"/>
    <w:rsid w:val="00654006"/>
    <w:rsid w:val="00654118"/>
    <w:rsid w:val="006553ED"/>
    <w:rsid w:val="006558DE"/>
    <w:rsid w:val="006603B5"/>
    <w:rsid w:val="00660CEB"/>
    <w:rsid w:val="00660D90"/>
    <w:rsid w:val="006618FB"/>
    <w:rsid w:val="00664042"/>
    <w:rsid w:val="00664609"/>
    <w:rsid w:val="00665A48"/>
    <w:rsid w:val="006670D2"/>
    <w:rsid w:val="0066785D"/>
    <w:rsid w:val="00667A3D"/>
    <w:rsid w:val="006705B1"/>
    <w:rsid w:val="00671237"/>
    <w:rsid w:val="006713EF"/>
    <w:rsid w:val="0067222C"/>
    <w:rsid w:val="00672661"/>
    <w:rsid w:val="00672E66"/>
    <w:rsid w:val="006764F1"/>
    <w:rsid w:val="006769ED"/>
    <w:rsid w:val="00677759"/>
    <w:rsid w:val="00680D72"/>
    <w:rsid w:val="0068219D"/>
    <w:rsid w:val="00682D8D"/>
    <w:rsid w:val="00683663"/>
    <w:rsid w:val="006858C9"/>
    <w:rsid w:val="0068616D"/>
    <w:rsid w:val="006868A8"/>
    <w:rsid w:val="00686AFD"/>
    <w:rsid w:val="00691C85"/>
    <w:rsid w:val="00695570"/>
    <w:rsid w:val="00696B46"/>
    <w:rsid w:val="006A0604"/>
    <w:rsid w:val="006A2A4F"/>
    <w:rsid w:val="006A2F59"/>
    <w:rsid w:val="006A3953"/>
    <w:rsid w:val="006A45AD"/>
    <w:rsid w:val="006A555F"/>
    <w:rsid w:val="006B07CA"/>
    <w:rsid w:val="006B15F7"/>
    <w:rsid w:val="006B494F"/>
    <w:rsid w:val="006B4F77"/>
    <w:rsid w:val="006B7B8C"/>
    <w:rsid w:val="006C0850"/>
    <w:rsid w:val="006C0E80"/>
    <w:rsid w:val="006C14DD"/>
    <w:rsid w:val="006C1B0D"/>
    <w:rsid w:val="006C3325"/>
    <w:rsid w:val="006C4086"/>
    <w:rsid w:val="006C567B"/>
    <w:rsid w:val="006C580F"/>
    <w:rsid w:val="006C58B7"/>
    <w:rsid w:val="006C58B8"/>
    <w:rsid w:val="006C5ECE"/>
    <w:rsid w:val="006C6F62"/>
    <w:rsid w:val="006C7F04"/>
    <w:rsid w:val="006D20F2"/>
    <w:rsid w:val="006D2DA3"/>
    <w:rsid w:val="006D4DD4"/>
    <w:rsid w:val="006D5E56"/>
    <w:rsid w:val="006E03AB"/>
    <w:rsid w:val="006E1765"/>
    <w:rsid w:val="006E58FE"/>
    <w:rsid w:val="006E5CD5"/>
    <w:rsid w:val="006E7B88"/>
    <w:rsid w:val="006F27FA"/>
    <w:rsid w:val="006F29BE"/>
    <w:rsid w:val="006F44C3"/>
    <w:rsid w:val="006F5AAC"/>
    <w:rsid w:val="006F7D7D"/>
    <w:rsid w:val="00701DC9"/>
    <w:rsid w:val="0070222F"/>
    <w:rsid w:val="007028BB"/>
    <w:rsid w:val="00703CAA"/>
    <w:rsid w:val="00704198"/>
    <w:rsid w:val="00705151"/>
    <w:rsid w:val="00705866"/>
    <w:rsid w:val="0070717F"/>
    <w:rsid w:val="007072E1"/>
    <w:rsid w:val="00707874"/>
    <w:rsid w:val="0071015E"/>
    <w:rsid w:val="007121B7"/>
    <w:rsid w:val="00712D8C"/>
    <w:rsid w:val="00720B16"/>
    <w:rsid w:val="00721A1B"/>
    <w:rsid w:val="00721EE3"/>
    <w:rsid w:val="00721F70"/>
    <w:rsid w:val="00722776"/>
    <w:rsid w:val="00722C5E"/>
    <w:rsid w:val="00723E5D"/>
    <w:rsid w:val="007252FC"/>
    <w:rsid w:val="00734E0C"/>
    <w:rsid w:val="007355ED"/>
    <w:rsid w:val="00736490"/>
    <w:rsid w:val="00737371"/>
    <w:rsid w:val="00740178"/>
    <w:rsid w:val="007417A0"/>
    <w:rsid w:val="0074202F"/>
    <w:rsid w:val="0074217A"/>
    <w:rsid w:val="00743482"/>
    <w:rsid w:val="007449A9"/>
    <w:rsid w:val="00744DB9"/>
    <w:rsid w:val="00745D07"/>
    <w:rsid w:val="00746CE7"/>
    <w:rsid w:val="00746FDC"/>
    <w:rsid w:val="00747D9F"/>
    <w:rsid w:val="007514B8"/>
    <w:rsid w:val="00752078"/>
    <w:rsid w:val="0075282A"/>
    <w:rsid w:val="00753726"/>
    <w:rsid w:val="00755273"/>
    <w:rsid w:val="00755782"/>
    <w:rsid w:val="007557A6"/>
    <w:rsid w:val="007558A5"/>
    <w:rsid w:val="00757DBB"/>
    <w:rsid w:val="00760EA9"/>
    <w:rsid w:val="00762F5A"/>
    <w:rsid w:val="00763B8A"/>
    <w:rsid w:val="00765D3E"/>
    <w:rsid w:val="007679CE"/>
    <w:rsid w:val="00767AA6"/>
    <w:rsid w:val="00767B6F"/>
    <w:rsid w:val="007712D8"/>
    <w:rsid w:val="007718CC"/>
    <w:rsid w:val="007729E9"/>
    <w:rsid w:val="00772F31"/>
    <w:rsid w:val="00772F65"/>
    <w:rsid w:val="00773C16"/>
    <w:rsid w:val="00774822"/>
    <w:rsid w:val="00776CD9"/>
    <w:rsid w:val="007801AA"/>
    <w:rsid w:val="007809C2"/>
    <w:rsid w:val="00780B62"/>
    <w:rsid w:val="007825B1"/>
    <w:rsid w:val="00782FB4"/>
    <w:rsid w:val="0078358E"/>
    <w:rsid w:val="007837DF"/>
    <w:rsid w:val="00785E94"/>
    <w:rsid w:val="0078692A"/>
    <w:rsid w:val="00787C04"/>
    <w:rsid w:val="007924FA"/>
    <w:rsid w:val="00793DC3"/>
    <w:rsid w:val="007940F1"/>
    <w:rsid w:val="0079595D"/>
    <w:rsid w:val="00796912"/>
    <w:rsid w:val="007971CD"/>
    <w:rsid w:val="00797621"/>
    <w:rsid w:val="007A156D"/>
    <w:rsid w:val="007A2AEE"/>
    <w:rsid w:val="007A4798"/>
    <w:rsid w:val="007A4AD2"/>
    <w:rsid w:val="007A750A"/>
    <w:rsid w:val="007A769E"/>
    <w:rsid w:val="007B0967"/>
    <w:rsid w:val="007B7FBA"/>
    <w:rsid w:val="007C0CEF"/>
    <w:rsid w:val="007C0F32"/>
    <w:rsid w:val="007C1AFA"/>
    <w:rsid w:val="007C30C8"/>
    <w:rsid w:val="007C329D"/>
    <w:rsid w:val="007C3AAE"/>
    <w:rsid w:val="007D1532"/>
    <w:rsid w:val="007D4AFD"/>
    <w:rsid w:val="007E24E4"/>
    <w:rsid w:val="007E2B04"/>
    <w:rsid w:val="007E381B"/>
    <w:rsid w:val="007E4FFB"/>
    <w:rsid w:val="007E5881"/>
    <w:rsid w:val="007E7181"/>
    <w:rsid w:val="007E72D6"/>
    <w:rsid w:val="007E7C36"/>
    <w:rsid w:val="007E7C54"/>
    <w:rsid w:val="007F01E0"/>
    <w:rsid w:val="007F22CD"/>
    <w:rsid w:val="007F5358"/>
    <w:rsid w:val="0080056D"/>
    <w:rsid w:val="00800D7E"/>
    <w:rsid w:val="00801540"/>
    <w:rsid w:val="008019B8"/>
    <w:rsid w:val="00801D33"/>
    <w:rsid w:val="00802B03"/>
    <w:rsid w:val="00802B6F"/>
    <w:rsid w:val="008060B0"/>
    <w:rsid w:val="00807809"/>
    <w:rsid w:val="00807B31"/>
    <w:rsid w:val="00810BFB"/>
    <w:rsid w:val="008110E1"/>
    <w:rsid w:val="008128FA"/>
    <w:rsid w:val="008132C8"/>
    <w:rsid w:val="00814D20"/>
    <w:rsid w:val="00815885"/>
    <w:rsid w:val="00817014"/>
    <w:rsid w:val="008218F8"/>
    <w:rsid w:val="0082276D"/>
    <w:rsid w:val="008277F9"/>
    <w:rsid w:val="00830266"/>
    <w:rsid w:val="00831222"/>
    <w:rsid w:val="008317ED"/>
    <w:rsid w:val="00833BEE"/>
    <w:rsid w:val="0083565B"/>
    <w:rsid w:val="00837EBC"/>
    <w:rsid w:val="00841C97"/>
    <w:rsid w:val="0084296E"/>
    <w:rsid w:val="008456B9"/>
    <w:rsid w:val="008471E8"/>
    <w:rsid w:val="00850C76"/>
    <w:rsid w:val="0085173D"/>
    <w:rsid w:val="00851F12"/>
    <w:rsid w:val="0085300D"/>
    <w:rsid w:val="00855559"/>
    <w:rsid w:val="00856F68"/>
    <w:rsid w:val="00857F76"/>
    <w:rsid w:val="00861FF9"/>
    <w:rsid w:val="00862934"/>
    <w:rsid w:val="00864797"/>
    <w:rsid w:val="0086602A"/>
    <w:rsid w:val="008661A3"/>
    <w:rsid w:val="00870823"/>
    <w:rsid w:val="00871D72"/>
    <w:rsid w:val="008724D0"/>
    <w:rsid w:val="00872D37"/>
    <w:rsid w:val="0087381F"/>
    <w:rsid w:val="008738CE"/>
    <w:rsid w:val="00874702"/>
    <w:rsid w:val="0087575D"/>
    <w:rsid w:val="00875EF2"/>
    <w:rsid w:val="00876E23"/>
    <w:rsid w:val="00880945"/>
    <w:rsid w:val="0088183E"/>
    <w:rsid w:val="00882D82"/>
    <w:rsid w:val="00884749"/>
    <w:rsid w:val="00885173"/>
    <w:rsid w:val="008853AD"/>
    <w:rsid w:val="00885D52"/>
    <w:rsid w:val="0089037B"/>
    <w:rsid w:val="008906EA"/>
    <w:rsid w:val="00891568"/>
    <w:rsid w:val="0089241E"/>
    <w:rsid w:val="00896ED9"/>
    <w:rsid w:val="008A1BBB"/>
    <w:rsid w:val="008A2C78"/>
    <w:rsid w:val="008A36C0"/>
    <w:rsid w:val="008A387A"/>
    <w:rsid w:val="008A58AE"/>
    <w:rsid w:val="008A590D"/>
    <w:rsid w:val="008B0A74"/>
    <w:rsid w:val="008B3359"/>
    <w:rsid w:val="008C17D3"/>
    <w:rsid w:val="008C3CD2"/>
    <w:rsid w:val="008C53A2"/>
    <w:rsid w:val="008C6A52"/>
    <w:rsid w:val="008C6F8D"/>
    <w:rsid w:val="008D0A05"/>
    <w:rsid w:val="008D1B93"/>
    <w:rsid w:val="008D2B25"/>
    <w:rsid w:val="008D2C97"/>
    <w:rsid w:val="008D599B"/>
    <w:rsid w:val="008D5BFF"/>
    <w:rsid w:val="008D6DDF"/>
    <w:rsid w:val="008E1765"/>
    <w:rsid w:val="008E6166"/>
    <w:rsid w:val="008E69FB"/>
    <w:rsid w:val="008E7A44"/>
    <w:rsid w:val="008F090C"/>
    <w:rsid w:val="008F0941"/>
    <w:rsid w:val="008F0E07"/>
    <w:rsid w:val="008F30A6"/>
    <w:rsid w:val="008F36C9"/>
    <w:rsid w:val="00901242"/>
    <w:rsid w:val="00902106"/>
    <w:rsid w:val="00903139"/>
    <w:rsid w:val="009039D5"/>
    <w:rsid w:val="00904BAF"/>
    <w:rsid w:val="00905D15"/>
    <w:rsid w:val="00907D4D"/>
    <w:rsid w:val="009101F9"/>
    <w:rsid w:val="00910263"/>
    <w:rsid w:val="0091275E"/>
    <w:rsid w:val="009129F1"/>
    <w:rsid w:val="00912D67"/>
    <w:rsid w:val="00915BEB"/>
    <w:rsid w:val="00916983"/>
    <w:rsid w:val="00922088"/>
    <w:rsid w:val="0092450B"/>
    <w:rsid w:val="00927084"/>
    <w:rsid w:val="0093038C"/>
    <w:rsid w:val="00930CBD"/>
    <w:rsid w:val="00932001"/>
    <w:rsid w:val="00934CF5"/>
    <w:rsid w:val="00934DBD"/>
    <w:rsid w:val="00935BB4"/>
    <w:rsid w:val="0093683D"/>
    <w:rsid w:val="00936A82"/>
    <w:rsid w:val="00936F03"/>
    <w:rsid w:val="009377D0"/>
    <w:rsid w:val="00937DA1"/>
    <w:rsid w:val="009402B7"/>
    <w:rsid w:val="009408E1"/>
    <w:rsid w:val="00941EFD"/>
    <w:rsid w:val="00943568"/>
    <w:rsid w:val="00943D29"/>
    <w:rsid w:val="00944303"/>
    <w:rsid w:val="00947E51"/>
    <w:rsid w:val="009527C6"/>
    <w:rsid w:val="00953586"/>
    <w:rsid w:val="00953ED3"/>
    <w:rsid w:val="00954DA8"/>
    <w:rsid w:val="00955A93"/>
    <w:rsid w:val="009572CC"/>
    <w:rsid w:val="00957C2A"/>
    <w:rsid w:val="00961070"/>
    <w:rsid w:val="00964068"/>
    <w:rsid w:val="00964A71"/>
    <w:rsid w:val="0096797B"/>
    <w:rsid w:val="00972739"/>
    <w:rsid w:val="0097391A"/>
    <w:rsid w:val="009742DB"/>
    <w:rsid w:val="00975DEA"/>
    <w:rsid w:val="0097665D"/>
    <w:rsid w:val="00976772"/>
    <w:rsid w:val="0098009A"/>
    <w:rsid w:val="009837A0"/>
    <w:rsid w:val="00985F01"/>
    <w:rsid w:val="00985FB9"/>
    <w:rsid w:val="009860A2"/>
    <w:rsid w:val="0098661B"/>
    <w:rsid w:val="00986D66"/>
    <w:rsid w:val="00991A30"/>
    <w:rsid w:val="00992148"/>
    <w:rsid w:val="00992767"/>
    <w:rsid w:val="009933A6"/>
    <w:rsid w:val="00993672"/>
    <w:rsid w:val="00993CA9"/>
    <w:rsid w:val="00994F35"/>
    <w:rsid w:val="0099779F"/>
    <w:rsid w:val="00997BBE"/>
    <w:rsid w:val="009A0A15"/>
    <w:rsid w:val="009A141D"/>
    <w:rsid w:val="009A1628"/>
    <w:rsid w:val="009A24BE"/>
    <w:rsid w:val="009A2786"/>
    <w:rsid w:val="009A2B28"/>
    <w:rsid w:val="009A2DEE"/>
    <w:rsid w:val="009A6DD1"/>
    <w:rsid w:val="009B1DE6"/>
    <w:rsid w:val="009B21C2"/>
    <w:rsid w:val="009B5C3A"/>
    <w:rsid w:val="009B6C79"/>
    <w:rsid w:val="009B6F5B"/>
    <w:rsid w:val="009C035A"/>
    <w:rsid w:val="009C1450"/>
    <w:rsid w:val="009C1BB2"/>
    <w:rsid w:val="009C2CB1"/>
    <w:rsid w:val="009C3146"/>
    <w:rsid w:val="009C3D6A"/>
    <w:rsid w:val="009C5712"/>
    <w:rsid w:val="009C5EE1"/>
    <w:rsid w:val="009C6F8C"/>
    <w:rsid w:val="009D0158"/>
    <w:rsid w:val="009D3EFC"/>
    <w:rsid w:val="009D5A79"/>
    <w:rsid w:val="009D625C"/>
    <w:rsid w:val="009D7B62"/>
    <w:rsid w:val="009E1C42"/>
    <w:rsid w:val="009E4106"/>
    <w:rsid w:val="009E437B"/>
    <w:rsid w:val="009E549E"/>
    <w:rsid w:val="009E5741"/>
    <w:rsid w:val="009E5B8D"/>
    <w:rsid w:val="009E669D"/>
    <w:rsid w:val="009E66E1"/>
    <w:rsid w:val="009F03A9"/>
    <w:rsid w:val="009F1785"/>
    <w:rsid w:val="00A00331"/>
    <w:rsid w:val="00A00FD7"/>
    <w:rsid w:val="00A02BCE"/>
    <w:rsid w:val="00A0385C"/>
    <w:rsid w:val="00A03C96"/>
    <w:rsid w:val="00A03D75"/>
    <w:rsid w:val="00A04884"/>
    <w:rsid w:val="00A10167"/>
    <w:rsid w:val="00A1046A"/>
    <w:rsid w:val="00A10DE4"/>
    <w:rsid w:val="00A139DB"/>
    <w:rsid w:val="00A14585"/>
    <w:rsid w:val="00A155E7"/>
    <w:rsid w:val="00A15C83"/>
    <w:rsid w:val="00A16098"/>
    <w:rsid w:val="00A160AD"/>
    <w:rsid w:val="00A1620F"/>
    <w:rsid w:val="00A16F20"/>
    <w:rsid w:val="00A17EB7"/>
    <w:rsid w:val="00A21D6D"/>
    <w:rsid w:val="00A21FD2"/>
    <w:rsid w:val="00A22999"/>
    <w:rsid w:val="00A25B0A"/>
    <w:rsid w:val="00A26497"/>
    <w:rsid w:val="00A2668F"/>
    <w:rsid w:val="00A26A01"/>
    <w:rsid w:val="00A276B6"/>
    <w:rsid w:val="00A30975"/>
    <w:rsid w:val="00A30C33"/>
    <w:rsid w:val="00A314E4"/>
    <w:rsid w:val="00A3248D"/>
    <w:rsid w:val="00A32957"/>
    <w:rsid w:val="00A32E83"/>
    <w:rsid w:val="00A339C6"/>
    <w:rsid w:val="00A33EF4"/>
    <w:rsid w:val="00A34F9A"/>
    <w:rsid w:val="00A350C3"/>
    <w:rsid w:val="00A35236"/>
    <w:rsid w:val="00A366B0"/>
    <w:rsid w:val="00A43C1F"/>
    <w:rsid w:val="00A46241"/>
    <w:rsid w:val="00A5049C"/>
    <w:rsid w:val="00A510CB"/>
    <w:rsid w:val="00A5229F"/>
    <w:rsid w:val="00A52E52"/>
    <w:rsid w:val="00A52EBB"/>
    <w:rsid w:val="00A54AA2"/>
    <w:rsid w:val="00A557EB"/>
    <w:rsid w:val="00A5717A"/>
    <w:rsid w:val="00A639E6"/>
    <w:rsid w:val="00A63B85"/>
    <w:rsid w:val="00A63BD6"/>
    <w:rsid w:val="00A63CA5"/>
    <w:rsid w:val="00A63CBA"/>
    <w:rsid w:val="00A64806"/>
    <w:rsid w:val="00A65324"/>
    <w:rsid w:val="00A65FE8"/>
    <w:rsid w:val="00A67042"/>
    <w:rsid w:val="00A67A55"/>
    <w:rsid w:val="00A67B22"/>
    <w:rsid w:val="00A700D9"/>
    <w:rsid w:val="00A70679"/>
    <w:rsid w:val="00A709BF"/>
    <w:rsid w:val="00A723BE"/>
    <w:rsid w:val="00A73AF7"/>
    <w:rsid w:val="00A74645"/>
    <w:rsid w:val="00A746CA"/>
    <w:rsid w:val="00A75117"/>
    <w:rsid w:val="00A76092"/>
    <w:rsid w:val="00A76F03"/>
    <w:rsid w:val="00A77531"/>
    <w:rsid w:val="00A813EA"/>
    <w:rsid w:val="00A815E4"/>
    <w:rsid w:val="00A822E5"/>
    <w:rsid w:val="00A8256D"/>
    <w:rsid w:val="00A83371"/>
    <w:rsid w:val="00A83CE6"/>
    <w:rsid w:val="00A85E3E"/>
    <w:rsid w:val="00A86720"/>
    <w:rsid w:val="00A86869"/>
    <w:rsid w:val="00A90373"/>
    <w:rsid w:val="00A9233A"/>
    <w:rsid w:val="00A931D1"/>
    <w:rsid w:val="00A9575D"/>
    <w:rsid w:val="00A97358"/>
    <w:rsid w:val="00AA05A0"/>
    <w:rsid w:val="00AA16B0"/>
    <w:rsid w:val="00AA1C6F"/>
    <w:rsid w:val="00AA207E"/>
    <w:rsid w:val="00AA3D6D"/>
    <w:rsid w:val="00AA6BE7"/>
    <w:rsid w:val="00AA711E"/>
    <w:rsid w:val="00AA72B8"/>
    <w:rsid w:val="00AB0CF2"/>
    <w:rsid w:val="00AB2999"/>
    <w:rsid w:val="00AB680E"/>
    <w:rsid w:val="00AB773F"/>
    <w:rsid w:val="00AC00A5"/>
    <w:rsid w:val="00AC2592"/>
    <w:rsid w:val="00AC624F"/>
    <w:rsid w:val="00AD0059"/>
    <w:rsid w:val="00AD08A2"/>
    <w:rsid w:val="00AD1780"/>
    <w:rsid w:val="00AD2A76"/>
    <w:rsid w:val="00AD2C19"/>
    <w:rsid w:val="00AD36CE"/>
    <w:rsid w:val="00AD527A"/>
    <w:rsid w:val="00AD5DBD"/>
    <w:rsid w:val="00AD6265"/>
    <w:rsid w:val="00AD6DD2"/>
    <w:rsid w:val="00AD6FE1"/>
    <w:rsid w:val="00AD702D"/>
    <w:rsid w:val="00AD784F"/>
    <w:rsid w:val="00AD795F"/>
    <w:rsid w:val="00AE0AB0"/>
    <w:rsid w:val="00AE384D"/>
    <w:rsid w:val="00AE5033"/>
    <w:rsid w:val="00AE5421"/>
    <w:rsid w:val="00AE5FF5"/>
    <w:rsid w:val="00AE695C"/>
    <w:rsid w:val="00AE73F4"/>
    <w:rsid w:val="00AF1A4E"/>
    <w:rsid w:val="00AF2C7E"/>
    <w:rsid w:val="00AF7720"/>
    <w:rsid w:val="00B0135B"/>
    <w:rsid w:val="00B01547"/>
    <w:rsid w:val="00B01F93"/>
    <w:rsid w:val="00B02C86"/>
    <w:rsid w:val="00B035C8"/>
    <w:rsid w:val="00B0411E"/>
    <w:rsid w:val="00B04CB1"/>
    <w:rsid w:val="00B05D62"/>
    <w:rsid w:val="00B05EAC"/>
    <w:rsid w:val="00B063B1"/>
    <w:rsid w:val="00B06E7E"/>
    <w:rsid w:val="00B11879"/>
    <w:rsid w:val="00B12EF8"/>
    <w:rsid w:val="00B13B58"/>
    <w:rsid w:val="00B1479A"/>
    <w:rsid w:val="00B15446"/>
    <w:rsid w:val="00B1558E"/>
    <w:rsid w:val="00B20AF4"/>
    <w:rsid w:val="00B20B7A"/>
    <w:rsid w:val="00B211D9"/>
    <w:rsid w:val="00B22DEE"/>
    <w:rsid w:val="00B244E1"/>
    <w:rsid w:val="00B24A53"/>
    <w:rsid w:val="00B257BD"/>
    <w:rsid w:val="00B30237"/>
    <w:rsid w:val="00B3064C"/>
    <w:rsid w:val="00B31121"/>
    <w:rsid w:val="00B3243A"/>
    <w:rsid w:val="00B32F48"/>
    <w:rsid w:val="00B35528"/>
    <w:rsid w:val="00B36662"/>
    <w:rsid w:val="00B366BA"/>
    <w:rsid w:val="00B402FC"/>
    <w:rsid w:val="00B40885"/>
    <w:rsid w:val="00B40BA1"/>
    <w:rsid w:val="00B43E2E"/>
    <w:rsid w:val="00B45A72"/>
    <w:rsid w:val="00B46A7D"/>
    <w:rsid w:val="00B46B5F"/>
    <w:rsid w:val="00B46DC5"/>
    <w:rsid w:val="00B52546"/>
    <w:rsid w:val="00B52A1C"/>
    <w:rsid w:val="00B52E94"/>
    <w:rsid w:val="00B53427"/>
    <w:rsid w:val="00B559E4"/>
    <w:rsid w:val="00B57B6E"/>
    <w:rsid w:val="00B57E81"/>
    <w:rsid w:val="00B6211C"/>
    <w:rsid w:val="00B63215"/>
    <w:rsid w:val="00B664E8"/>
    <w:rsid w:val="00B67382"/>
    <w:rsid w:val="00B71E32"/>
    <w:rsid w:val="00B7475E"/>
    <w:rsid w:val="00B77A35"/>
    <w:rsid w:val="00B8019D"/>
    <w:rsid w:val="00B808EF"/>
    <w:rsid w:val="00B80BE9"/>
    <w:rsid w:val="00B81C5A"/>
    <w:rsid w:val="00B82E62"/>
    <w:rsid w:val="00B84AEC"/>
    <w:rsid w:val="00B92E99"/>
    <w:rsid w:val="00B941B2"/>
    <w:rsid w:val="00B94860"/>
    <w:rsid w:val="00B94C32"/>
    <w:rsid w:val="00B959B8"/>
    <w:rsid w:val="00B9665D"/>
    <w:rsid w:val="00B97DCF"/>
    <w:rsid w:val="00BA0614"/>
    <w:rsid w:val="00BA43C9"/>
    <w:rsid w:val="00BA4471"/>
    <w:rsid w:val="00BA4DCD"/>
    <w:rsid w:val="00BA5429"/>
    <w:rsid w:val="00BA6C1E"/>
    <w:rsid w:val="00BA7265"/>
    <w:rsid w:val="00BA7502"/>
    <w:rsid w:val="00BA7A30"/>
    <w:rsid w:val="00BA7C81"/>
    <w:rsid w:val="00BB02FD"/>
    <w:rsid w:val="00BB0EC0"/>
    <w:rsid w:val="00BB2BFA"/>
    <w:rsid w:val="00BB366E"/>
    <w:rsid w:val="00BB4560"/>
    <w:rsid w:val="00BB4916"/>
    <w:rsid w:val="00BB6EE0"/>
    <w:rsid w:val="00BC0F1F"/>
    <w:rsid w:val="00BC6B0F"/>
    <w:rsid w:val="00BD092B"/>
    <w:rsid w:val="00BD1EB3"/>
    <w:rsid w:val="00BD2895"/>
    <w:rsid w:val="00BD2B49"/>
    <w:rsid w:val="00BD6985"/>
    <w:rsid w:val="00BD73E9"/>
    <w:rsid w:val="00BD75AF"/>
    <w:rsid w:val="00BD7A47"/>
    <w:rsid w:val="00BD7B0E"/>
    <w:rsid w:val="00BE0419"/>
    <w:rsid w:val="00BE0BC8"/>
    <w:rsid w:val="00BE4696"/>
    <w:rsid w:val="00BE4CAE"/>
    <w:rsid w:val="00BE54EF"/>
    <w:rsid w:val="00BE60BE"/>
    <w:rsid w:val="00BE6ED6"/>
    <w:rsid w:val="00BE740D"/>
    <w:rsid w:val="00BF0202"/>
    <w:rsid w:val="00BF07D3"/>
    <w:rsid w:val="00BF1D1A"/>
    <w:rsid w:val="00BF2941"/>
    <w:rsid w:val="00BF4FA4"/>
    <w:rsid w:val="00BF51B0"/>
    <w:rsid w:val="00BF59FB"/>
    <w:rsid w:val="00C00034"/>
    <w:rsid w:val="00C0047E"/>
    <w:rsid w:val="00C01F5E"/>
    <w:rsid w:val="00C01FED"/>
    <w:rsid w:val="00C0573E"/>
    <w:rsid w:val="00C05DE9"/>
    <w:rsid w:val="00C0634E"/>
    <w:rsid w:val="00C065E8"/>
    <w:rsid w:val="00C06F10"/>
    <w:rsid w:val="00C104F8"/>
    <w:rsid w:val="00C14012"/>
    <w:rsid w:val="00C1638F"/>
    <w:rsid w:val="00C16DCB"/>
    <w:rsid w:val="00C210F7"/>
    <w:rsid w:val="00C2388A"/>
    <w:rsid w:val="00C23E5F"/>
    <w:rsid w:val="00C25060"/>
    <w:rsid w:val="00C25349"/>
    <w:rsid w:val="00C30185"/>
    <w:rsid w:val="00C30593"/>
    <w:rsid w:val="00C313B2"/>
    <w:rsid w:val="00C33AE6"/>
    <w:rsid w:val="00C341D5"/>
    <w:rsid w:val="00C35403"/>
    <w:rsid w:val="00C4050D"/>
    <w:rsid w:val="00C417AB"/>
    <w:rsid w:val="00C44540"/>
    <w:rsid w:val="00C44E3C"/>
    <w:rsid w:val="00C45656"/>
    <w:rsid w:val="00C4661E"/>
    <w:rsid w:val="00C47035"/>
    <w:rsid w:val="00C51358"/>
    <w:rsid w:val="00C51E2F"/>
    <w:rsid w:val="00C52C57"/>
    <w:rsid w:val="00C52D36"/>
    <w:rsid w:val="00C53906"/>
    <w:rsid w:val="00C5468C"/>
    <w:rsid w:val="00C5568C"/>
    <w:rsid w:val="00C5576E"/>
    <w:rsid w:val="00C60A30"/>
    <w:rsid w:val="00C61C05"/>
    <w:rsid w:val="00C62765"/>
    <w:rsid w:val="00C63362"/>
    <w:rsid w:val="00C6482C"/>
    <w:rsid w:val="00C6585F"/>
    <w:rsid w:val="00C67FCB"/>
    <w:rsid w:val="00C703CE"/>
    <w:rsid w:val="00C7242E"/>
    <w:rsid w:val="00C75811"/>
    <w:rsid w:val="00C76E20"/>
    <w:rsid w:val="00C77F9B"/>
    <w:rsid w:val="00C80098"/>
    <w:rsid w:val="00C81E5C"/>
    <w:rsid w:val="00C82871"/>
    <w:rsid w:val="00C841E8"/>
    <w:rsid w:val="00C865E7"/>
    <w:rsid w:val="00C867F5"/>
    <w:rsid w:val="00C925EF"/>
    <w:rsid w:val="00C92A0E"/>
    <w:rsid w:val="00C94605"/>
    <w:rsid w:val="00C9519E"/>
    <w:rsid w:val="00C95229"/>
    <w:rsid w:val="00CA05D7"/>
    <w:rsid w:val="00CA2ED6"/>
    <w:rsid w:val="00CA3724"/>
    <w:rsid w:val="00CA4175"/>
    <w:rsid w:val="00CA63CC"/>
    <w:rsid w:val="00CB256B"/>
    <w:rsid w:val="00CB2976"/>
    <w:rsid w:val="00CB387E"/>
    <w:rsid w:val="00CB496C"/>
    <w:rsid w:val="00CB519B"/>
    <w:rsid w:val="00CB5655"/>
    <w:rsid w:val="00CC0F77"/>
    <w:rsid w:val="00CC3FB7"/>
    <w:rsid w:val="00CC7007"/>
    <w:rsid w:val="00CC78A9"/>
    <w:rsid w:val="00CD09EC"/>
    <w:rsid w:val="00CD3344"/>
    <w:rsid w:val="00CD430F"/>
    <w:rsid w:val="00CD4CB3"/>
    <w:rsid w:val="00CD4CB7"/>
    <w:rsid w:val="00CD6690"/>
    <w:rsid w:val="00CD6F36"/>
    <w:rsid w:val="00CE1086"/>
    <w:rsid w:val="00CE1C90"/>
    <w:rsid w:val="00CE2BA0"/>
    <w:rsid w:val="00CE3981"/>
    <w:rsid w:val="00CE3D5F"/>
    <w:rsid w:val="00CE52E5"/>
    <w:rsid w:val="00CE705F"/>
    <w:rsid w:val="00CF00FC"/>
    <w:rsid w:val="00CF03C0"/>
    <w:rsid w:val="00CF0ECC"/>
    <w:rsid w:val="00CF11EF"/>
    <w:rsid w:val="00CF1972"/>
    <w:rsid w:val="00CF2D40"/>
    <w:rsid w:val="00CF5728"/>
    <w:rsid w:val="00CF5A69"/>
    <w:rsid w:val="00CF5EC9"/>
    <w:rsid w:val="00CF6879"/>
    <w:rsid w:val="00CF6E5D"/>
    <w:rsid w:val="00CF7961"/>
    <w:rsid w:val="00D00490"/>
    <w:rsid w:val="00D0089D"/>
    <w:rsid w:val="00D028D5"/>
    <w:rsid w:val="00D03596"/>
    <w:rsid w:val="00D0391B"/>
    <w:rsid w:val="00D06864"/>
    <w:rsid w:val="00D1384D"/>
    <w:rsid w:val="00D1543F"/>
    <w:rsid w:val="00D1569E"/>
    <w:rsid w:val="00D17E53"/>
    <w:rsid w:val="00D2087E"/>
    <w:rsid w:val="00D20BCF"/>
    <w:rsid w:val="00D22C19"/>
    <w:rsid w:val="00D238F6"/>
    <w:rsid w:val="00D249E7"/>
    <w:rsid w:val="00D252B8"/>
    <w:rsid w:val="00D269F2"/>
    <w:rsid w:val="00D2771D"/>
    <w:rsid w:val="00D31C13"/>
    <w:rsid w:val="00D36516"/>
    <w:rsid w:val="00D36682"/>
    <w:rsid w:val="00D366EB"/>
    <w:rsid w:val="00D36CE7"/>
    <w:rsid w:val="00D41017"/>
    <w:rsid w:val="00D41387"/>
    <w:rsid w:val="00D414D0"/>
    <w:rsid w:val="00D414D1"/>
    <w:rsid w:val="00D41AB8"/>
    <w:rsid w:val="00D43335"/>
    <w:rsid w:val="00D464AA"/>
    <w:rsid w:val="00D50E12"/>
    <w:rsid w:val="00D51D8C"/>
    <w:rsid w:val="00D5232E"/>
    <w:rsid w:val="00D5296E"/>
    <w:rsid w:val="00D52CB8"/>
    <w:rsid w:val="00D536B4"/>
    <w:rsid w:val="00D54A1A"/>
    <w:rsid w:val="00D605EC"/>
    <w:rsid w:val="00D65031"/>
    <w:rsid w:val="00D651D4"/>
    <w:rsid w:val="00D65220"/>
    <w:rsid w:val="00D653A2"/>
    <w:rsid w:val="00D722F4"/>
    <w:rsid w:val="00D72A6A"/>
    <w:rsid w:val="00D73B5C"/>
    <w:rsid w:val="00D7420E"/>
    <w:rsid w:val="00D74963"/>
    <w:rsid w:val="00D76CDB"/>
    <w:rsid w:val="00D76F45"/>
    <w:rsid w:val="00D84FCE"/>
    <w:rsid w:val="00D85F69"/>
    <w:rsid w:val="00D8601C"/>
    <w:rsid w:val="00D86B21"/>
    <w:rsid w:val="00D87166"/>
    <w:rsid w:val="00D87556"/>
    <w:rsid w:val="00D91DFB"/>
    <w:rsid w:val="00D929A4"/>
    <w:rsid w:val="00D9346B"/>
    <w:rsid w:val="00D93D9D"/>
    <w:rsid w:val="00D95790"/>
    <w:rsid w:val="00D96063"/>
    <w:rsid w:val="00D97599"/>
    <w:rsid w:val="00DA0BAF"/>
    <w:rsid w:val="00DA38A3"/>
    <w:rsid w:val="00DA64DA"/>
    <w:rsid w:val="00DB2645"/>
    <w:rsid w:val="00DB5648"/>
    <w:rsid w:val="00DB7C2F"/>
    <w:rsid w:val="00DB7E48"/>
    <w:rsid w:val="00DB7FBF"/>
    <w:rsid w:val="00DC0523"/>
    <w:rsid w:val="00DC1ABC"/>
    <w:rsid w:val="00DC5909"/>
    <w:rsid w:val="00DC7110"/>
    <w:rsid w:val="00DC750D"/>
    <w:rsid w:val="00DD0E9B"/>
    <w:rsid w:val="00DD125F"/>
    <w:rsid w:val="00DD1547"/>
    <w:rsid w:val="00DD2EB3"/>
    <w:rsid w:val="00DD3EBE"/>
    <w:rsid w:val="00DD3F03"/>
    <w:rsid w:val="00DD4D0D"/>
    <w:rsid w:val="00DD4FB0"/>
    <w:rsid w:val="00DD5552"/>
    <w:rsid w:val="00DD6F86"/>
    <w:rsid w:val="00DD7E29"/>
    <w:rsid w:val="00DE0113"/>
    <w:rsid w:val="00DE0245"/>
    <w:rsid w:val="00DE0437"/>
    <w:rsid w:val="00DE43C3"/>
    <w:rsid w:val="00DE5904"/>
    <w:rsid w:val="00DE5FF2"/>
    <w:rsid w:val="00DF1D68"/>
    <w:rsid w:val="00DF231C"/>
    <w:rsid w:val="00DF6273"/>
    <w:rsid w:val="00DF6881"/>
    <w:rsid w:val="00DF7CB1"/>
    <w:rsid w:val="00E05D67"/>
    <w:rsid w:val="00E0735E"/>
    <w:rsid w:val="00E10B49"/>
    <w:rsid w:val="00E11476"/>
    <w:rsid w:val="00E12705"/>
    <w:rsid w:val="00E15E21"/>
    <w:rsid w:val="00E16433"/>
    <w:rsid w:val="00E16C4C"/>
    <w:rsid w:val="00E17168"/>
    <w:rsid w:val="00E17CE8"/>
    <w:rsid w:val="00E20080"/>
    <w:rsid w:val="00E2139A"/>
    <w:rsid w:val="00E21B96"/>
    <w:rsid w:val="00E23033"/>
    <w:rsid w:val="00E23872"/>
    <w:rsid w:val="00E23CAA"/>
    <w:rsid w:val="00E245A1"/>
    <w:rsid w:val="00E25A1F"/>
    <w:rsid w:val="00E275B3"/>
    <w:rsid w:val="00E30EA9"/>
    <w:rsid w:val="00E35072"/>
    <w:rsid w:val="00E43815"/>
    <w:rsid w:val="00E43905"/>
    <w:rsid w:val="00E43E0A"/>
    <w:rsid w:val="00E44132"/>
    <w:rsid w:val="00E44514"/>
    <w:rsid w:val="00E4633F"/>
    <w:rsid w:val="00E46694"/>
    <w:rsid w:val="00E471D5"/>
    <w:rsid w:val="00E478B3"/>
    <w:rsid w:val="00E47961"/>
    <w:rsid w:val="00E50B57"/>
    <w:rsid w:val="00E51B7C"/>
    <w:rsid w:val="00E52EF1"/>
    <w:rsid w:val="00E537D5"/>
    <w:rsid w:val="00E555D4"/>
    <w:rsid w:val="00E57DB6"/>
    <w:rsid w:val="00E57E7F"/>
    <w:rsid w:val="00E61588"/>
    <w:rsid w:val="00E6230B"/>
    <w:rsid w:val="00E62582"/>
    <w:rsid w:val="00E63977"/>
    <w:rsid w:val="00E643A8"/>
    <w:rsid w:val="00E64C5C"/>
    <w:rsid w:val="00E67680"/>
    <w:rsid w:val="00E7106D"/>
    <w:rsid w:val="00E71786"/>
    <w:rsid w:val="00E71A3E"/>
    <w:rsid w:val="00E72F3D"/>
    <w:rsid w:val="00E73117"/>
    <w:rsid w:val="00E73352"/>
    <w:rsid w:val="00E73547"/>
    <w:rsid w:val="00E75E69"/>
    <w:rsid w:val="00E76FB3"/>
    <w:rsid w:val="00E7730A"/>
    <w:rsid w:val="00E81258"/>
    <w:rsid w:val="00E82912"/>
    <w:rsid w:val="00E83BAA"/>
    <w:rsid w:val="00E8458C"/>
    <w:rsid w:val="00E85A43"/>
    <w:rsid w:val="00E866F5"/>
    <w:rsid w:val="00E90B39"/>
    <w:rsid w:val="00E917F0"/>
    <w:rsid w:val="00E918EC"/>
    <w:rsid w:val="00E91D6E"/>
    <w:rsid w:val="00E93B58"/>
    <w:rsid w:val="00E93DFD"/>
    <w:rsid w:val="00E9436F"/>
    <w:rsid w:val="00E96B4C"/>
    <w:rsid w:val="00E96F3C"/>
    <w:rsid w:val="00E970F9"/>
    <w:rsid w:val="00EA3184"/>
    <w:rsid w:val="00EA3529"/>
    <w:rsid w:val="00EA5A09"/>
    <w:rsid w:val="00EA7775"/>
    <w:rsid w:val="00EB02E6"/>
    <w:rsid w:val="00EB1C06"/>
    <w:rsid w:val="00EB1D90"/>
    <w:rsid w:val="00EB2230"/>
    <w:rsid w:val="00EB2398"/>
    <w:rsid w:val="00EB2A95"/>
    <w:rsid w:val="00EB4D19"/>
    <w:rsid w:val="00EC245B"/>
    <w:rsid w:val="00EC53B9"/>
    <w:rsid w:val="00EC68F6"/>
    <w:rsid w:val="00EC7CDA"/>
    <w:rsid w:val="00ED2077"/>
    <w:rsid w:val="00ED458E"/>
    <w:rsid w:val="00ED4C3A"/>
    <w:rsid w:val="00ED5EB7"/>
    <w:rsid w:val="00ED60A5"/>
    <w:rsid w:val="00ED6875"/>
    <w:rsid w:val="00ED68D2"/>
    <w:rsid w:val="00ED7855"/>
    <w:rsid w:val="00EE234F"/>
    <w:rsid w:val="00EE3948"/>
    <w:rsid w:val="00EE46BB"/>
    <w:rsid w:val="00EE6C6F"/>
    <w:rsid w:val="00EF051F"/>
    <w:rsid w:val="00EF060D"/>
    <w:rsid w:val="00EF0CA1"/>
    <w:rsid w:val="00EF4D9F"/>
    <w:rsid w:val="00EF552E"/>
    <w:rsid w:val="00EF597D"/>
    <w:rsid w:val="00EF5BAA"/>
    <w:rsid w:val="00EF69E9"/>
    <w:rsid w:val="00EF7AA4"/>
    <w:rsid w:val="00EF7D44"/>
    <w:rsid w:val="00F00565"/>
    <w:rsid w:val="00F006B0"/>
    <w:rsid w:val="00F006F6"/>
    <w:rsid w:val="00F025DB"/>
    <w:rsid w:val="00F034B5"/>
    <w:rsid w:val="00F035B1"/>
    <w:rsid w:val="00F0568B"/>
    <w:rsid w:val="00F06638"/>
    <w:rsid w:val="00F06A04"/>
    <w:rsid w:val="00F06B7B"/>
    <w:rsid w:val="00F06FA2"/>
    <w:rsid w:val="00F07023"/>
    <w:rsid w:val="00F0763C"/>
    <w:rsid w:val="00F078BC"/>
    <w:rsid w:val="00F126BB"/>
    <w:rsid w:val="00F1455A"/>
    <w:rsid w:val="00F15B29"/>
    <w:rsid w:val="00F223B4"/>
    <w:rsid w:val="00F239BD"/>
    <w:rsid w:val="00F23D70"/>
    <w:rsid w:val="00F2471D"/>
    <w:rsid w:val="00F25498"/>
    <w:rsid w:val="00F3062E"/>
    <w:rsid w:val="00F31201"/>
    <w:rsid w:val="00F31371"/>
    <w:rsid w:val="00F3146A"/>
    <w:rsid w:val="00F32A1C"/>
    <w:rsid w:val="00F32C9B"/>
    <w:rsid w:val="00F34CFC"/>
    <w:rsid w:val="00F379CD"/>
    <w:rsid w:val="00F407E0"/>
    <w:rsid w:val="00F40F0B"/>
    <w:rsid w:val="00F43520"/>
    <w:rsid w:val="00F4384A"/>
    <w:rsid w:val="00F43BD1"/>
    <w:rsid w:val="00F44744"/>
    <w:rsid w:val="00F45590"/>
    <w:rsid w:val="00F45599"/>
    <w:rsid w:val="00F45987"/>
    <w:rsid w:val="00F47C3B"/>
    <w:rsid w:val="00F50060"/>
    <w:rsid w:val="00F502B3"/>
    <w:rsid w:val="00F51820"/>
    <w:rsid w:val="00F51C1C"/>
    <w:rsid w:val="00F5393D"/>
    <w:rsid w:val="00F55293"/>
    <w:rsid w:val="00F568C1"/>
    <w:rsid w:val="00F56B8D"/>
    <w:rsid w:val="00F572D3"/>
    <w:rsid w:val="00F57914"/>
    <w:rsid w:val="00F57AAB"/>
    <w:rsid w:val="00F57AC0"/>
    <w:rsid w:val="00F57F42"/>
    <w:rsid w:val="00F62300"/>
    <w:rsid w:val="00F63BA6"/>
    <w:rsid w:val="00F642DE"/>
    <w:rsid w:val="00F65367"/>
    <w:rsid w:val="00F70775"/>
    <w:rsid w:val="00F71C98"/>
    <w:rsid w:val="00F72211"/>
    <w:rsid w:val="00F7311B"/>
    <w:rsid w:val="00F7539D"/>
    <w:rsid w:val="00F764D0"/>
    <w:rsid w:val="00F76FF4"/>
    <w:rsid w:val="00F7755C"/>
    <w:rsid w:val="00F80229"/>
    <w:rsid w:val="00F8084D"/>
    <w:rsid w:val="00F8089D"/>
    <w:rsid w:val="00F80B18"/>
    <w:rsid w:val="00F80E6D"/>
    <w:rsid w:val="00F81302"/>
    <w:rsid w:val="00F817CD"/>
    <w:rsid w:val="00F82A22"/>
    <w:rsid w:val="00F91055"/>
    <w:rsid w:val="00F927F4"/>
    <w:rsid w:val="00F931A5"/>
    <w:rsid w:val="00F931BE"/>
    <w:rsid w:val="00F932C2"/>
    <w:rsid w:val="00F9465A"/>
    <w:rsid w:val="00F953EC"/>
    <w:rsid w:val="00F9747A"/>
    <w:rsid w:val="00FA1ED7"/>
    <w:rsid w:val="00FA33E8"/>
    <w:rsid w:val="00FA3661"/>
    <w:rsid w:val="00FB0E59"/>
    <w:rsid w:val="00FB1186"/>
    <w:rsid w:val="00FB27BB"/>
    <w:rsid w:val="00FB2E8E"/>
    <w:rsid w:val="00FB3971"/>
    <w:rsid w:val="00FB4631"/>
    <w:rsid w:val="00FB475F"/>
    <w:rsid w:val="00FB5642"/>
    <w:rsid w:val="00FC1B08"/>
    <w:rsid w:val="00FC32D7"/>
    <w:rsid w:val="00FC372B"/>
    <w:rsid w:val="00FC50AC"/>
    <w:rsid w:val="00FC57DC"/>
    <w:rsid w:val="00FC5AAE"/>
    <w:rsid w:val="00FC651A"/>
    <w:rsid w:val="00FC6DD5"/>
    <w:rsid w:val="00FD1ED5"/>
    <w:rsid w:val="00FD32BB"/>
    <w:rsid w:val="00FD36D6"/>
    <w:rsid w:val="00FD7BE9"/>
    <w:rsid w:val="00FE09A6"/>
    <w:rsid w:val="00FE1646"/>
    <w:rsid w:val="00FE19D4"/>
    <w:rsid w:val="00FE1AF1"/>
    <w:rsid w:val="00FE1E8F"/>
    <w:rsid w:val="00FE3D21"/>
    <w:rsid w:val="00FE5E4E"/>
    <w:rsid w:val="00FE7911"/>
    <w:rsid w:val="00FE7C80"/>
    <w:rsid w:val="00FF1DD2"/>
    <w:rsid w:val="00FF24DF"/>
    <w:rsid w:val="00FF2E18"/>
    <w:rsid w:val="00FF5529"/>
    <w:rsid w:val="00FF56C5"/>
    <w:rsid w:val="00FF7259"/>
    <w:rsid w:val="00FF7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0A62570"/>
  <w15:docId w15:val="{6FE952DC-6728-4109-99D3-2A0FF36B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58"/>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58"/>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58"/>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58"/>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657BF"/>
    <w:rPr>
      <w:color w:val="0000FF"/>
      <w:u w:val="single"/>
    </w:rPr>
  </w:style>
  <w:style w:type="character" w:styleId="Kommentarzeichen">
    <w:name w:val="annotation reference"/>
    <w:basedOn w:val="Absatz-Standardschriftart"/>
    <w:uiPriority w:val="99"/>
    <w:semiHidden/>
    <w:unhideWhenUsed/>
    <w:rsid w:val="001440A4"/>
    <w:rPr>
      <w:sz w:val="16"/>
      <w:szCs w:val="16"/>
    </w:rPr>
  </w:style>
  <w:style w:type="paragraph" w:styleId="berarbeitung">
    <w:name w:val="Revision"/>
    <w:hidden/>
    <w:uiPriority w:val="99"/>
    <w:semiHidden/>
    <w:rsid w:val="00C6585F"/>
    <w:pPr>
      <w:spacing w:after="0" w:line="240" w:lineRule="auto"/>
    </w:pPr>
    <w:rPr>
      <w:rFonts w:ascii="Arial" w:hAnsi="Arial" w:cs="Arial"/>
    </w:rPr>
  </w:style>
  <w:style w:type="table" w:styleId="Tabellenraster">
    <w:name w:val="Table Grid"/>
    <w:basedOn w:val="NormaleTabelle"/>
    <w:uiPriority w:val="59"/>
    <w:rsid w:val="00941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mark">
    <w:name w:val="wordmark"/>
    <w:basedOn w:val="Absatz-Standardschriftart"/>
    <w:rsid w:val="004A608E"/>
  </w:style>
  <w:style w:type="character" w:customStyle="1" w:styleId="NummerierungStufe1Zchn">
    <w:name w:val="Nummerierung (Stufe 1) Zchn"/>
    <w:rsid w:val="00FB1186"/>
    <w:rPr>
      <w:rFonts w:ascii="Arial" w:hAnsi="Arial" w:cs="Arial"/>
      <w:sz w:val="22"/>
      <w:szCs w:val="24"/>
      <w:lang w:val="de-DE" w:eastAsia="de-DE" w:bidi="ar-SA"/>
    </w:rPr>
  </w:style>
  <w:style w:type="paragraph" w:customStyle="1" w:styleId="Formatvorlage1">
    <w:name w:val="Formatvorlage1"/>
    <w:basedOn w:val="Text"/>
    <w:qFormat/>
    <w:rsid w:val="004D5ABA"/>
    <w:rPr>
      <w:b/>
    </w:rPr>
  </w:style>
  <w:style w:type="character" w:styleId="BesuchterLink">
    <w:name w:val="FollowedHyperlink"/>
    <w:basedOn w:val="Absatz-Standardschriftart"/>
    <w:uiPriority w:val="99"/>
    <w:semiHidden/>
    <w:unhideWhenUsed/>
    <w:rsid w:val="00F931A5"/>
    <w:rPr>
      <w:color w:val="800080" w:themeColor="followedHyperlink"/>
      <w:u w:val="single"/>
    </w:rPr>
  </w:style>
  <w:style w:type="paragraph" w:styleId="Abbildungsverzeichnis">
    <w:name w:val="table of figures"/>
    <w:basedOn w:val="Standard"/>
    <w:next w:val="Standard"/>
    <w:uiPriority w:val="99"/>
    <w:semiHidden/>
    <w:unhideWhenUsed/>
    <w:rsid w:val="00635B49"/>
    <w:pPr>
      <w:spacing w:after="0"/>
    </w:pPr>
  </w:style>
  <w:style w:type="paragraph" w:styleId="Anrede">
    <w:name w:val="Salutation"/>
    <w:basedOn w:val="Standard"/>
    <w:next w:val="Standard"/>
    <w:link w:val="AnredeZchn"/>
    <w:uiPriority w:val="99"/>
    <w:semiHidden/>
    <w:unhideWhenUsed/>
    <w:rsid w:val="00635B49"/>
  </w:style>
  <w:style w:type="character" w:customStyle="1" w:styleId="AnredeZchn">
    <w:name w:val="Anrede Zchn"/>
    <w:basedOn w:val="Absatz-Standardschriftart"/>
    <w:link w:val="Anrede"/>
    <w:uiPriority w:val="99"/>
    <w:semiHidden/>
    <w:rsid w:val="00635B49"/>
    <w:rPr>
      <w:rFonts w:ascii="Arial" w:hAnsi="Arial" w:cs="Arial"/>
    </w:rPr>
  </w:style>
  <w:style w:type="paragraph" w:styleId="Aufzhlungszeichen">
    <w:name w:val="List Bullet"/>
    <w:basedOn w:val="Standard"/>
    <w:uiPriority w:val="99"/>
    <w:semiHidden/>
    <w:unhideWhenUsed/>
    <w:rsid w:val="00635B49"/>
    <w:pPr>
      <w:numPr>
        <w:numId w:val="3"/>
      </w:numPr>
      <w:contextualSpacing/>
    </w:pPr>
  </w:style>
  <w:style w:type="paragraph" w:styleId="Aufzhlungszeichen2">
    <w:name w:val="List Bullet 2"/>
    <w:basedOn w:val="Standard"/>
    <w:uiPriority w:val="99"/>
    <w:semiHidden/>
    <w:unhideWhenUsed/>
    <w:rsid w:val="00635B49"/>
    <w:pPr>
      <w:numPr>
        <w:numId w:val="4"/>
      </w:numPr>
      <w:contextualSpacing/>
    </w:pPr>
  </w:style>
  <w:style w:type="paragraph" w:styleId="Aufzhlungszeichen3">
    <w:name w:val="List Bullet 3"/>
    <w:basedOn w:val="Standard"/>
    <w:uiPriority w:val="99"/>
    <w:semiHidden/>
    <w:unhideWhenUsed/>
    <w:rsid w:val="00635B49"/>
    <w:pPr>
      <w:numPr>
        <w:numId w:val="5"/>
      </w:numPr>
      <w:contextualSpacing/>
    </w:pPr>
  </w:style>
  <w:style w:type="paragraph" w:styleId="Aufzhlungszeichen4">
    <w:name w:val="List Bullet 4"/>
    <w:basedOn w:val="Standard"/>
    <w:uiPriority w:val="99"/>
    <w:semiHidden/>
    <w:unhideWhenUsed/>
    <w:rsid w:val="00635B49"/>
    <w:pPr>
      <w:numPr>
        <w:numId w:val="6"/>
      </w:numPr>
      <w:contextualSpacing/>
    </w:pPr>
  </w:style>
  <w:style w:type="paragraph" w:styleId="Aufzhlungszeichen5">
    <w:name w:val="List Bullet 5"/>
    <w:basedOn w:val="Standard"/>
    <w:uiPriority w:val="99"/>
    <w:semiHidden/>
    <w:unhideWhenUsed/>
    <w:rsid w:val="00635B49"/>
    <w:pPr>
      <w:numPr>
        <w:numId w:val="7"/>
      </w:numPr>
      <w:contextualSpacing/>
    </w:pPr>
  </w:style>
  <w:style w:type="paragraph" w:styleId="Beschriftung">
    <w:name w:val="caption"/>
    <w:basedOn w:val="Standard"/>
    <w:next w:val="Standard"/>
    <w:uiPriority w:val="35"/>
    <w:semiHidden/>
    <w:unhideWhenUsed/>
    <w:qFormat/>
    <w:rsid w:val="00635B49"/>
    <w:pPr>
      <w:spacing w:before="0" w:after="200"/>
    </w:pPr>
    <w:rPr>
      <w:i/>
      <w:iCs/>
      <w:color w:val="1F497D" w:themeColor="text2"/>
      <w:sz w:val="18"/>
      <w:szCs w:val="18"/>
    </w:rPr>
  </w:style>
  <w:style w:type="paragraph" w:styleId="Blocktext">
    <w:name w:val="Block Text"/>
    <w:basedOn w:val="Standard"/>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635B49"/>
  </w:style>
  <w:style w:type="character" w:customStyle="1" w:styleId="DatumZchn">
    <w:name w:val="Datum Zchn"/>
    <w:basedOn w:val="Absatz-Standardschriftart"/>
    <w:link w:val="Datum"/>
    <w:uiPriority w:val="99"/>
    <w:semiHidden/>
    <w:rsid w:val="00635B49"/>
    <w:rPr>
      <w:rFonts w:ascii="Arial" w:hAnsi="Arial" w:cs="Arial"/>
    </w:rPr>
  </w:style>
  <w:style w:type="paragraph" w:styleId="Dokumentstruktur">
    <w:name w:val="Document Map"/>
    <w:basedOn w:val="Standard"/>
    <w:link w:val="DokumentstrukturZchn"/>
    <w:uiPriority w:val="99"/>
    <w:semiHidden/>
    <w:unhideWhenUsed/>
    <w:rsid w:val="00635B49"/>
    <w:pPr>
      <w:spacing w:before="0"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35B49"/>
    <w:rPr>
      <w:rFonts w:ascii="Segoe UI" w:hAnsi="Segoe UI" w:cs="Segoe UI"/>
      <w:sz w:val="16"/>
      <w:szCs w:val="16"/>
    </w:rPr>
  </w:style>
  <w:style w:type="paragraph" w:styleId="E-Mail-Signatur">
    <w:name w:val="E-mail Signature"/>
    <w:basedOn w:val="Standard"/>
    <w:link w:val="E-Mail-SignaturZchn"/>
    <w:uiPriority w:val="99"/>
    <w:semiHidden/>
    <w:unhideWhenUsed/>
    <w:rsid w:val="00635B49"/>
    <w:pPr>
      <w:spacing w:before="0" w:after="0"/>
    </w:pPr>
  </w:style>
  <w:style w:type="character" w:customStyle="1" w:styleId="E-Mail-SignaturZchn">
    <w:name w:val="E-Mail-Signatur Zchn"/>
    <w:basedOn w:val="Absatz-Standardschriftart"/>
    <w:link w:val="E-Mail-Signatur"/>
    <w:uiPriority w:val="99"/>
    <w:semiHidden/>
    <w:rsid w:val="00635B49"/>
    <w:rPr>
      <w:rFonts w:ascii="Arial" w:hAnsi="Arial" w:cs="Arial"/>
    </w:rPr>
  </w:style>
  <w:style w:type="paragraph" w:styleId="Endnotentext">
    <w:name w:val="endnote text"/>
    <w:basedOn w:val="Standard"/>
    <w:link w:val="EndnotentextZchn"/>
    <w:uiPriority w:val="99"/>
    <w:semiHidden/>
    <w:unhideWhenUsed/>
    <w:rsid w:val="00635B49"/>
    <w:pPr>
      <w:spacing w:before="0" w:after="0"/>
    </w:pPr>
    <w:rPr>
      <w:sz w:val="20"/>
      <w:szCs w:val="20"/>
    </w:rPr>
  </w:style>
  <w:style w:type="character" w:customStyle="1" w:styleId="EndnotentextZchn">
    <w:name w:val="Endnotentext Zchn"/>
    <w:basedOn w:val="Absatz-Standardschriftart"/>
    <w:link w:val="Endnotentext"/>
    <w:uiPriority w:val="99"/>
    <w:semiHidden/>
    <w:rsid w:val="00635B49"/>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635B49"/>
    <w:pPr>
      <w:spacing w:before="0" w:after="0"/>
    </w:pPr>
  </w:style>
  <w:style w:type="character" w:customStyle="1" w:styleId="Fu-EndnotenberschriftZchn">
    <w:name w:val="Fuß/-Endnotenüberschrift Zchn"/>
    <w:basedOn w:val="Absatz-Standardschriftart"/>
    <w:link w:val="Fu-Endnotenberschrift"/>
    <w:uiPriority w:val="99"/>
    <w:semiHidden/>
    <w:rsid w:val="00635B49"/>
    <w:rPr>
      <w:rFonts w:ascii="Arial" w:hAnsi="Arial" w:cs="Arial"/>
    </w:rPr>
  </w:style>
  <w:style w:type="paragraph" w:styleId="Gruformel">
    <w:name w:val="Closing"/>
    <w:basedOn w:val="Standard"/>
    <w:link w:val="GruformelZchn"/>
    <w:uiPriority w:val="99"/>
    <w:semiHidden/>
    <w:unhideWhenUsed/>
    <w:rsid w:val="00635B49"/>
    <w:pPr>
      <w:spacing w:before="0" w:after="0"/>
      <w:ind w:left="4252"/>
    </w:pPr>
  </w:style>
  <w:style w:type="character" w:customStyle="1" w:styleId="GruformelZchn">
    <w:name w:val="Grußformel Zchn"/>
    <w:basedOn w:val="Absatz-Standardschriftart"/>
    <w:link w:val="Gruformel"/>
    <w:uiPriority w:val="99"/>
    <w:semiHidden/>
    <w:rsid w:val="00635B49"/>
    <w:rPr>
      <w:rFonts w:ascii="Arial" w:hAnsi="Arial" w:cs="Arial"/>
    </w:rPr>
  </w:style>
  <w:style w:type="paragraph" w:styleId="HTMLAdresse">
    <w:name w:val="HTML Address"/>
    <w:basedOn w:val="Standard"/>
    <w:link w:val="HTMLAdresseZchn"/>
    <w:uiPriority w:val="99"/>
    <w:semiHidden/>
    <w:unhideWhenUsed/>
    <w:rsid w:val="00635B49"/>
    <w:pPr>
      <w:spacing w:before="0" w:after="0"/>
    </w:pPr>
    <w:rPr>
      <w:i/>
      <w:iCs/>
    </w:rPr>
  </w:style>
  <w:style w:type="character" w:customStyle="1" w:styleId="HTMLAdresseZchn">
    <w:name w:val="HTML Adresse Zchn"/>
    <w:basedOn w:val="Absatz-Standardschriftart"/>
    <w:link w:val="HTMLAdresse"/>
    <w:uiPriority w:val="99"/>
    <w:semiHidden/>
    <w:rsid w:val="00635B49"/>
    <w:rPr>
      <w:rFonts w:ascii="Arial" w:hAnsi="Arial" w:cs="Arial"/>
      <w:i/>
      <w:iCs/>
    </w:rPr>
  </w:style>
  <w:style w:type="paragraph" w:styleId="HTMLVorformatiert">
    <w:name w:val="HTML Preformatted"/>
    <w:basedOn w:val="Standard"/>
    <w:link w:val="HTMLVorformatiertZchn"/>
    <w:uiPriority w:val="99"/>
    <w:semiHidden/>
    <w:unhideWhenUsed/>
    <w:rsid w:val="00635B49"/>
    <w:pPr>
      <w:spacing w:before="0"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35B49"/>
    <w:rPr>
      <w:rFonts w:ascii="Consolas" w:hAnsi="Consolas" w:cs="Arial"/>
      <w:sz w:val="20"/>
      <w:szCs w:val="20"/>
    </w:rPr>
  </w:style>
  <w:style w:type="paragraph" w:styleId="Index1">
    <w:name w:val="index 1"/>
    <w:basedOn w:val="Standard"/>
    <w:next w:val="Standard"/>
    <w:autoRedefine/>
    <w:uiPriority w:val="99"/>
    <w:semiHidden/>
    <w:unhideWhenUsed/>
    <w:rsid w:val="00635B49"/>
    <w:pPr>
      <w:spacing w:before="0" w:after="0"/>
      <w:ind w:left="220" w:hanging="220"/>
    </w:pPr>
  </w:style>
  <w:style w:type="paragraph" w:styleId="Index2">
    <w:name w:val="index 2"/>
    <w:basedOn w:val="Standard"/>
    <w:next w:val="Standard"/>
    <w:autoRedefine/>
    <w:uiPriority w:val="99"/>
    <w:semiHidden/>
    <w:unhideWhenUsed/>
    <w:rsid w:val="00635B49"/>
    <w:pPr>
      <w:spacing w:before="0" w:after="0"/>
      <w:ind w:left="440" w:hanging="220"/>
    </w:pPr>
  </w:style>
  <w:style w:type="paragraph" w:styleId="Index3">
    <w:name w:val="index 3"/>
    <w:basedOn w:val="Standard"/>
    <w:next w:val="Standard"/>
    <w:autoRedefine/>
    <w:uiPriority w:val="99"/>
    <w:semiHidden/>
    <w:unhideWhenUsed/>
    <w:rsid w:val="00635B49"/>
    <w:pPr>
      <w:spacing w:before="0" w:after="0"/>
      <w:ind w:left="660" w:hanging="220"/>
    </w:pPr>
  </w:style>
  <w:style w:type="paragraph" w:styleId="Index4">
    <w:name w:val="index 4"/>
    <w:basedOn w:val="Standard"/>
    <w:next w:val="Standard"/>
    <w:autoRedefine/>
    <w:uiPriority w:val="99"/>
    <w:semiHidden/>
    <w:unhideWhenUsed/>
    <w:rsid w:val="00635B49"/>
    <w:pPr>
      <w:spacing w:before="0" w:after="0"/>
      <w:ind w:left="880" w:hanging="220"/>
    </w:pPr>
  </w:style>
  <w:style w:type="paragraph" w:styleId="Index5">
    <w:name w:val="index 5"/>
    <w:basedOn w:val="Standard"/>
    <w:next w:val="Standard"/>
    <w:autoRedefine/>
    <w:uiPriority w:val="99"/>
    <w:semiHidden/>
    <w:unhideWhenUsed/>
    <w:rsid w:val="00635B49"/>
    <w:pPr>
      <w:spacing w:before="0" w:after="0"/>
      <w:ind w:left="1100" w:hanging="220"/>
    </w:pPr>
  </w:style>
  <w:style w:type="paragraph" w:styleId="Index6">
    <w:name w:val="index 6"/>
    <w:basedOn w:val="Standard"/>
    <w:next w:val="Standard"/>
    <w:autoRedefine/>
    <w:uiPriority w:val="99"/>
    <w:semiHidden/>
    <w:unhideWhenUsed/>
    <w:rsid w:val="00635B49"/>
    <w:pPr>
      <w:spacing w:before="0" w:after="0"/>
      <w:ind w:left="1320" w:hanging="220"/>
    </w:pPr>
  </w:style>
  <w:style w:type="paragraph" w:styleId="Index7">
    <w:name w:val="index 7"/>
    <w:basedOn w:val="Standard"/>
    <w:next w:val="Standard"/>
    <w:autoRedefine/>
    <w:uiPriority w:val="99"/>
    <w:semiHidden/>
    <w:unhideWhenUsed/>
    <w:rsid w:val="00635B49"/>
    <w:pPr>
      <w:spacing w:before="0" w:after="0"/>
      <w:ind w:left="1540" w:hanging="220"/>
    </w:pPr>
  </w:style>
  <w:style w:type="paragraph" w:styleId="Index8">
    <w:name w:val="index 8"/>
    <w:basedOn w:val="Standard"/>
    <w:next w:val="Standard"/>
    <w:autoRedefine/>
    <w:uiPriority w:val="99"/>
    <w:semiHidden/>
    <w:unhideWhenUsed/>
    <w:rsid w:val="00635B49"/>
    <w:pPr>
      <w:spacing w:before="0" w:after="0"/>
      <w:ind w:left="1760" w:hanging="220"/>
    </w:pPr>
  </w:style>
  <w:style w:type="paragraph" w:styleId="Index9">
    <w:name w:val="index 9"/>
    <w:basedOn w:val="Standard"/>
    <w:next w:val="Standard"/>
    <w:autoRedefine/>
    <w:uiPriority w:val="99"/>
    <w:semiHidden/>
    <w:unhideWhenUsed/>
    <w:rsid w:val="00635B49"/>
    <w:pPr>
      <w:spacing w:before="0" w:after="0"/>
      <w:ind w:left="1980" w:hanging="220"/>
    </w:pPr>
  </w:style>
  <w:style w:type="paragraph" w:styleId="Indexberschrift">
    <w:name w:val="index heading"/>
    <w:basedOn w:val="Standard"/>
    <w:next w:val="Index1"/>
    <w:uiPriority w:val="99"/>
    <w:semiHidden/>
    <w:unhideWhenUsed/>
    <w:rsid w:val="00635B49"/>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35B49"/>
    <w:pPr>
      <w:keepLines/>
      <w:numPr>
        <w:numId w:val="0"/>
      </w:numPr>
      <w:tabs>
        <w:tab w:val="num" w:pos="1492"/>
      </w:tabs>
      <w:spacing w:after="0"/>
      <w:ind w:left="1492" w:hanging="360"/>
      <w:outlineLvl w:val="9"/>
    </w:pPr>
    <w:rPr>
      <w:rFonts w:asciiTheme="majorHAnsi" w:hAnsiTheme="majorHAnsi" w:cstheme="majorBidi"/>
      <w:b w:val="0"/>
      <w:bCs w:val="0"/>
      <w:color w:val="365F91" w:themeColor="accent1" w:themeShade="BF"/>
      <w:kern w:val="0"/>
      <w:sz w:val="32"/>
      <w:szCs w:val="32"/>
    </w:rPr>
  </w:style>
  <w:style w:type="paragraph" w:styleId="IntensivesZitat">
    <w:name w:val="Intense Quote"/>
    <w:basedOn w:val="Standard"/>
    <w:next w:val="Standard"/>
    <w:link w:val="IntensivesZitatZchn"/>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35B49"/>
    <w:rPr>
      <w:rFonts w:ascii="Arial" w:hAnsi="Arial" w:cs="Arial"/>
      <w:i/>
      <w:iCs/>
      <w:color w:val="4F81BD" w:themeColor="accent1"/>
    </w:rPr>
  </w:style>
  <w:style w:type="paragraph" w:styleId="KeinLeerraum">
    <w:name w:val="No Spacing"/>
    <w:uiPriority w:val="1"/>
    <w:qFormat/>
    <w:rsid w:val="00635B49"/>
    <w:pPr>
      <w:spacing w:after="0" w:line="240" w:lineRule="auto"/>
      <w:jc w:val="both"/>
    </w:pPr>
    <w:rPr>
      <w:rFonts w:ascii="Arial" w:hAnsi="Arial" w:cs="Arial"/>
    </w:rPr>
  </w:style>
  <w:style w:type="paragraph" w:styleId="Kommentartext">
    <w:name w:val="annotation text"/>
    <w:basedOn w:val="Standard"/>
    <w:link w:val="KommentartextZchn"/>
    <w:uiPriority w:val="99"/>
    <w:unhideWhenUsed/>
    <w:rsid w:val="00635B49"/>
    <w:rPr>
      <w:sz w:val="20"/>
      <w:szCs w:val="20"/>
    </w:rPr>
  </w:style>
  <w:style w:type="character" w:customStyle="1" w:styleId="KommentartextZchn">
    <w:name w:val="Kommentartext Zchn"/>
    <w:basedOn w:val="Absatz-Standardschriftart"/>
    <w:link w:val="Kommentartext"/>
    <w:uiPriority w:val="99"/>
    <w:rsid w:val="00635B4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35B49"/>
    <w:rPr>
      <w:b/>
      <w:bCs/>
    </w:rPr>
  </w:style>
  <w:style w:type="character" w:customStyle="1" w:styleId="KommentarthemaZchn">
    <w:name w:val="Kommentarthema Zchn"/>
    <w:basedOn w:val="KommentartextZchn"/>
    <w:link w:val="Kommentarthema"/>
    <w:uiPriority w:val="99"/>
    <w:semiHidden/>
    <w:rsid w:val="00635B49"/>
    <w:rPr>
      <w:rFonts w:ascii="Arial" w:hAnsi="Arial" w:cs="Arial"/>
      <w:b/>
      <w:bCs/>
      <w:sz w:val="20"/>
      <w:szCs w:val="20"/>
    </w:rPr>
  </w:style>
  <w:style w:type="paragraph" w:styleId="Liste">
    <w:name w:val="List"/>
    <w:basedOn w:val="Standard"/>
    <w:uiPriority w:val="99"/>
    <w:semiHidden/>
    <w:unhideWhenUsed/>
    <w:rsid w:val="00635B49"/>
    <w:pPr>
      <w:ind w:left="283" w:hanging="283"/>
      <w:contextualSpacing/>
    </w:pPr>
  </w:style>
  <w:style w:type="paragraph" w:styleId="Liste2">
    <w:name w:val="List 2"/>
    <w:basedOn w:val="Standard"/>
    <w:uiPriority w:val="99"/>
    <w:semiHidden/>
    <w:unhideWhenUsed/>
    <w:rsid w:val="00635B49"/>
    <w:pPr>
      <w:ind w:left="566" w:hanging="283"/>
      <w:contextualSpacing/>
    </w:pPr>
  </w:style>
  <w:style w:type="paragraph" w:styleId="Liste3">
    <w:name w:val="List 3"/>
    <w:basedOn w:val="Standard"/>
    <w:uiPriority w:val="99"/>
    <w:semiHidden/>
    <w:unhideWhenUsed/>
    <w:rsid w:val="00635B49"/>
    <w:pPr>
      <w:ind w:left="849" w:hanging="283"/>
      <w:contextualSpacing/>
    </w:pPr>
  </w:style>
  <w:style w:type="paragraph" w:styleId="Liste4">
    <w:name w:val="List 4"/>
    <w:basedOn w:val="Standard"/>
    <w:uiPriority w:val="99"/>
    <w:semiHidden/>
    <w:unhideWhenUsed/>
    <w:rsid w:val="00635B49"/>
    <w:pPr>
      <w:ind w:left="1132" w:hanging="283"/>
      <w:contextualSpacing/>
    </w:pPr>
  </w:style>
  <w:style w:type="paragraph" w:styleId="Liste5">
    <w:name w:val="List 5"/>
    <w:basedOn w:val="Standard"/>
    <w:uiPriority w:val="99"/>
    <w:semiHidden/>
    <w:unhideWhenUsed/>
    <w:rsid w:val="00635B49"/>
    <w:pPr>
      <w:ind w:left="1415" w:hanging="283"/>
      <w:contextualSpacing/>
    </w:pPr>
  </w:style>
  <w:style w:type="paragraph" w:styleId="Listenabsatz">
    <w:name w:val="List Paragraph"/>
    <w:basedOn w:val="Standard"/>
    <w:uiPriority w:val="34"/>
    <w:qFormat/>
    <w:rsid w:val="00635B49"/>
    <w:pPr>
      <w:ind w:left="720"/>
      <w:contextualSpacing/>
    </w:pPr>
  </w:style>
  <w:style w:type="paragraph" w:styleId="Listenfortsetzung">
    <w:name w:val="List Continue"/>
    <w:basedOn w:val="Standard"/>
    <w:uiPriority w:val="99"/>
    <w:semiHidden/>
    <w:unhideWhenUsed/>
    <w:rsid w:val="00635B49"/>
    <w:pPr>
      <w:ind w:left="283"/>
      <w:contextualSpacing/>
    </w:pPr>
  </w:style>
  <w:style w:type="paragraph" w:styleId="Listenfortsetzung2">
    <w:name w:val="List Continue 2"/>
    <w:basedOn w:val="Standard"/>
    <w:uiPriority w:val="99"/>
    <w:semiHidden/>
    <w:unhideWhenUsed/>
    <w:rsid w:val="00635B49"/>
    <w:pPr>
      <w:ind w:left="566"/>
      <w:contextualSpacing/>
    </w:pPr>
  </w:style>
  <w:style w:type="paragraph" w:styleId="Listenfortsetzung3">
    <w:name w:val="List Continue 3"/>
    <w:basedOn w:val="Standard"/>
    <w:uiPriority w:val="99"/>
    <w:semiHidden/>
    <w:unhideWhenUsed/>
    <w:rsid w:val="00635B49"/>
    <w:pPr>
      <w:ind w:left="849"/>
      <w:contextualSpacing/>
    </w:pPr>
  </w:style>
  <w:style w:type="paragraph" w:styleId="Listenfortsetzung4">
    <w:name w:val="List Continue 4"/>
    <w:basedOn w:val="Standard"/>
    <w:uiPriority w:val="99"/>
    <w:semiHidden/>
    <w:unhideWhenUsed/>
    <w:rsid w:val="00635B49"/>
    <w:pPr>
      <w:ind w:left="1132"/>
      <w:contextualSpacing/>
    </w:pPr>
  </w:style>
  <w:style w:type="paragraph" w:styleId="Listenfortsetzung5">
    <w:name w:val="List Continue 5"/>
    <w:basedOn w:val="Standard"/>
    <w:uiPriority w:val="99"/>
    <w:semiHidden/>
    <w:unhideWhenUsed/>
    <w:rsid w:val="00635B49"/>
    <w:pPr>
      <w:ind w:left="1415"/>
      <w:contextualSpacing/>
    </w:pPr>
  </w:style>
  <w:style w:type="paragraph" w:styleId="Listennummer">
    <w:name w:val="List Number"/>
    <w:basedOn w:val="Standard"/>
    <w:uiPriority w:val="99"/>
    <w:semiHidden/>
    <w:unhideWhenUsed/>
    <w:rsid w:val="00635B49"/>
    <w:pPr>
      <w:numPr>
        <w:numId w:val="8"/>
      </w:numPr>
      <w:contextualSpacing/>
    </w:pPr>
  </w:style>
  <w:style w:type="paragraph" w:styleId="Listennummer2">
    <w:name w:val="List Number 2"/>
    <w:basedOn w:val="Standard"/>
    <w:uiPriority w:val="99"/>
    <w:semiHidden/>
    <w:unhideWhenUsed/>
    <w:rsid w:val="00635B49"/>
    <w:pPr>
      <w:numPr>
        <w:numId w:val="9"/>
      </w:numPr>
      <w:contextualSpacing/>
    </w:pPr>
  </w:style>
  <w:style w:type="paragraph" w:styleId="Listennummer3">
    <w:name w:val="List Number 3"/>
    <w:basedOn w:val="Standard"/>
    <w:uiPriority w:val="99"/>
    <w:semiHidden/>
    <w:unhideWhenUsed/>
    <w:rsid w:val="00635B49"/>
    <w:pPr>
      <w:numPr>
        <w:numId w:val="10"/>
      </w:numPr>
      <w:contextualSpacing/>
    </w:pPr>
  </w:style>
  <w:style w:type="paragraph" w:styleId="Listennummer4">
    <w:name w:val="List Number 4"/>
    <w:basedOn w:val="Standard"/>
    <w:uiPriority w:val="99"/>
    <w:semiHidden/>
    <w:unhideWhenUsed/>
    <w:rsid w:val="00635B49"/>
    <w:pPr>
      <w:numPr>
        <w:numId w:val="11"/>
      </w:numPr>
      <w:contextualSpacing/>
    </w:pPr>
  </w:style>
  <w:style w:type="paragraph" w:styleId="Listennummer5">
    <w:name w:val="List Number 5"/>
    <w:basedOn w:val="Standard"/>
    <w:uiPriority w:val="99"/>
    <w:semiHidden/>
    <w:unhideWhenUsed/>
    <w:rsid w:val="00635B49"/>
    <w:pPr>
      <w:numPr>
        <w:numId w:val="12"/>
      </w:numPr>
      <w:contextualSpacing/>
    </w:pPr>
  </w:style>
  <w:style w:type="paragraph" w:styleId="Literaturverzeichnis">
    <w:name w:val="Bibliography"/>
    <w:basedOn w:val="Standard"/>
    <w:next w:val="Standard"/>
    <w:uiPriority w:val="37"/>
    <w:semiHidden/>
    <w:unhideWhenUsed/>
    <w:rsid w:val="00635B49"/>
  </w:style>
  <w:style w:type="paragraph" w:styleId="Makrotext">
    <w:name w:val="macro"/>
    <w:link w:val="MakrotextZchn"/>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krotextZchn">
    <w:name w:val="Makrotext Zchn"/>
    <w:basedOn w:val="Absatz-Standardschriftart"/>
    <w:link w:val="Makrotext"/>
    <w:uiPriority w:val="99"/>
    <w:semiHidden/>
    <w:rsid w:val="00635B49"/>
    <w:rPr>
      <w:rFonts w:ascii="Consolas" w:hAnsi="Consolas" w:cs="Arial"/>
      <w:sz w:val="20"/>
      <w:szCs w:val="20"/>
    </w:rPr>
  </w:style>
  <w:style w:type="paragraph" w:styleId="Nachrichtenkopf">
    <w:name w:val="Message Header"/>
    <w:basedOn w:val="Standard"/>
    <w:link w:val="NachrichtenkopfZchn"/>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35B4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635B49"/>
    <w:pPr>
      <w:spacing w:before="0" w:after="0"/>
    </w:pPr>
    <w:rPr>
      <w:rFonts w:ascii="Consolas" w:hAnsi="Consolas"/>
      <w:sz w:val="21"/>
      <w:szCs w:val="21"/>
    </w:rPr>
  </w:style>
  <w:style w:type="character" w:customStyle="1" w:styleId="NurTextZchn">
    <w:name w:val="Nur Text Zchn"/>
    <w:basedOn w:val="Absatz-Standardschriftart"/>
    <w:link w:val="NurText"/>
    <w:uiPriority w:val="99"/>
    <w:semiHidden/>
    <w:rsid w:val="00635B49"/>
    <w:rPr>
      <w:rFonts w:ascii="Consolas" w:hAnsi="Consolas" w:cs="Arial"/>
      <w:sz w:val="21"/>
      <w:szCs w:val="21"/>
    </w:rPr>
  </w:style>
  <w:style w:type="paragraph" w:styleId="Rechtsgrundlagenverzeichnis">
    <w:name w:val="table of authorities"/>
    <w:basedOn w:val="Standard"/>
    <w:next w:val="Standard"/>
    <w:uiPriority w:val="99"/>
    <w:semiHidden/>
    <w:unhideWhenUsed/>
    <w:rsid w:val="00635B49"/>
    <w:pPr>
      <w:spacing w:after="0"/>
      <w:ind w:left="220" w:hanging="220"/>
    </w:pPr>
  </w:style>
  <w:style w:type="paragraph" w:styleId="RGV-berschrift">
    <w:name w:val="toa heading"/>
    <w:basedOn w:val="Standard"/>
    <w:next w:val="Standard"/>
    <w:uiPriority w:val="99"/>
    <w:semiHidden/>
    <w:unhideWhenUsed/>
    <w:rsid w:val="00635B49"/>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635B49"/>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B49"/>
    <w:rPr>
      <w:rFonts w:ascii="Segoe UI" w:hAnsi="Segoe UI" w:cs="Segoe UI"/>
      <w:sz w:val="18"/>
      <w:szCs w:val="18"/>
    </w:rPr>
  </w:style>
  <w:style w:type="paragraph" w:styleId="StandardWeb">
    <w:name w:val="Normal (Web)"/>
    <w:basedOn w:val="Standard"/>
    <w:uiPriority w:val="99"/>
    <w:unhideWhenUsed/>
    <w:rsid w:val="00635B49"/>
    <w:rPr>
      <w:rFonts w:ascii="Times New Roman" w:hAnsi="Times New Roman" w:cs="Times New Roman"/>
      <w:sz w:val="24"/>
      <w:szCs w:val="24"/>
    </w:rPr>
  </w:style>
  <w:style w:type="paragraph" w:styleId="Standardeinzug">
    <w:name w:val="Normal Indent"/>
    <w:basedOn w:val="Standard"/>
    <w:uiPriority w:val="99"/>
    <w:semiHidden/>
    <w:unhideWhenUsed/>
    <w:rsid w:val="00635B49"/>
    <w:pPr>
      <w:ind w:left="708"/>
    </w:pPr>
  </w:style>
  <w:style w:type="paragraph" w:styleId="Textkrper">
    <w:name w:val="Body Text"/>
    <w:basedOn w:val="Standard"/>
    <w:link w:val="TextkrperZchn"/>
    <w:uiPriority w:val="99"/>
    <w:semiHidden/>
    <w:unhideWhenUsed/>
    <w:rsid w:val="00635B49"/>
  </w:style>
  <w:style w:type="character" w:customStyle="1" w:styleId="TextkrperZchn">
    <w:name w:val="Textkörper Zchn"/>
    <w:basedOn w:val="Absatz-Standardschriftart"/>
    <w:link w:val="Textkrper"/>
    <w:uiPriority w:val="99"/>
    <w:semiHidden/>
    <w:rsid w:val="00635B49"/>
    <w:rPr>
      <w:rFonts w:ascii="Arial" w:hAnsi="Arial" w:cs="Arial"/>
    </w:rPr>
  </w:style>
  <w:style w:type="paragraph" w:styleId="Textkrper2">
    <w:name w:val="Body Text 2"/>
    <w:basedOn w:val="Standard"/>
    <w:link w:val="Textkrper2Zchn"/>
    <w:uiPriority w:val="99"/>
    <w:semiHidden/>
    <w:unhideWhenUsed/>
    <w:rsid w:val="00635B49"/>
    <w:pPr>
      <w:spacing w:line="480" w:lineRule="auto"/>
    </w:pPr>
  </w:style>
  <w:style w:type="character" w:customStyle="1" w:styleId="Textkrper2Zchn">
    <w:name w:val="Textkörper 2 Zchn"/>
    <w:basedOn w:val="Absatz-Standardschriftart"/>
    <w:link w:val="Textkrper2"/>
    <w:uiPriority w:val="99"/>
    <w:semiHidden/>
    <w:rsid w:val="00635B49"/>
    <w:rPr>
      <w:rFonts w:ascii="Arial" w:hAnsi="Arial" w:cs="Arial"/>
    </w:rPr>
  </w:style>
  <w:style w:type="paragraph" w:styleId="Textkrper3">
    <w:name w:val="Body Text 3"/>
    <w:basedOn w:val="Standard"/>
    <w:link w:val="Textkrper3Zchn"/>
    <w:uiPriority w:val="99"/>
    <w:semiHidden/>
    <w:unhideWhenUsed/>
    <w:rsid w:val="00635B49"/>
    <w:rPr>
      <w:sz w:val="16"/>
      <w:szCs w:val="16"/>
    </w:rPr>
  </w:style>
  <w:style w:type="character" w:customStyle="1" w:styleId="Textkrper3Zchn">
    <w:name w:val="Textkörper 3 Zchn"/>
    <w:basedOn w:val="Absatz-Standardschriftart"/>
    <w:link w:val="Textkrper3"/>
    <w:uiPriority w:val="99"/>
    <w:semiHidden/>
    <w:rsid w:val="00635B49"/>
    <w:rPr>
      <w:rFonts w:ascii="Arial" w:hAnsi="Arial" w:cs="Arial"/>
      <w:sz w:val="16"/>
      <w:szCs w:val="16"/>
    </w:rPr>
  </w:style>
  <w:style w:type="paragraph" w:styleId="Textkrper-Einzug2">
    <w:name w:val="Body Text Indent 2"/>
    <w:basedOn w:val="Standard"/>
    <w:link w:val="Textkrper-Einzug2Zchn"/>
    <w:uiPriority w:val="99"/>
    <w:semiHidden/>
    <w:unhideWhenUsed/>
    <w:rsid w:val="00635B49"/>
    <w:pPr>
      <w:spacing w:line="480" w:lineRule="auto"/>
      <w:ind w:left="283"/>
    </w:pPr>
  </w:style>
  <w:style w:type="character" w:customStyle="1" w:styleId="Textkrper-Einzug2Zchn">
    <w:name w:val="Textkörper-Einzug 2 Zchn"/>
    <w:basedOn w:val="Absatz-Standardschriftart"/>
    <w:link w:val="Textkrper-Einzug2"/>
    <w:uiPriority w:val="99"/>
    <w:semiHidden/>
    <w:rsid w:val="00635B49"/>
    <w:rPr>
      <w:rFonts w:ascii="Arial" w:hAnsi="Arial" w:cs="Arial"/>
    </w:rPr>
  </w:style>
  <w:style w:type="paragraph" w:styleId="Textkrper-Einzug3">
    <w:name w:val="Body Text Indent 3"/>
    <w:basedOn w:val="Standard"/>
    <w:link w:val="Textkrper-Einzug3Zchn"/>
    <w:uiPriority w:val="99"/>
    <w:semiHidden/>
    <w:unhideWhenUsed/>
    <w:rsid w:val="00635B49"/>
    <w:pPr>
      <w:ind w:left="283"/>
    </w:pPr>
    <w:rPr>
      <w:sz w:val="16"/>
      <w:szCs w:val="16"/>
    </w:rPr>
  </w:style>
  <w:style w:type="character" w:customStyle="1" w:styleId="Textkrper-Einzug3Zchn">
    <w:name w:val="Textkörper-Einzug 3 Zchn"/>
    <w:basedOn w:val="Absatz-Standardschriftart"/>
    <w:link w:val="Textkrper-Einzug3"/>
    <w:uiPriority w:val="99"/>
    <w:semiHidden/>
    <w:rsid w:val="00635B49"/>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635B49"/>
    <w:pPr>
      <w:ind w:firstLine="360"/>
    </w:pPr>
  </w:style>
  <w:style w:type="character" w:customStyle="1" w:styleId="Textkrper-ErstzeileneinzugZchn">
    <w:name w:val="Textkörper-Erstzeileneinzug Zchn"/>
    <w:basedOn w:val="TextkrperZchn"/>
    <w:link w:val="Textkrper-Erstzeileneinzug"/>
    <w:uiPriority w:val="99"/>
    <w:semiHidden/>
    <w:rsid w:val="00635B49"/>
    <w:rPr>
      <w:rFonts w:ascii="Arial" w:hAnsi="Arial" w:cs="Arial"/>
    </w:rPr>
  </w:style>
  <w:style w:type="paragraph" w:styleId="Textkrper-Zeileneinzug">
    <w:name w:val="Body Text Indent"/>
    <w:basedOn w:val="Standard"/>
    <w:link w:val="Textkrper-ZeileneinzugZchn"/>
    <w:uiPriority w:val="99"/>
    <w:semiHidden/>
    <w:unhideWhenUsed/>
    <w:rsid w:val="00635B49"/>
    <w:pPr>
      <w:ind w:left="283"/>
    </w:pPr>
  </w:style>
  <w:style w:type="character" w:customStyle="1" w:styleId="Textkrper-ZeileneinzugZchn">
    <w:name w:val="Textkörper-Zeileneinzug Zchn"/>
    <w:basedOn w:val="Absatz-Standardschriftart"/>
    <w:link w:val="Textkrper-Zeileneinzug"/>
    <w:uiPriority w:val="99"/>
    <w:semiHidden/>
    <w:rsid w:val="00635B49"/>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635B49"/>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35B49"/>
    <w:rPr>
      <w:rFonts w:ascii="Arial" w:hAnsi="Arial" w:cs="Arial"/>
    </w:rPr>
  </w:style>
  <w:style w:type="paragraph" w:styleId="Titel">
    <w:name w:val="Title"/>
    <w:basedOn w:val="Standard"/>
    <w:next w:val="Standard"/>
    <w:link w:val="TitelZchn"/>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5B49"/>
    <w:rPr>
      <w:rFonts w:asciiTheme="majorHAnsi" w:eastAsiaTheme="majorEastAsia" w:hAnsiTheme="majorHAnsi" w:cstheme="majorBidi"/>
      <w:spacing w:val="-10"/>
      <w:kern w:val="28"/>
      <w:sz w:val="56"/>
      <w:szCs w:val="56"/>
    </w:rPr>
  </w:style>
  <w:style w:type="character" w:customStyle="1" w:styleId="berschrift5Zchn">
    <w:name w:val="Überschrift 5 Zchn"/>
    <w:basedOn w:val="Absatz-Standardschriftart"/>
    <w:link w:val="berschrift5"/>
    <w:uiPriority w:val="9"/>
    <w:semiHidden/>
    <w:rsid w:val="00635B4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35B4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35B4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35B49"/>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635B49"/>
    <w:pPr>
      <w:spacing w:before="0"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35B49"/>
    <w:pPr>
      <w:spacing w:before="0" w:after="0"/>
      <w:ind w:left="4252"/>
    </w:pPr>
  </w:style>
  <w:style w:type="character" w:customStyle="1" w:styleId="UnterschriftZchn">
    <w:name w:val="Unterschrift Zchn"/>
    <w:basedOn w:val="Absatz-Standardschriftart"/>
    <w:link w:val="Unterschrift"/>
    <w:uiPriority w:val="99"/>
    <w:semiHidden/>
    <w:rsid w:val="00635B49"/>
    <w:rPr>
      <w:rFonts w:ascii="Arial" w:hAnsi="Arial" w:cs="Arial"/>
    </w:rPr>
  </w:style>
  <w:style w:type="paragraph" w:styleId="Untertitel">
    <w:name w:val="Subtitle"/>
    <w:basedOn w:val="Standard"/>
    <w:next w:val="Standard"/>
    <w:link w:val="UntertitelZchn"/>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635B49"/>
    <w:rPr>
      <w:rFonts w:eastAsiaTheme="minorEastAsia"/>
      <w:color w:val="5A5A5A" w:themeColor="text1" w:themeTint="A5"/>
      <w:spacing w:val="15"/>
    </w:rPr>
  </w:style>
  <w:style w:type="paragraph" w:styleId="Zitat">
    <w:name w:val="Quote"/>
    <w:basedOn w:val="Standard"/>
    <w:next w:val="Standard"/>
    <w:link w:val="ZitatZchn"/>
    <w:uiPriority w:val="29"/>
    <w:qFormat/>
    <w:rsid w:val="00635B4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35B49"/>
    <w:rPr>
      <w:rFonts w:ascii="Arial" w:hAnsi="Arial" w:cs="Arial"/>
      <w:i/>
      <w:iCs/>
      <w:color w:val="404040" w:themeColor="text1" w:themeTint="BF"/>
    </w:rPr>
  </w:style>
  <w:style w:type="character" w:customStyle="1" w:styleId="markedcontent">
    <w:name w:val="markedcontent"/>
    <w:basedOn w:val="Absatz-Standardschriftart"/>
    <w:rsid w:val="009D3EFC"/>
  </w:style>
  <w:style w:type="character" w:customStyle="1" w:styleId="highlight">
    <w:name w:val="highlight"/>
    <w:basedOn w:val="Absatz-Standardschriftart"/>
    <w:rsid w:val="009D3EFC"/>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54"/>
      </w:numPr>
      <w:spacing w:before="60" w:after="60"/>
    </w:pPr>
    <w:rPr>
      <w:sz w:val="18"/>
    </w:rPr>
  </w:style>
  <w:style w:type="paragraph" w:customStyle="1" w:styleId="TabelleListe">
    <w:name w:val="Tabelle Liste"/>
    <w:basedOn w:val="Standard"/>
    <w:rsid w:val="00CB23B3"/>
    <w:pPr>
      <w:numPr>
        <w:numId w:val="55"/>
      </w:numPr>
      <w:spacing w:before="60" w:after="60"/>
    </w:pPr>
    <w:rPr>
      <w:sz w:val="18"/>
    </w:rPr>
  </w:style>
  <w:style w:type="character" w:customStyle="1" w:styleId="Binnenverweis">
    <w:name w:val="Binnenverweis"/>
    <w:basedOn w:val="Absatz-Standardschriftart"/>
    <w:rsid w:val="00CB23B3"/>
    <w:rPr>
      <w:noProof/>
      <w:u w:val="none"/>
      <w:shd w:val="clear" w:color="auto" w:fill="E0E0E0"/>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53"/>
      </w:numPr>
      <w:tabs>
        <w:tab w:val="left" w:pos="0"/>
      </w:tabs>
    </w:pPr>
  </w:style>
  <w:style w:type="paragraph" w:customStyle="1" w:styleId="ListeFolgeabsatzStufe1">
    <w:name w:val="Liste Folgeabsatz (Stufe 1)"/>
    <w:basedOn w:val="Standard"/>
    <w:rsid w:val="00CB23B3"/>
    <w:pPr>
      <w:numPr>
        <w:ilvl w:val="1"/>
        <w:numId w:val="53"/>
      </w:numPr>
    </w:pPr>
  </w:style>
  <w:style w:type="paragraph" w:customStyle="1" w:styleId="ListeStufe2">
    <w:name w:val="Liste (Stufe 2)"/>
    <w:basedOn w:val="Standard"/>
    <w:rsid w:val="00CB23B3"/>
    <w:pPr>
      <w:numPr>
        <w:ilvl w:val="2"/>
        <w:numId w:val="53"/>
      </w:numPr>
    </w:pPr>
  </w:style>
  <w:style w:type="paragraph" w:customStyle="1" w:styleId="ListeFolgeabsatzStufe2">
    <w:name w:val="Liste Folgeabsatz (Stufe 2)"/>
    <w:basedOn w:val="Standard"/>
    <w:rsid w:val="00CB23B3"/>
    <w:pPr>
      <w:numPr>
        <w:ilvl w:val="3"/>
        <w:numId w:val="53"/>
      </w:numPr>
    </w:pPr>
  </w:style>
  <w:style w:type="paragraph" w:customStyle="1" w:styleId="ListeStufe3">
    <w:name w:val="Liste (Stufe 3)"/>
    <w:basedOn w:val="Standard"/>
    <w:rsid w:val="00CB23B3"/>
    <w:pPr>
      <w:numPr>
        <w:ilvl w:val="4"/>
        <w:numId w:val="53"/>
      </w:numPr>
    </w:pPr>
  </w:style>
  <w:style w:type="paragraph" w:customStyle="1" w:styleId="ListeFolgeabsatzStufe3">
    <w:name w:val="Liste Folgeabsatz (Stufe 3)"/>
    <w:basedOn w:val="Standard"/>
    <w:rsid w:val="00CB23B3"/>
    <w:pPr>
      <w:numPr>
        <w:ilvl w:val="5"/>
        <w:numId w:val="53"/>
      </w:numPr>
    </w:pPr>
  </w:style>
  <w:style w:type="paragraph" w:customStyle="1" w:styleId="ListeStufe4">
    <w:name w:val="Liste (Stufe 4)"/>
    <w:basedOn w:val="Standard"/>
    <w:rsid w:val="00CB23B3"/>
    <w:pPr>
      <w:numPr>
        <w:ilvl w:val="6"/>
        <w:numId w:val="53"/>
      </w:numPr>
    </w:pPr>
  </w:style>
  <w:style w:type="paragraph" w:customStyle="1" w:styleId="ListeFolgeabsatzStufe4">
    <w:name w:val="Liste Folgeabsatz (Stufe 4)"/>
    <w:basedOn w:val="Standard"/>
    <w:rsid w:val="00CB23B3"/>
    <w:pPr>
      <w:numPr>
        <w:ilvl w:val="7"/>
        <w:numId w:val="53"/>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48"/>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49"/>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50"/>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51"/>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52"/>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68"/>
      </w:numPr>
      <w:outlineLvl w:val="5"/>
    </w:pPr>
  </w:style>
  <w:style w:type="paragraph" w:customStyle="1" w:styleId="NummerierungStufe2">
    <w:name w:val="Nummerierung (Stufe 2)"/>
    <w:basedOn w:val="Standard"/>
    <w:rsid w:val="00CB23B3"/>
    <w:pPr>
      <w:numPr>
        <w:ilvl w:val="4"/>
        <w:numId w:val="68"/>
      </w:numPr>
    </w:pPr>
  </w:style>
  <w:style w:type="paragraph" w:customStyle="1" w:styleId="NummerierungStufe3">
    <w:name w:val="Nummerierung (Stufe 3)"/>
    <w:basedOn w:val="Standard"/>
    <w:rsid w:val="00CB23B3"/>
    <w:pPr>
      <w:numPr>
        <w:ilvl w:val="5"/>
        <w:numId w:val="68"/>
      </w:numPr>
    </w:pPr>
  </w:style>
  <w:style w:type="paragraph" w:customStyle="1" w:styleId="NummerierungStufe4">
    <w:name w:val="Nummerierung (Stufe 4)"/>
    <w:basedOn w:val="Standard"/>
    <w:rsid w:val="00CB23B3"/>
    <w:pPr>
      <w:numPr>
        <w:ilvl w:val="6"/>
        <w:numId w:val="68"/>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56"/>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57"/>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basedOn w:val="Absatz-Standardschriftart"/>
    <w:link w:val="berschrift1"/>
    <w:uiPriority w:val="9"/>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69"/>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68"/>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68"/>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70"/>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71"/>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70"/>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71"/>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70"/>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71"/>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70"/>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71"/>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70"/>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71"/>
      </w:numPr>
      <w:spacing w:after="240"/>
      <w:jc w:val="center"/>
      <w:outlineLvl w:val="2"/>
    </w:pPr>
  </w:style>
  <w:style w:type="paragraph" w:customStyle="1" w:styleId="TitelBezeichner">
    <w:name w:val="Titel Bezeichner"/>
    <w:basedOn w:val="Standard"/>
    <w:next w:val="Titelberschrift"/>
    <w:rsid w:val="00CB23B3"/>
    <w:pPr>
      <w:keepNext/>
      <w:numPr>
        <w:ilvl w:val="5"/>
        <w:numId w:val="70"/>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71"/>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70"/>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71"/>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72"/>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72"/>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59"/>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59"/>
      </w:numPr>
    </w:pPr>
    <w:rPr>
      <w:color w:val="800000"/>
    </w:rPr>
  </w:style>
  <w:style w:type="paragraph" w:customStyle="1" w:styleId="RevisionNummerierungStufe2">
    <w:name w:val="Revision Nummerierung (Stufe 2)"/>
    <w:basedOn w:val="Standard"/>
    <w:rsid w:val="00CB23B3"/>
    <w:pPr>
      <w:numPr>
        <w:ilvl w:val="4"/>
        <w:numId w:val="59"/>
      </w:numPr>
    </w:pPr>
    <w:rPr>
      <w:color w:val="800000"/>
    </w:rPr>
  </w:style>
  <w:style w:type="paragraph" w:customStyle="1" w:styleId="RevisionNummerierungStufe3">
    <w:name w:val="Revision Nummerierung (Stufe 3)"/>
    <w:basedOn w:val="Standard"/>
    <w:rsid w:val="00CB23B3"/>
    <w:pPr>
      <w:numPr>
        <w:ilvl w:val="5"/>
        <w:numId w:val="59"/>
      </w:numPr>
    </w:pPr>
    <w:rPr>
      <w:color w:val="800000"/>
    </w:rPr>
  </w:style>
  <w:style w:type="paragraph" w:customStyle="1" w:styleId="RevisionNummerierungStufe4">
    <w:name w:val="Revision Nummerierung (Stufe 4)"/>
    <w:basedOn w:val="Standard"/>
    <w:rsid w:val="00CB23B3"/>
    <w:pPr>
      <w:numPr>
        <w:ilvl w:val="6"/>
        <w:numId w:val="59"/>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59"/>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59"/>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66"/>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60"/>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60"/>
      </w:numPr>
    </w:pPr>
    <w:rPr>
      <w:color w:val="800000"/>
    </w:rPr>
  </w:style>
  <w:style w:type="paragraph" w:customStyle="1" w:styleId="RevisionListeStufe2">
    <w:name w:val="Revision Liste (Stufe 2)"/>
    <w:basedOn w:val="Standard"/>
    <w:rsid w:val="00CB23B3"/>
    <w:pPr>
      <w:numPr>
        <w:ilvl w:val="2"/>
        <w:numId w:val="60"/>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60"/>
      </w:numPr>
    </w:pPr>
    <w:rPr>
      <w:color w:val="800000"/>
    </w:rPr>
  </w:style>
  <w:style w:type="paragraph" w:customStyle="1" w:styleId="RevisionListeStufe3">
    <w:name w:val="Revision Liste (Stufe 3)"/>
    <w:basedOn w:val="Standard"/>
    <w:rsid w:val="00CB23B3"/>
    <w:pPr>
      <w:numPr>
        <w:ilvl w:val="4"/>
        <w:numId w:val="60"/>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60"/>
      </w:numPr>
    </w:pPr>
    <w:rPr>
      <w:color w:val="800000"/>
    </w:rPr>
  </w:style>
  <w:style w:type="paragraph" w:customStyle="1" w:styleId="RevisionListeStufe4">
    <w:name w:val="Revision Liste (Stufe 4)"/>
    <w:basedOn w:val="Standard"/>
    <w:rsid w:val="00CB23B3"/>
    <w:pPr>
      <w:numPr>
        <w:ilvl w:val="6"/>
        <w:numId w:val="60"/>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60"/>
      </w:numPr>
    </w:pPr>
    <w:rPr>
      <w:color w:val="800000"/>
    </w:rPr>
  </w:style>
  <w:style w:type="paragraph" w:customStyle="1" w:styleId="RevisionAufzhlungStufe1">
    <w:name w:val="Revision Aufzählung (Stufe 1)"/>
    <w:basedOn w:val="Standard"/>
    <w:rsid w:val="00CB23B3"/>
    <w:pPr>
      <w:numPr>
        <w:numId w:val="61"/>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62"/>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63"/>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64"/>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65"/>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67"/>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68"/>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 w:type="paragraph" w:customStyle="1" w:styleId="ManualConsidrant">
    <w:name w:val="Manual Considérant"/>
    <w:basedOn w:val="Standard"/>
    <w:rsid w:val="00F568C1"/>
    <w:pPr>
      <w:ind w:left="709" w:hanging="709"/>
    </w:pPr>
    <w:rPr>
      <w:rFonts w:ascii="Times New Roman" w:hAnsi="Times New Roman" w:cs="Times New Roman"/>
      <w:sz w:val="24"/>
    </w:rPr>
  </w:style>
  <w:style w:type="paragraph" w:customStyle="1" w:styleId="Nomdelinstitution">
    <w:name w:val="Nom de l'institution"/>
    <w:basedOn w:val="Standard"/>
    <w:next w:val="Standard"/>
    <w:rsid w:val="008C17D3"/>
    <w:pPr>
      <w:spacing w:before="0" w:after="0"/>
      <w:jc w:val="left"/>
    </w:pPr>
    <w:rPr>
      <w:sz w:val="24"/>
    </w:rPr>
  </w:style>
  <w:style w:type="character" w:styleId="Platzhaltertext">
    <w:name w:val="Placeholder Text"/>
    <w:basedOn w:val="Absatz-Standardschriftart"/>
    <w:uiPriority w:val="99"/>
    <w:semiHidden/>
    <w:rsid w:val="00245927"/>
    <w:rPr>
      <w:vanish/>
      <w:color w:val="auto"/>
      <w:bdr w:val="none" w:sz="0" w:space="0" w:color="auto"/>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1286">
      <w:bodyDiv w:val="1"/>
      <w:marLeft w:val="0"/>
      <w:marRight w:val="0"/>
      <w:marTop w:val="0"/>
      <w:marBottom w:val="0"/>
      <w:divBdr>
        <w:top w:val="none" w:sz="0" w:space="0" w:color="auto"/>
        <w:left w:val="none" w:sz="0" w:space="0" w:color="auto"/>
        <w:bottom w:val="none" w:sz="0" w:space="0" w:color="auto"/>
        <w:right w:val="none" w:sz="0" w:space="0" w:color="auto"/>
      </w:divBdr>
    </w:div>
    <w:div w:id="373703400">
      <w:bodyDiv w:val="1"/>
      <w:marLeft w:val="0"/>
      <w:marRight w:val="0"/>
      <w:marTop w:val="0"/>
      <w:marBottom w:val="0"/>
      <w:divBdr>
        <w:top w:val="none" w:sz="0" w:space="0" w:color="auto"/>
        <w:left w:val="none" w:sz="0" w:space="0" w:color="auto"/>
        <w:bottom w:val="none" w:sz="0" w:space="0" w:color="auto"/>
        <w:right w:val="none" w:sz="0" w:space="0" w:color="auto"/>
      </w:divBdr>
    </w:div>
    <w:div w:id="443311627">
      <w:bodyDiv w:val="1"/>
      <w:marLeft w:val="0"/>
      <w:marRight w:val="0"/>
      <w:marTop w:val="0"/>
      <w:marBottom w:val="0"/>
      <w:divBdr>
        <w:top w:val="none" w:sz="0" w:space="0" w:color="auto"/>
        <w:left w:val="none" w:sz="0" w:space="0" w:color="auto"/>
        <w:bottom w:val="none" w:sz="0" w:space="0" w:color="auto"/>
        <w:right w:val="none" w:sz="0" w:space="0" w:color="auto"/>
      </w:divBdr>
      <w:divsChild>
        <w:div w:id="1706364106">
          <w:marLeft w:val="0"/>
          <w:marRight w:val="0"/>
          <w:marTop w:val="0"/>
          <w:marBottom w:val="0"/>
          <w:divBdr>
            <w:top w:val="none" w:sz="0" w:space="0" w:color="auto"/>
            <w:left w:val="none" w:sz="0" w:space="0" w:color="auto"/>
            <w:bottom w:val="none" w:sz="0" w:space="0" w:color="auto"/>
            <w:right w:val="none" w:sz="0" w:space="0" w:color="auto"/>
          </w:divBdr>
        </w:div>
      </w:divsChild>
    </w:div>
    <w:div w:id="713315781">
      <w:bodyDiv w:val="1"/>
      <w:marLeft w:val="0"/>
      <w:marRight w:val="0"/>
      <w:marTop w:val="0"/>
      <w:marBottom w:val="0"/>
      <w:divBdr>
        <w:top w:val="none" w:sz="0" w:space="0" w:color="auto"/>
        <w:left w:val="none" w:sz="0" w:space="0" w:color="auto"/>
        <w:bottom w:val="none" w:sz="0" w:space="0" w:color="auto"/>
        <w:right w:val="none" w:sz="0" w:space="0" w:color="auto"/>
      </w:divBdr>
    </w:div>
    <w:div w:id="720062003">
      <w:bodyDiv w:val="1"/>
      <w:marLeft w:val="0"/>
      <w:marRight w:val="0"/>
      <w:marTop w:val="0"/>
      <w:marBottom w:val="0"/>
      <w:divBdr>
        <w:top w:val="none" w:sz="0" w:space="0" w:color="auto"/>
        <w:left w:val="none" w:sz="0" w:space="0" w:color="auto"/>
        <w:bottom w:val="none" w:sz="0" w:space="0" w:color="auto"/>
        <w:right w:val="none" w:sz="0" w:space="0" w:color="auto"/>
      </w:divBdr>
    </w:div>
    <w:div w:id="845946852">
      <w:bodyDiv w:val="1"/>
      <w:marLeft w:val="0"/>
      <w:marRight w:val="0"/>
      <w:marTop w:val="0"/>
      <w:marBottom w:val="0"/>
      <w:divBdr>
        <w:top w:val="none" w:sz="0" w:space="0" w:color="auto"/>
        <w:left w:val="none" w:sz="0" w:space="0" w:color="auto"/>
        <w:bottom w:val="none" w:sz="0" w:space="0" w:color="auto"/>
        <w:right w:val="none" w:sz="0" w:space="0" w:color="auto"/>
      </w:divBdr>
    </w:div>
    <w:div w:id="941297864">
      <w:bodyDiv w:val="1"/>
      <w:marLeft w:val="0"/>
      <w:marRight w:val="0"/>
      <w:marTop w:val="0"/>
      <w:marBottom w:val="0"/>
      <w:divBdr>
        <w:top w:val="none" w:sz="0" w:space="0" w:color="auto"/>
        <w:left w:val="none" w:sz="0" w:space="0" w:color="auto"/>
        <w:bottom w:val="none" w:sz="0" w:space="0" w:color="auto"/>
        <w:right w:val="none" w:sz="0" w:space="0" w:color="auto"/>
      </w:divBdr>
    </w:div>
    <w:div w:id="963341009">
      <w:bodyDiv w:val="1"/>
      <w:marLeft w:val="0"/>
      <w:marRight w:val="0"/>
      <w:marTop w:val="0"/>
      <w:marBottom w:val="0"/>
      <w:divBdr>
        <w:top w:val="none" w:sz="0" w:space="0" w:color="auto"/>
        <w:left w:val="none" w:sz="0" w:space="0" w:color="auto"/>
        <w:bottom w:val="none" w:sz="0" w:space="0" w:color="auto"/>
        <w:right w:val="none" w:sz="0" w:space="0" w:color="auto"/>
      </w:divBdr>
    </w:div>
    <w:div w:id="970326827">
      <w:bodyDiv w:val="1"/>
      <w:marLeft w:val="0"/>
      <w:marRight w:val="0"/>
      <w:marTop w:val="0"/>
      <w:marBottom w:val="0"/>
      <w:divBdr>
        <w:top w:val="none" w:sz="0" w:space="0" w:color="auto"/>
        <w:left w:val="none" w:sz="0" w:space="0" w:color="auto"/>
        <w:bottom w:val="none" w:sz="0" w:space="0" w:color="auto"/>
        <w:right w:val="none" w:sz="0" w:space="0" w:color="auto"/>
      </w:divBdr>
    </w:div>
    <w:div w:id="1022827540">
      <w:bodyDiv w:val="1"/>
      <w:marLeft w:val="0"/>
      <w:marRight w:val="0"/>
      <w:marTop w:val="0"/>
      <w:marBottom w:val="0"/>
      <w:divBdr>
        <w:top w:val="none" w:sz="0" w:space="0" w:color="auto"/>
        <w:left w:val="none" w:sz="0" w:space="0" w:color="auto"/>
        <w:bottom w:val="none" w:sz="0" w:space="0" w:color="auto"/>
        <w:right w:val="none" w:sz="0" w:space="0" w:color="auto"/>
      </w:divBdr>
      <w:divsChild>
        <w:div w:id="1343122278">
          <w:marLeft w:val="0"/>
          <w:marRight w:val="0"/>
          <w:marTop w:val="0"/>
          <w:marBottom w:val="0"/>
          <w:divBdr>
            <w:top w:val="none" w:sz="0" w:space="0" w:color="auto"/>
            <w:left w:val="none" w:sz="0" w:space="0" w:color="auto"/>
            <w:bottom w:val="none" w:sz="0" w:space="0" w:color="auto"/>
            <w:right w:val="none" w:sz="0" w:space="0" w:color="auto"/>
          </w:divBdr>
        </w:div>
      </w:divsChild>
    </w:div>
    <w:div w:id="1886260672">
      <w:bodyDiv w:val="1"/>
      <w:marLeft w:val="0"/>
      <w:marRight w:val="0"/>
      <w:marTop w:val="0"/>
      <w:marBottom w:val="0"/>
      <w:divBdr>
        <w:top w:val="none" w:sz="0" w:space="0" w:color="auto"/>
        <w:left w:val="none" w:sz="0" w:space="0" w:color="auto"/>
        <w:bottom w:val="none" w:sz="0" w:space="0" w:color="auto"/>
        <w:right w:val="none" w:sz="0" w:space="0" w:color="auto"/>
      </w:divBdr>
    </w:div>
    <w:div w:id="20834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DBCFG_15_1700_FieldBDBSignatures" text="" multiline="true"/>
    <f:field ref="objname" text="240904_Ref_Entwurf_24._VO_Änderung_der_Anlagen_des_BtMG" edit="true"/>
  </f:record>
  <f:display text="Allgemein">
    <f:field ref="BDBCFG_15_1700_FieldBDBSignatures" text="Zeichnungsleiste chronologisch Zeichnungen (Datum der Zeichnung)"/>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C68A-E364-45A7-8308-06A10AFA876A}">
  <ds:schemaRefs>
    <ds:schemaRef ds:uri="http://schemas.fabasoft.com/folio/2007/fields"/>
  </ds:schemaRefs>
</ds:datastoreItem>
</file>

<file path=customXml/itemProps2.xml><?xml version="1.0" encoding="utf-8"?>
<ds:datastoreItem xmlns:ds="http://schemas.openxmlformats.org/officeDocument/2006/customXml" ds:itemID="{F3F7F9FE-AADA-4451-BEAF-67E314C5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7</Pages>
  <Words>1803</Words>
  <Characters>12274</Characters>
  <Application>Microsoft Office Word</Application>
  <DocSecurity>0</DocSecurity>
  <Lines>236</Lines>
  <Paragraphs>91</Paragraphs>
  <ScaleCrop>false</ScaleCrop>
  <HeadingPairs>
    <vt:vector size="2" baseType="variant">
      <vt:variant>
        <vt:lpstr>Titel</vt:lpstr>
      </vt:variant>
      <vt:variant>
        <vt:i4>1</vt:i4>
      </vt:variant>
    </vt:vector>
  </HeadingPairs>
  <TitlesOfParts>
    <vt:vector size="1" baseType="lpstr">
      <vt:lpstr>Vierundzwanzigste Verordnung zur Änderung von Anlagen des Betäubungsmittelgesetzes</vt:lpstr>
    </vt:vector>
  </TitlesOfParts>
  <Company>BfArM</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Vierundzwanzigste Verordnung zur Änderung von Anlagen des Betäubungsmittelgesetzes</dc:title>
  <dc:creator>Freude, Olaf</dc:creator>
  <cp:lastModifiedBy>Hinze Dr., Annette -122 BMG</cp:lastModifiedBy>
  <cp:revision>3</cp:revision>
  <cp:lastPrinted>2023-02-28T07:23:00Z</cp:lastPrinted>
  <dcterms:created xsi:type="dcterms:W3CDTF">2024-10-10T11:18:00Z</dcterms:created>
  <dcterms:modified xsi:type="dcterms:W3CDTF">2024-10-10T11:18:00Z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09.09.2024  10:14</vt:lpwstr>
  </property>
  <property fmtid="{D5CDD505-2E9C-101B-9397-08002B2CF9AE}" pid="3" name="Meta_Initiant">
    <vt:lpwstr>Bundesministerium für Gesundheit</vt:lpwstr>
  </property>
  <property fmtid="{D5CDD505-2E9C-101B-9397-08002B2CF9AE}" pid="4" name="FSC#BFARMCFG@15.1700:SiteNote">
    <vt:lpwstr>Z161.02</vt:lpwstr>
  </property>
  <property fmtid="{D5CDD505-2E9C-101B-9397-08002B2CF9AE}" pid="5" name="FSC#BFARMCFG@15.1700:DocumentFileReference">
    <vt:lpwstr>1111-(Büro des Präsidenten) Erlasse 2018#0176#0010</vt:lpwstr>
  </property>
  <property fmtid="{D5CDD505-2E9C-101B-9397-08002B2CF9AE}" pid="6" name="FSC#BFARMCFG@15.1700:ProcedureFileReference">
    <vt:lpwstr>1111-(Büro des Präsidenten) Erlasse 2018#0176</vt:lpwstr>
  </property>
  <property fmtid="{D5CDD505-2E9C-101B-9397-08002B2CF9AE}" pid="7" name="FSC#BFARMCFG@15.1700:JobNumberStr">
    <vt:lpwstr>2018-19886</vt:lpwstr>
  </property>
  <property fmtid="{D5CDD505-2E9C-101B-9397-08002B2CF9AE}" pid="8" name="FSC#BFARMCFG@15.1700:ProcedureNumberFilereference">
    <vt:lpwstr>2018-19886</vt:lpwstr>
  </property>
  <property fmtid="{D5CDD505-2E9C-101B-9397-08002B2CF9AE}" pid="9" name="FSC#BFARMCFG@15.1700:dptechvaliddate">
    <vt:lpwstr/>
  </property>
  <property fmtid="{D5CDD505-2E9C-101B-9397-08002B2CF9AE}" pid="10" name="FSC#BFARMCFG@15.1700:dpseqnumber">
    <vt:lpwstr/>
  </property>
  <property fmtid="{D5CDD505-2E9C-101B-9397-08002B2CF9AE}" pid="11" name="FSC#BFARMCFG@15.1700:dpprojectnumber">
    <vt:lpwstr/>
  </property>
  <property fmtid="{D5CDD505-2E9C-101B-9397-08002B2CF9AE}" pid="12" name="FSC#BFARMCFG@15.1700:dpapplicant">
    <vt:lpwstr/>
  </property>
  <property fmtid="{D5CDD505-2E9C-101B-9397-08002B2CF9AE}" pid="13" name="FSC#BFARMCFG@15.1700:dpauthholder">
    <vt:lpwstr/>
  </property>
  <property fmtid="{D5CDD505-2E9C-101B-9397-08002B2CF9AE}" pid="14" name="FSC#BFARMCFG@15.1700:dpfutureauthholder">
    <vt:lpwstr/>
  </property>
  <property fmtid="{D5CDD505-2E9C-101B-9397-08002B2CF9AE}" pid="15" name="FSC#BFARMCFG@15.1700:dprmscountry">
    <vt:lpwstr/>
  </property>
  <property fmtid="{D5CDD505-2E9C-101B-9397-08002B2CF9AE}" pid="16" name="FSC#BFARMCFG@15.1700:dpinchargeabbreviation">
    <vt:lpwstr>Z</vt:lpwstr>
  </property>
  <property fmtid="{D5CDD505-2E9C-101B-9397-08002B2CF9AE}" pid="17" name="FSC#BFARMCFG@15.1700:dpinchargegrshortname">
    <vt:lpwstr>Z</vt:lpwstr>
  </property>
  <property fmtid="{D5CDD505-2E9C-101B-9397-08002B2CF9AE}" pid="18" name="FSC#BFARMCFG@15.1700:dpinchargesupergroupgrshortname">
    <vt:lpwstr>Büro des Präsidenten</vt:lpwstr>
  </property>
  <property fmtid="{D5CDD505-2E9C-101B-9397-08002B2CF9AE}" pid="19" name="FSC#BFARMCFG@15.1700:dpclinicalassessor">
    <vt:lpwstr/>
  </property>
  <property fmtid="{D5CDD505-2E9C-101B-9397-08002B2CF9AE}" pid="20" name="FSC#BFARMCFG@15.1700:dpnonclinicalassessor">
    <vt:lpwstr/>
  </property>
  <property fmtid="{D5CDD505-2E9C-101B-9397-08002B2CF9AE}" pid="21" name="FSC#BFARMCFG@15.1700:dpqualityassessor">
    <vt:lpwstr/>
  </property>
  <property fmtid="{D5CDD505-2E9C-101B-9397-08002B2CF9AE}" pid="22" name="FSC#BFARMCFG@15.1700:dppharmacovigilancesystem">
    <vt:lpwstr/>
  </property>
  <property fmtid="{D5CDD505-2E9C-101B-9397-08002B2CF9AE}" pid="23" name="FSC#BFARMCFG@15.1700:dppharmakokinetics_statistics">
    <vt:lpwstr/>
  </property>
  <property fmtid="{D5CDD505-2E9C-101B-9397-08002B2CF9AE}" pid="24" name="FSC#BFARMCFG@15.1700:dpinchargefirstname">
    <vt:lpwstr>Ralf</vt:lpwstr>
  </property>
  <property fmtid="{D5CDD505-2E9C-101B-9397-08002B2CF9AE}" pid="25" name="FSC#BFARMCFG@15.1700:dpinchargesurname">
    <vt:lpwstr>Halfmann</vt:lpwstr>
  </property>
  <property fmtid="{D5CDD505-2E9C-101B-9397-08002B2CF9AE}" pid="26" name="FSC#BFARMCFG@15.1700:dpinchargetelephone">
    <vt:lpwstr/>
  </property>
  <property fmtid="{D5CDD505-2E9C-101B-9397-08002B2CF9AE}" pid="27" name="FSC#BFARMCFG@15.1700:dpinchargefax">
    <vt:lpwstr/>
  </property>
  <property fmtid="{D5CDD505-2E9C-101B-9397-08002B2CF9AE}" pid="28" name="FSC#BFARMCFG@15.1700:dpinchargeemail">
    <vt:lpwstr>Ralf.Halfmann@bfarm.de</vt:lpwstr>
  </property>
  <property fmtid="{D5CDD505-2E9C-101B-9397-08002B2CF9AE}" pid="29" name="FSC#BFARMCFG@15.1700:dpdocumentcreatorabbreviation">
    <vt:lpwstr>Z161.02</vt:lpwstr>
  </property>
  <property fmtid="{D5CDD505-2E9C-101B-9397-08002B2CF9AE}" pid="30" name="FSC#BFARMCFG@15.1700:dpdocumentcreatorsurname">
    <vt:lpwstr>Burgard</vt:lpwstr>
  </property>
  <property fmtid="{D5CDD505-2E9C-101B-9397-08002B2CF9AE}" pid="31" name="FSC#BFARMCFG@15.1700:dpenr">
    <vt:lpwstr/>
  </property>
  <property fmtid="{D5CDD505-2E9C-101B-9397-08002B2CF9AE}" pid="32" name="FSC#BFARMCFG@15.1700:dpmedicamentdescription">
    <vt:lpwstr/>
  </property>
  <property fmtid="{D5CDD505-2E9C-101B-9397-08002B2CF9AE}" pid="33" name="FSC#BFARMCFG@15.1700:dplicencenumber">
    <vt:lpwstr/>
  </property>
  <property fmtid="{D5CDD505-2E9C-101B-9397-08002B2CF9AE}" pid="34" name="FSC#BFARMCFG@15.1700:dpeuv">
    <vt:lpwstr/>
  </property>
  <property fmtid="{D5CDD505-2E9C-101B-9397-08002B2CF9AE}" pid="35" name="FSC#BFARMCFG@15.1700:dpactiveingredients">
    <vt:lpwstr/>
  </property>
  <property fmtid="{D5CDD505-2E9C-101B-9397-08002B2CF9AE}" pid="36" name="FSC#BFARMCFG@15.1700:dpdosageform">
    <vt:lpwstr/>
  </property>
  <property fmtid="{D5CDD505-2E9C-101B-9397-08002B2CF9AE}" pid="37" name="FSC#BFARMCFG@15.1700:dpdurgstrength">
    <vt:lpwstr/>
  </property>
  <property fmtid="{D5CDD505-2E9C-101B-9397-08002B2CF9AE}" pid="38" name="FSC#BFARMCFG@15.1700:dpatccode">
    <vt:lpwstr/>
  </property>
  <property fmtid="{D5CDD505-2E9C-101B-9397-08002B2CF9AE}" pid="39" name="FSC#BFARMCFG@15.1700:dpapplicantnumber">
    <vt:lpwstr/>
  </property>
  <property fmtid="{D5CDD505-2E9C-101B-9397-08002B2CF9AE}" pid="40" name="FSC#BFARMCFG@15.1700:dpcodeofdosageform">
    <vt:lpwstr/>
  </property>
  <property fmtid="{D5CDD505-2E9C-101B-9397-08002B2CF9AE}" pid="41" name="FSC#BFARMCFG@15.1700:dpenrapplication">
    <vt:lpwstr/>
  </property>
  <property fmtid="{D5CDD505-2E9C-101B-9397-08002B2CF9AE}" pid="42" name="FSC#BFARMCFG@15.1700:OutgoingReportersBfArM">
    <vt:lpwstr/>
  </property>
  <property fmtid="{D5CDD505-2E9C-101B-9397-08002B2CF9AE}" pid="43" name="FSC#BFARMPEICFG@15.1700:Subject">
    <vt:lpwstr/>
  </property>
  <property fmtid="{D5CDD505-2E9C-101B-9397-08002B2CF9AE}" pid="44" name="FSC#BFARMPEICFG@15.1700:AttachmentCount">
    <vt:lpwstr>0</vt:lpwstr>
  </property>
  <property fmtid="{D5CDD505-2E9C-101B-9397-08002B2CF9AE}" pid="45" name="FSC#BFARMPEICFG@15.1700:Author">
    <vt:lpwstr>Margareta Burgard</vt:lpwstr>
  </property>
  <property fmtid="{D5CDD505-2E9C-101B-9397-08002B2CF9AE}" pid="46" name="FSC#BFARMPEICFG@15.1700:AuthorSurname">
    <vt:lpwstr>Burgard</vt:lpwstr>
  </property>
  <property fmtid="{D5CDD505-2E9C-101B-9397-08002B2CF9AE}" pid="47" name="FSC#BFARMPEICFG@15.1700:AuthorMail">
    <vt:lpwstr>Margareta.Burgard@bfarm.de</vt:lpwstr>
  </property>
  <property fmtid="{D5CDD505-2E9C-101B-9397-08002B2CF9AE}" pid="48" name="FSC#BFARMPEICFG@15.1700:AuthorCCMail">
    <vt:lpwstr/>
  </property>
  <property fmtid="{D5CDD505-2E9C-101B-9397-08002B2CF9AE}" pid="49" name="FSC#BFARMPEICFG@15.1700:AuthorPhone">
    <vt:lpwstr/>
  </property>
  <property fmtid="{D5CDD505-2E9C-101B-9397-08002B2CF9AE}" pid="50" name="FSC#BFARMPEICFG@15.1700:AuthorFax">
    <vt:lpwstr/>
  </property>
  <property fmtid="{D5CDD505-2E9C-101B-9397-08002B2CF9AE}" pid="51" name="FSC#BFARMPEICFG@15.1700:CreatedAt">
    <vt:lpwstr>19.11.2018</vt:lpwstr>
  </property>
  <property fmtid="{D5CDD505-2E9C-101B-9397-08002B2CF9AE}" pid="52" name="FSC#BFARMPEICFG@15.1700:CreatedAtDE">
    <vt:lpwstr>19. November 2018</vt:lpwstr>
  </property>
  <property fmtid="{D5CDD505-2E9C-101B-9397-08002B2CF9AE}" pid="53" name="FSC#BFARMPEICFG@15.1700:CreatedAtEN">
    <vt:lpwstr>19. November 2018</vt:lpwstr>
  </property>
  <property fmtid="{D5CDD505-2E9C-101B-9397-08002B2CF9AE}" pid="54" name="FSC#BFARMPEICFG@15.1700:FirstFinalSignProcedure">
    <vt:lpwstr>Prof. Dr. Karl Broich</vt:lpwstr>
  </property>
  <property fmtid="{D5CDD505-2E9C-101B-9397-08002B2CF9AE}" pid="55" name="FSC#BFARMPEICFG@15.1700:FirstFinalSignProcedureDate">
    <vt:lpwstr>29.06.2018</vt:lpwstr>
  </property>
  <property fmtid="{D5CDD505-2E9C-101B-9397-08002B2CF9AE}" pid="56" name="FSC#BFARMPEICFG@15.1700:DocumentName">
    <vt:lpwstr>1111-(Büro des Präsidenten) Erlasse 2018#0176-Anpassung BtMKostV#0010 Anlage</vt:lpwstr>
  </property>
  <property fmtid="{D5CDD505-2E9C-101B-9397-08002B2CF9AE}" pid="57" name="FSC#BFARMPEICFG@15.1700:DocumentFileReference">
    <vt:lpwstr>1111-(Büro des Präsidenten) Erlasse 2018#0176-Anpassung BtMKostV#0010</vt:lpwstr>
  </property>
  <property fmtid="{D5CDD505-2E9C-101B-9397-08002B2CF9AE}" pid="58" name="FSC#BFARMPEICFG@15.1700:DocumentShortDescription">
    <vt:lpwstr>Anlage</vt:lpwstr>
  </property>
  <property fmtid="{D5CDD505-2E9C-101B-9397-08002B2CF9AE}" pid="59" name="FSC#BFARMPEICFG@15.1700:ProcedureName">
    <vt:lpwstr>1111-(Büro des Präsidenten) Erlasse 2018#0176-Anpassung BtMKostV</vt:lpwstr>
  </property>
  <property fmtid="{D5CDD505-2E9C-101B-9397-08002B2CF9AE}" pid="60" name="FSC#BFARMPEICFG@15.1700:ProcedureFileReference">
    <vt:lpwstr>1111-(Büro des Präsidenten) Erlasse 2018#0176</vt:lpwstr>
  </property>
  <property fmtid="{D5CDD505-2E9C-101B-9397-08002B2CF9AE}" pid="61" name="FSC#BFARMPEICFG@15.1700:ProcedureShortDescription">
    <vt:lpwstr>Anpassung BtMKostV</vt:lpwstr>
  </property>
  <property fmtid="{D5CDD505-2E9C-101B-9397-08002B2CF9AE}" pid="62" name="FSC#BFARMPEICFG@15.1700:OEHead">
    <vt:lpwstr/>
  </property>
  <property fmtid="{D5CDD505-2E9C-101B-9397-08002B2CF9AE}" pid="63" name="FSC#BFARMPEICFG@15.1700:OEHeadPhone">
    <vt:lpwstr/>
  </property>
  <property fmtid="{D5CDD505-2E9C-101B-9397-08002B2CF9AE}" pid="64" name="FSC#BFARMPEICFG@15.1700:OEShortName">
    <vt:lpwstr>Büro des Präsidenten</vt:lpwstr>
  </property>
  <property fmtid="{D5CDD505-2E9C-101B-9397-08002B2CF9AE}" pid="65" name="FSC#BFARMPEICFG@15.1700:OrgBankAccSendTo">
    <vt:lpwstr/>
  </property>
  <property fmtid="{D5CDD505-2E9C-101B-9397-08002B2CF9AE}" pid="66" name="FSC#BFARMPEICFG@15.1700:OrgBankAccBank">
    <vt:lpwstr/>
  </property>
  <property fmtid="{D5CDD505-2E9C-101B-9397-08002B2CF9AE}" pid="67" name="FSC#BFARMPEICFG@15.1700:OrgBankAccID">
    <vt:lpwstr/>
  </property>
  <property fmtid="{D5CDD505-2E9C-101B-9397-08002B2CF9AE}" pid="68" name="FSC#BFARMPEICFG@15.1700:OrgBankAccAccount">
    <vt:lpwstr/>
  </property>
  <property fmtid="{D5CDD505-2E9C-101B-9397-08002B2CF9AE}" pid="69" name="FSC#BFARMPEICFG@15.1700:OrgBankAccIBAN">
    <vt:lpwstr/>
  </property>
  <property fmtid="{D5CDD505-2E9C-101B-9397-08002B2CF9AE}" pid="70" name="FSC#BFARMPEICFG@15.1700:OrgBankAccBIC">
    <vt:lpwstr/>
  </property>
  <property fmtid="{D5CDD505-2E9C-101B-9397-08002B2CF9AE}" pid="71" name="FSC#BFARMPEICFG@15.1700:OrgName">
    <vt:lpwstr/>
  </property>
  <property fmtid="{D5CDD505-2E9C-101B-9397-08002B2CF9AE}" pid="72" name="FSC#BFARMPEICFG@15.1700:OrgShortName">
    <vt:lpwstr/>
  </property>
  <property fmtid="{D5CDD505-2E9C-101B-9397-08002B2CF9AE}" pid="73" name="FSC#BFARMPEICFG@15.1700:OrgNote">
    <vt:lpwstr/>
  </property>
  <property fmtid="{D5CDD505-2E9C-101B-9397-08002B2CF9AE}" pid="74" name="FSC#BFARMPEICFG@15.1700:OrgStreet">
    <vt:lpwstr/>
  </property>
  <property fmtid="{D5CDD505-2E9C-101B-9397-08002B2CF9AE}" pid="75" name="FSC#BFARMPEICFG@15.1700:OrgZIP">
    <vt:lpwstr/>
  </property>
  <property fmtid="{D5CDD505-2E9C-101B-9397-08002B2CF9AE}" pid="76" name="FSC#BFARMPEICFG@15.1700:OrgCity">
    <vt:lpwstr/>
  </property>
  <property fmtid="{D5CDD505-2E9C-101B-9397-08002B2CF9AE}" pid="77" name="FSC#BFARMPEICFG@15.1700:OrgStreetDeliver">
    <vt:lpwstr/>
  </property>
  <property fmtid="{D5CDD505-2E9C-101B-9397-08002B2CF9AE}" pid="78" name="FSC#BFARMPEICFG@15.1700:OrgPostboxDeliver">
    <vt:lpwstr/>
  </property>
  <property fmtid="{D5CDD505-2E9C-101B-9397-08002B2CF9AE}" pid="79" name="FSC#BFARMPEICFG@15.1700:OrgZIPDeliver">
    <vt:lpwstr/>
  </property>
  <property fmtid="{D5CDD505-2E9C-101B-9397-08002B2CF9AE}" pid="80" name="FSC#BFARMPEICFG@15.1700:OrgCityDeliver">
    <vt:lpwstr/>
  </property>
  <property fmtid="{D5CDD505-2E9C-101B-9397-08002B2CF9AE}" pid="81" name="FSC#BFARMPEICFG@15.1700:OrgPhone">
    <vt:lpwstr/>
  </property>
  <property fmtid="{D5CDD505-2E9C-101B-9397-08002B2CF9AE}" pid="82" name="FSC#BFARMPEICFG@15.1700:OrgFax">
    <vt:lpwstr/>
  </property>
  <property fmtid="{D5CDD505-2E9C-101B-9397-08002B2CF9AE}" pid="83" name="FSC#BFARMPEICFG@15.1700:OrgWWW">
    <vt:lpwstr/>
  </property>
  <property fmtid="{D5CDD505-2E9C-101B-9397-08002B2CF9AE}" pid="84" name="FSC#BFARMPEICFG@15.1700:OwnerSurname">
    <vt:lpwstr>Burgard</vt:lpwstr>
  </property>
  <property fmtid="{D5CDD505-2E9C-101B-9397-08002B2CF9AE}" pid="85" name="FSC#BFARMPEICFG@15.1700:OwnerMail">
    <vt:lpwstr/>
  </property>
  <property fmtid="{D5CDD505-2E9C-101B-9397-08002B2CF9AE}" pid="86" name="FSC#BFARMPEICFG@15.1700:OwnerPhone">
    <vt:lpwstr/>
  </property>
  <property fmtid="{D5CDD505-2E9C-101B-9397-08002B2CF9AE}" pid="87" name="FSC#BFARMPEICFG@15.1700:OwnerFax">
    <vt:lpwstr/>
  </property>
  <property fmtid="{D5CDD505-2E9C-101B-9397-08002B2CF9AE}" pid="88" name="FSC#BFARMPEICFG@15.1700:HandoutList">
    <vt:lpwstr/>
  </property>
  <property fmtid="{D5CDD505-2E9C-101B-9397-08002B2CF9AE}" pid="89" name="FSC#BFARMPEICFG@15.1700:ProcedureParticipants">
    <vt:lpwstr/>
  </property>
  <property fmtid="{D5CDD505-2E9C-101B-9397-08002B2CF9AE}" pid="90" name="FSC#BFARMPEICFG@15.1700:OutgoingReporters">
    <vt:lpwstr/>
  </property>
  <property fmtid="{D5CDD505-2E9C-101B-9397-08002B2CF9AE}" pid="91" name="FSC#BFARMPEICFG@15.1700:ProcResponsibleName">
    <vt:lpwstr>Dr. Ralf Halfmann</vt:lpwstr>
  </property>
  <property fmtid="{D5CDD505-2E9C-101B-9397-08002B2CF9AE}" pid="92" name="FSC#BFARMPEICFG@15.1700:ProcResponsiblePhone">
    <vt:lpwstr/>
  </property>
  <property fmtid="{D5CDD505-2E9C-101B-9397-08002B2CF9AE}" pid="93" name="FSC#BFARMPEICFG@15.1700:ProcResponsibleFax">
    <vt:lpwstr/>
  </property>
  <property fmtid="{D5CDD505-2E9C-101B-9397-08002B2CF9AE}" pid="94" name="FSC#BFARMPEICFG@15.1700:ProcResponsibleMail">
    <vt:lpwstr>Ralf.Halfmann@bfarm.de</vt:lpwstr>
  </property>
  <property fmtid="{D5CDD505-2E9C-101B-9397-08002B2CF9AE}" pid="95" name="FSC#BFARMPEICFG@15.1700:ProcResponsibleGroup">
    <vt:lpwstr>Z</vt:lpwstr>
  </property>
  <property fmtid="{D5CDD505-2E9C-101B-9397-08002B2CF9AE}" pid="96" name="FSC#BFARMPEICFG@15.1700:IncomingDate">
    <vt:lpwstr>10.04.2018</vt:lpwstr>
  </property>
  <property fmtid="{D5CDD505-2E9C-101B-9397-08002B2CF9AE}" pid="97" name="FSC#BFARMPEICFG@15.1700:1stAddrOrgname">
    <vt:lpwstr/>
  </property>
  <property fmtid="{D5CDD505-2E9C-101B-9397-08002B2CF9AE}" pid="98" name="FSC#BFARMPEICFG@15.1700:1stAddrOrgnameShort">
    <vt:lpwstr/>
  </property>
  <property fmtid="{D5CDD505-2E9C-101B-9397-08002B2CF9AE}" pid="99" name="FSC#BFARMPEICFG@15.1700:1stAddrOrgnameAlt">
    <vt:lpwstr/>
  </property>
  <property fmtid="{D5CDD505-2E9C-101B-9397-08002B2CF9AE}" pid="100" name="FSC#BFARMPEICFG@15.1700:1stAddrSalutation">
    <vt:lpwstr/>
  </property>
  <property fmtid="{D5CDD505-2E9C-101B-9397-08002B2CF9AE}" pid="101" name="FSC#BFARMPEICFG@15.1700:1stAddrTitle">
    <vt:lpwstr/>
  </property>
  <property fmtid="{D5CDD505-2E9C-101B-9397-08002B2CF9AE}" pid="102" name="FSC#BFARMPEICFG@15.1700:1stAddrFirstname">
    <vt:lpwstr/>
  </property>
  <property fmtid="{D5CDD505-2E9C-101B-9397-08002B2CF9AE}" pid="103" name="FSC#BFARMPEICFG@15.1700:1stAddrMiddlename">
    <vt:lpwstr/>
  </property>
  <property fmtid="{D5CDD505-2E9C-101B-9397-08002B2CF9AE}" pid="104" name="FSC#BFARMPEICFG@15.1700:1stAddrName">
    <vt:lpwstr/>
  </property>
  <property fmtid="{D5CDD505-2E9C-101B-9397-08002B2CF9AE}" pid="105" name="FSC#BFARMPEICFG@15.1700:1stAddrDivision">
    <vt:lpwstr/>
  </property>
  <property fmtid="{D5CDD505-2E9C-101B-9397-08002B2CF9AE}" pid="106" name="FSC#BFARMPEICFG@15.1700:1stAddrStreet">
    <vt:lpwstr/>
  </property>
  <property fmtid="{D5CDD505-2E9C-101B-9397-08002B2CF9AE}" pid="107" name="FSC#BFARMPEICFG@15.1700:1stAddrZIPCode">
    <vt:lpwstr/>
  </property>
  <property fmtid="{D5CDD505-2E9C-101B-9397-08002B2CF9AE}" pid="108" name="FSC#BFARMPEICFG@15.1700:1stAddrCity">
    <vt:lpwstr/>
  </property>
  <property fmtid="{D5CDD505-2E9C-101B-9397-08002B2CF9AE}" pid="109" name="FSC#BFARMPEICFG@15.1700:1stAddrState">
    <vt:lpwstr/>
  </property>
  <property fmtid="{D5CDD505-2E9C-101B-9397-08002B2CF9AE}" pid="110" name="FSC#BFARMPEICFG@15.1700:1stAddrCountry">
    <vt:lpwstr/>
  </property>
  <property fmtid="{D5CDD505-2E9C-101B-9397-08002B2CF9AE}" pid="111" name="FSC#BFARMPEICFG@15.1700:1stAddrEmail">
    <vt:lpwstr/>
  </property>
  <property fmtid="{D5CDD505-2E9C-101B-9397-08002B2CF9AE}" pid="112" name="FSC#BFARMPEICFG@15.1700:1stAddrAddition">
    <vt:lpwstr/>
  </property>
  <property fmtid="{D5CDD505-2E9C-101B-9397-08002B2CF9AE}" pid="113" name="FSC#BFARMPEICFG@15.1700:1stAddrNote">
    <vt:lpwstr/>
  </property>
  <property fmtid="{D5CDD505-2E9C-101B-9397-08002B2CF9AE}" pid="114" name="FSC#BFARMPEICFG@15.1700:ForeignNrFirstIncoming">
    <vt:lpwstr>122-40018/001 BMG vom 10.04.18</vt:lpwstr>
  </property>
  <property fmtid="{D5CDD505-2E9C-101B-9397-08002B2CF9AE}" pid="115" name="FSC#BFARMPEICFG@15.1700:AddrOrgName">
    <vt:lpwstr/>
  </property>
  <property fmtid="{D5CDD505-2E9C-101B-9397-08002B2CF9AE}" pid="116" name="FSC#BFARMPEICFG@15.1700:AddrSuffix1">
    <vt:lpwstr/>
  </property>
  <property fmtid="{D5CDD505-2E9C-101B-9397-08002B2CF9AE}" pid="117" name="FSC#BFARMPEICFG@15.1700:AddrSuffix2">
    <vt:lpwstr/>
  </property>
  <property fmtid="{D5CDD505-2E9C-101B-9397-08002B2CF9AE}" pid="118" name="FSC#BFARMPEICFG@15.1700:AddrOrgShortName">
    <vt:lpwstr/>
  </property>
  <property fmtid="{D5CDD505-2E9C-101B-9397-08002B2CF9AE}" pid="119" name="FSC#BFARMPEICFG@15.1700:AddrAlternativeDesc">
    <vt:lpwstr/>
  </property>
  <property fmtid="{D5CDD505-2E9C-101B-9397-08002B2CF9AE}" pid="120" name="FSC#BFARMPEICFG@15.1700:AddrSalutation">
    <vt:lpwstr/>
  </property>
  <property fmtid="{D5CDD505-2E9C-101B-9397-08002B2CF9AE}" pid="121" name="FSC#BFARMPEICFG@15.1700:AddrTitle">
    <vt:lpwstr/>
  </property>
  <property fmtid="{D5CDD505-2E9C-101B-9397-08002B2CF9AE}" pid="122" name="FSC#BFARMPEICFG@15.1700:AddrFirstname">
    <vt:lpwstr/>
  </property>
  <property fmtid="{D5CDD505-2E9C-101B-9397-08002B2CF9AE}" pid="123" name="FSC#BFARMPEICFG@15.1700:AddrMiddleName">
    <vt:lpwstr/>
  </property>
  <property fmtid="{D5CDD505-2E9C-101B-9397-08002B2CF9AE}" pid="124" name="FSC#BFARMPEICFG@15.1700:AddrName">
    <vt:lpwstr/>
  </property>
  <property fmtid="{D5CDD505-2E9C-101B-9397-08002B2CF9AE}" pid="125" name="FSC#BFARMPEICFG@15.1700:AddrBusinessUnit">
    <vt:lpwstr/>
  </property>
  <property fmtid="{D5CDD505-2E9C-101B-9397-08002B2CF9AE}" pid="126" name="FSC#BFARMPEICFG@15.1700:AddrStreet">
    <vt:lpwstr/>
  </property>
  <property fmtid="{D5CDD505-2E9C-101B-9397-08002B2CF9AE}" pid="127" name="FSC#BFARMPEICFG@15.1700:AddrZipCode">
    <vt:lpwstr/>
  </property>
  <property fmtid="{D5CDD505-2E9C-101B-9397-08002B2CF9AE}" pid="128" name="FSC#BFARMPEICFG@15.1700:AddrCity">
    <vt:lpwstr/>
  </property>
  <property fmtid="{D5CDD505-2E9C-101B-9397-08002B2CF9AE}" pid="129" name="FSC#BFARMPEICFG@15.1700:AddrState">
    <vt:lpwstr/>
  </property>
  <property fmtid="{D5CDD505-2E9C-101B-9397-08002B2CF9AE}" pid="130" name="FSC#BFARMPEICFG@15.1700:AddrCountry">
    <vt:lpwstr/>
  </property>
  <property fmtid="{D5CDD505-2E9C-101B-9397-08002B2CF9AE}" pid="131" name="FSC#BFARMPEICFG@15.1700:AddrEMail">
    <vt:lpwstr/>
  </property>
  <property fmtid="{D5CDD505-2E9C-101B-9397-08002B2CF9AE}" pid="132" name="FSC#BFARMPEICFG@15.1700:AddrAddition">
    <vt:lpwstr/>
  </property>
  <property fmtid="{D5CDD505-2E9C-101B-9397-08002B2CF9AE}" pid="133" name="FSC#BFARMPEICFG@15.1700:AddrNote">
    <vt:lpwstr/>
  </property>
  <property fmtid="{D5CDD505-2E9C-101B-9397-08002B2CF9AE}" pid="134" name="FSC#BFARMPEICFG@15.1700:AddrCat">
    <vt:lpwstr/>
  </property>
  <property fmtid="{D5CDD505-2E9C-101B-9397-08002B2CF9AE}" pid="135" name="FSC#BFARMPEICFG@15.1700:AddrTransMedia">
    <vt:lpwstr/>
  </property>
  <property fmtid="{D5CDD505-2E9C-101B-9397-08002B2CF9AE}" pid="136" name="FSC#BFARMPEICFG@15.1700:AddrUserAbbreviation">
    <vt:lpwstr/>
  </property>
  <property fmtid="{D5CDD505-2E9C-101B-9397-08002B2CF9AE}" pid="137" name="FSC#BFARMPEICFG@15.1700:AddrGender">
    <vt:lpwstr/>
  </property>
  <property fmtid="{D5CDD505-2E9C-101B-9397-08002B2CF9AE}" pid="138" name="FSC#BFARMPEICFG@15.1700:AddrBirthDate">
    <vt:lpwstr/>
  </property>
  <property fmtid="{D5CDD505-2E9C-101B-9397-08002B2CF9AE}" pid="139" name="FSC#BFARMPEICFG@15.1700:AddrDispClass">
    <vt:lpwstr/>
  </property>
  <property fmtid="{D5CDD505-2E9C-101B-9397-08002B2CF9AE}" pid="140" name="FSC#BFARMPEICFG@15.1700:AddrCopyText">
    <vt:lpwstr/>
  </property>
  <property fmtid="{D5CDD505-2E9C-101B-9397-08002B2CF9AE}" pid="141" name="FSC#COOELAK@1.1001:Subject">
    <vt:lpwstr>Erlasse 2018</vt:lpwstr>
  </property>
  <property fmtid="{D5CDD505-2E9C-101B-9397-08002B2CF9AE}" pid="142" name="FSC#COOELAK@1.1001:FileReference">
    <vt:lpwstr>1111-(Büro des Präsidenten) Erlasse 2018</vt:lpwstr>
  </property>
  <property fmtid="{D5CDD505-2E9C-101B-9397-08002B2CF9AE}" pid="143" name="FSC#COOELAK@1.1001:FileRefYear">
    <vt:lpwstr>2018</vt:lpwstr>
  </property>
  <property fmtid="{D5CDD505-2E9C-101B-9397-08002B2CF9AE}" pid="144" name="FSC#COOELAK@1.1001:FileRefOrdinal">
    <vt:lpwstr>50</vt:lpwstr>
  </property>
  <property fmtid="{D5CDD505-2E9C-101B-9397-08002B2CF9AE}" pid="145" name="FSC#COOELAK@1.1001:FileRefOU">
    <vt:lpwstr>Z11</vt:lpwstr>
  </property>
  <property fmtid="{D5CDD505-2E9C-101B-9397-08002B2CF9AE}" pid="146" name="FSC#COOELAK@1.1001:Organization">
    <vt:lpwstr/>
  </property>
  <property fmtid="{D5CDD505-2E9C-101B-9397-08002B2CF9AE}" pid="147" name="FSC#COOELAK@1.1001:Owner">
    <vt:lpwstr>Burgard, Margareta</vt:lpwstr>
  </property>
  <property fmtid="{D5CDD505-2E9C-101B-9397-08002B2CF9AE}" pid="148" name="FSC#COOELAK@1.1001:OwnerExtension">
    <vt:lpwstr/>
  </property>
  <property fmtid="{D5CDD505-2E9C-101B-9397-08002B2CF9AE}" pid="149" name="FSC#COOELAK@1.1001:OwnerFaxExtension">
    <vt:lpwstr/>
  </property>
  <property fmtid="{D5CDD505-2E9C-101B-9397-08002B2CF9AE}" pid="150" name="FSC#COOELAK@1.1001:DispatchedBy">
    <vt:lpwstr/>
  </property>
  <property fmtid="{D5CDD505-2E9C-101B-9397-08002B2CF9AE}" pid="151" name="FSC#COOELAK@1.1001:DispatchedAt">
    <vt:lpwstr/>
  </property>
  <property fmtid="{D5CDD505-2E9C-101B-9397-08002B2CF9AE}" pid="152" name="FSC#COOELAK@1.1001:ApprovedBy">
    <vt:lpwstr/>
  </property>
  <property fmtid="{D5CDD505-2E9C-101B-9397-08002B2CF9AE}" pid="153" name="FSC#COOELAK@1.1001:ApprovedAt">
    <vt:lpwstr/>
  </property>
  <property fmtid="{D5CDD505-2E9C-101B-9397-08002B2CF9AE}" pid="154" name="FSC#COOELAK@1.1001:Department">
    <vt:lpwstr>Z16 (Justitiariat / Gebühren)</vt:lpwstr>
  </property>
  <property fmtid="{D5CDD505-2E9C-101B-9397-08002B2CF9AE}" pid="155" name="FSC#COOELAK@1.1001:CreatedAt">
    <vt:lpwstr>19.11.2018</vt:lpwstr>
  </property>
  <property fmtid="{D5CDD505-2E9C-101B-9397-08002B2CF9AE}" pid="156" name="FSC#COOELAK@1.1001:OU">
    <vt:lpwstr>Z16 (Justitiariat / Gebühren)</vt:lpwstr>
  </property>
  <property fmtid="{D5CDD505-2E9C-101B-9397-08002B2CF9AE}" pid="157" name="FSC#COOELAK@1.1001:Priority">
    <vt:lpwstr> ()</vt:lpwstr>
  </property>
  <property fmtid="{D5CDD505-2E9C-101B-9397-08002B2CF9AE}" pid="158" name="FSC#COOELAK@1.1001:ObjBarCode">
    <vt:lpwstr>*COO.2221.100.6.301735*</vt:lpwstr>
  </property>
  <property fmtid="{D5CDD505-2E9C-101B-9397-08002B2CF9AE}" pid="159" name="FSC#COOELAK@1.1001:RefBarCode">
    <vt:lpwstr>*COO.2221.100.2.1317407*</vt:lpwstr>
  </property>
  <property fmtid="{D5CDD505-2E9C-101B-9397-08002B2CF9AE}" pid="160" name="FSC#COOELAK@1.1001:FileRefBarCode">
    <vt:lpwstr>*1111-(Büro des Präsidenten) Erlasse 2018*</vt:lpwstr>
  </property>
  <property fmtid="{D5CDD505-2E9C-101B-9397-08002B2CF9AE}" pid="161" name="FSC#COOELAK@1.1001:ExternalRef">
    <vt:lpwstr/>
  </property>
  <property fmtid="{D5CDD505-2E9C-101B-9397-08002B2CF9AE}" pid="162" name="FSC#COOELAK@1.1001:IncomingNumber">
    <vt:lpwstr/>
  </property>
  <property fmtid="{D5CDD505-2E9C-101B-9397-08002B2CF9AE}" pid="163" name="FSC#COOELAK@1.1001:IncomingSubject">
    <vt:lpwstr/>
  </property>
  <property fmtid="{D5CDD505-2E9C-101B-9397-08002B2CF9AE}" pid="164" name="FSC#COOELAK@1.1001:ProcessResponsible">
    <vt:lpwstr/>
  </property>
  <property fmtid="{D5CDD505-2E9C-101B-9397-08002B2CF9AE}" pid="165" name="FSC#COOELAK@1.1001:ProcessResponsiblePhone">
    <vt:lpwstr/>
  </property>
  <property fmtid="{D5CDD505-2E9C-101B-9397-08002B2CF9AE}" pid="166" name="FSC#COOELAK@1.1001:ProcessResponsibleMail">
    <vt:lpwstr/>
  </property>
  <property fmtid="{D5CDD505-2E9C-101B-9397-08002B2CF9AE}" pid="167" name="FSC#COOELAK@1.1001:ProcessResponsibleFax">
    <vt:lpwstr/>
  </property>
  <property fmtid="{D5CDD505-2E9C-101B-9397-08002B2CF9AE}" pid="168" name="FSC#COOELAK@1.1001:ApproverFirstName">
    <vt:lpwstr/>
  </property>
  <property fmtid="{D5CDD505-2E9C-101B-9397-08002B2CF9AE}" pid="169" name="FSC#COOELAK@1.1001:ApproverSurName">
    <vt:lpwstr/>
  </property>
  <property fmtid="{D5CDD505-2E9C-101B-9397-08002B2CF9AE}" pid="170" name="FSC#COOELAK@1.1001:ApproverTitle">
    <vt:lpwstr/>
  </property>
  <property fmtid="{D5CDD505-2E9C-101B-9397-08002B2CF9AE}" pid="171" name="FSC#COOELAK@1.1001:ExternalDate">
    <vt:lpwstr/>
  </property>
  <property fmtid="{D5CDD505-2E9C-101B-9397-08002B2CF9AE}" pid="172" name="FSC#COOELAK@1.1001:SettlementApprovedAt">
    <vt:lpwstr/>
  </property>
  <property fmtid="{D5CDD505-2E9C-101B-9397-08002B2CF9AE}" pid="173" name="FSC#COOELAK@1.1001:BaseNumber">
    <vt:lpwstr>1111</vt:lpwstr>
  </property>
  <property fmtid="{D5CDD505-2E9C-101B-9397-08002B2CF9AE}" pid="174" name="FSC#COOELAK@1.1001:CurrentUserRolePos">
    <vt:lpwstr>Bearbeiter/in</vt:lpwstr>
  </property>
  <property fmtid="{D5CDD505-2E9C-101B-9397-08002B2CF9AE}" pid="175" name="FSC#COOELAK@1.1001:CurrentUserEmail">
    <vt:lpwstr>Leitung@bfarm.de</vt:lpwstr>
  </property>
  <property fmtid="{D5CDD505-2E9C-101B-9397-08002B2CF9AE}" pid="176" name="FSC#ELAKGOV@1.1001:PersonalSubjGender">
    <vt:lpwstr/>
  </property>
  <property fmtid="{D5CDD505-2E9C-101B-9397-08002B2CF9AE}" pid="177" name="FSC#ELAKGOV@1.1001:PersonalSubjFirstName">
    <vt:lpwstr/>
  </property>
  <property fmtid="{D5CDD505-2E9C-101B-9397-08002B2CF9AE}" pid="178" name="FSC#ELAKGOV@1.1001:PersonalSubjSurName">
    <vt:lpwstr/>
  </property>
  <property fmtid="{D5CDD505-2E9C-101B-9397-08002B2CF9AE}" pid="179" name="FSC#ELAKGOV@1.1001:PersonalSubjSalutation">
    <vt:lpwstr/>
  </property>
  <property fmtid="{D5CDD505-2E9C-101B-9397-08002B2CF9AE}" pid="180" name="FSC#ELAKGOV@1.1001:PersonalSubjAddress">
    <vt:lpwstr/>
  </property>
  <property fmtid="{D5CDD505-2E9C-101B-9397-08002B2CF9AE}" pid="181" name="FSC#ATSTATECFG@1.1001:Office">
    <vt:lpwstr>Justitiariat / Gebühren</vt:lpwstr>
  </property>
  <property fmtid="{D5CDD505-2E9C-101B-9397-08002B2CF9AE}" pid="182" name="FSC#ATSTATECFG@1.1001:Agent">
    <vt:lpwstr/>
  </property>
  <property fmtid="{D5CDD505-2E9C-101B-9397-08002B2CF9AE}" pid="183" name="FSC#ATSTATECFG@1.1001:AgentPhone">
    <vt:lpwstr/>
  </property>
  <property fmtid="{D5CDD505-2E9C-101B-9397-08002B2CF9AE}" pid="184" name="FSC#ATSTATECFG@1.1001:DepartmentFax">
    <vt:lpwstr/>
  </property>
  <property fmtid="{D5CDD505-2E9C-101B-9397-08002B2CF9AE}" pid="185" name="FSC#ATSTATECFG@1.1001:DepartmentEmail">
    <vt:lpwstr/>
  </property>
  <property fmtid="{D5CDD505-2E9C-101B-9397-08002B2CF9AE}" pid="186" name="FSC#ATSTATECFG@1.1001:SubfileDate">
    <vt:lpwstr>19.11.2018</vt:lpwstr>
  </property>
  <property fmtid="{D5CDD505-2E9C-101B-9397-08002B2CF9AE}" pid="187" name="FSC#ATSTATECFG@1.1001:SubfileSubject">
    <vt:lpwstr>Anpassung BtMKostV_x000d_
2018_11_08_Verordnungsentwurf_122_BfArM_Fragen_BMG_Antworten_BfArM</vt:lpwstr>
  </property>
  <property fmtid="{D5CDD505-2E9C-101B-9397-08002B2CF9AE}" pid="188" name="FSC#ATSTATECFG@1.1001:DepartmentZipCode">
    <vt:lpwstr/>
  </property>
  <property fmtid="{D5CDD505-2E9C-101B-9397-08002B2CF9AE}" pid="189" name="FSC#ATSTATECFG@1.1001:DepartmentCountry">
    <vt:lpwstr/>
  </property>
  <property fmtid="{D5CDD505-2E9C-101B-9397-08002B2CF9AE}" pid="190" name="FSC#ATSTATECFG@1.1001:DepartmentCity">
    <vt:lpwstr/>
  </property>
  <property fmtid="{D5CDD505-2E9C-101B-9397-08002B2CF9AE}" pid="191" name="FSC#ATSTATECFG@1.1001:DepartmentStreet">
    <vt:lpwstr/>
  </property>
  <property fmtid="{D5CDD505-2E9C-101B-9397-08002B2CF9AE}" pid="192" name="FSC#ATSTATECFG@1.1001:DepartmentDVR">
    <vt:lpwstr/>
  </property>
  <property fmtid="{D5CDD505-2E9C-101B-9397-08002B2CF9AE}" pid="193" name="FSC#ATSTATECFG@1.1001:DepartmentUID">
    <vt:lpwstr/>
  </property>
  <property fmtid="{D5CDD505-2E9C-101B-9397-08002B2CF9AE}" pid="194" name="FSC#ATSTATECFG@1.1001:SubfileReference">
    <vt:lpwstr>1111-(Büro des Präsidenten) Erlasse 2018#0176-Anpassung BtMKostV#0010</vt:lpwstr>
  </property>
  <property fmtid="{D5CDD505-2E9C-101B-9397-08002B2CF9AE}" pid="195" name="FSC#ATSTATECFG@1.1001:Clause">
    <vt:lpwstr/>
  </property>
  <property fmtid="{D5CDD505-2E9C-101B-9397-08002B2CF9AE}" pid="196" name="FSC#ATSTATECFG@1.1001:ApprovedSignature">
    <vt:lpwstr/>
  </property>
  <property fmtid="{D5CDD505-2E9C-101B-9397-08002B2CF9AE}" pid="197" name="FSC#ATSTATECFG@1.1001:BankAccount">
    <vt:lpwstr/>
  </property>
  <property fmtid="{D5CDD505-2E9C-101B-9397-08002B2CF9AE}" pid="198" name="FSC#ATSTATECFG@1.1001:BankAccountOwner">
    <vt:lpwstr/>
  </property>
  <property fmtid="{D5CDD505-2E9C-101B-9397-08002B2CF9AE}" pid="199" name="FSC#ATSTATECFG@1.1001:BankInstitute">
    <vt:lpwstr/>
  </property>
  <property fmtid="{D5CDD505-2E9C-101B-9397-08002B2CF9AE}" pid="200" name="FSC#ATSTATECFG@1.1001:BankAccountID">
    <vt:lpwstr/>
  </property>
  <property fmtid="{D5CDD505-2E9C-101B-9397-08002B2CF9AE}" pid="201" name="FSC#ATSTATECFG@1.1001:BankAccountIBAN">
    <vt:lpwstr/>
  </property>
  <property fmtid="{D5CDD505-2E9C-101B-9397-08002B2CF9AE}" pid="202" name="FSC#ATSTATECFG@1.1001:BankAccountBIC">
    <vt:lpwstr/>
  </property>
  <property fmtid="{D5CDD505-2E9C-101B-9397-08002B2CF9AE}" pid="203" name="FSC#ATSTATECFG@1.1001:BankName">
    <vt:lpwstr/>
  </property>
  <property fmtid="{D5CDD505-2E9C-101B-9397-08002B2CF9AE}" pid="204" name="FSC#CCAPRECONFIG@15.1001:AddrAnrede">
    <vt:lpwstr/>
  </property>
  <property fmtid="{D5CDD505-2E9C-101B-9397-08002B2CF9AE}" pid="205" name="FSC#CCAPRECONFIG@15.1001:AddrTitel">
    <vt:lpwstr/>
  </property>
  <property fmtid="{D5CDD505-2E9C-101B-9397-08002B2CF9AE}" pid="206" name="FSC#CCAPRECONFIG@15.1001:AddrNachgestellter_Titel">
    <vt:lpwstr/>
  </property>
  <property fmtid="{D5CDD505-2E9C-101B-9397-08002B2CF9AE}" pid="207" name="FSC#CCAPRECONFIG@15.1001:AddrVorname">
    <vt:lpwstr/>
  </property>
  <property fmtid="{D5CDD505-2E9C-101B-9397-08002B2CF9AE}" pid="208" name="FSC#CCAPRECONFIG@15.1001:AddrNachname">
    <vt:lpwstr/>
  </property>
  <property fmtid="{D5CDD505-2E9C-101B-9397-08002B2CF9AE}" pid="209" name="FSC#CCAPRECONFIG@15.1001:AddrzH">
    <vt:lpwstr/>
  </property>
  <property fmtid="{D5CDD505-2E9C-101B-9397-08002B2CF9AE}" pid="210" name="FSC#CCAPRECONFIG@15.1001:AddrGeschlecht">
    <vt:lpwstr/>
  </property>
  <property fmtid="{D5CDD505-2E9C-101B-9397-08002B2CF9AE}" pid="211" name="FSC#CCAPRECONFIG@15.1001:AddrStrasse">
    <vt:lpwstr/>
  </property>
  <property fmtid="{D5CDD505-2E9C-101B-9397-08002B2CF9AE}" pid="212" name="FSC#CCAPRECONFIG@15.1001:AddrHausnummer">
    <vt:lpwstr/>
  </property>
  <property fmtid="{D5CDD505-2E9C-101B-9397-08002B2CF9AE}" pid="213" name="FSC#CCAPRECONFIG@15.1001:AddrStiege">
    <vt:lpwstr/>
  </property>
  <property fmtid="{D5CDD505-2E9C-101B-9397-08002B2CF9AE}" pid="214" name="FSC#CCAPRECONFIG@15.1001:AddrStock">
    <vt:lpwstr/>
  </property>
  <property fmtid="{D5CDD505-2E9C-101B-9397-08002B2CF9AE}" pid="215" name="FSC#CCAPRECONFIG@15.1001:AddrTuer">
    <vt:lpwstr/>
  </property>
  <property fmtid="{D5CDD505-2E9C-101B-9397-08002B2CF9AE}" pid="216" name="FSC#CCAPRECONFIG@15.1001:AddrPostfach">
    <vt:lpwstr/>
  </property>
  <property fmtid="{D5CDD505-2E9C-101B-9397-08002B2CF9AE}" pid="217" name="FSC#CCAPRECONFIG@15.1001:AddrPostleitzahl">
    <vt:lpwstr/>
  </property>
  <property fmtid="{D5CDD505-2E9C-101B-9397-08002B2CF9AE}" pid="218" name="FSC#CCAPRECONFIG@15.1001:AddrOrt">
    <vt:lpwstr/>
  </property>
  <property fmtid="{D5CDD505-2E9C-101B-9397-08002B2CF9AE}" pid="219" name="FSC#CCAPRECONFIG@15.1001:AddrLand">
    <vt:lpwstr/>
  </property>
  <property fmtid="{D5CDD505-2E9C-101B-9397-08002B2CF9AE}" pid="220" name="FSC#CCAPRECONFIG@15.1001:AddrEmail">
    <vt:lpwstr/>
  </property>
  <property fmtid="{D5CDD505-2E9C-101B-9397-08002B2CF9AE}" pid="221" name="FSC#CCAPRECONFIG@15.1001:AddrAdresse">
    <vt:lpwstr/>
  </property>
  <property fmtid="{D5CDD505-2E9C-101B-9397-08002B2CF9AE}" pid="222" name="FSC#CCAPRECONFIG@15.1001:AddrFax">
    <vt:lpwstr/>
  </property>
  <property fmtid="{D5CDD505-2E9C-101B-9397-08002B2CF9AE}" pid="223" name="FSC#CCAPRECONFIG@15.1001:AddrOrganisationsname">
    <vt:lpwstr/>
  </property>
  <property fmtid="{D5CDD505-2E9C-101B-9397-08002B2CF9AE}" pid="224" name="FSC#CCAPRECONFIG@15.1001:AddrOrganisationskurzname">
    <vt:lpwstr/>
  </property>
  <property fmtid="{D5CDD505-2E9C-101B-9397-08002B2CF9AE}" pid="225" name="FSC#CCAPRECONFIG@15.1001:AddrAbschriftsbemerkung">
    <vt:lpwstr/>
  </property>
  <property fmtid="{D5CDD505-2E9C-101B-9397-08002B2CF9AE}" pid="226" name="FSC#CCAPRECONFIG@15.1001:AddrName_Zeile_2">
    <vt:lpwstr/>
  </property>
  <property fmtid="{D5CDD505-2E9C-101B-9397-08002B2CF9AE}" pid="227" name="FSC#CCAPRECONFIG@15.1001:AddrName_Zeile_3">
    <vt:lpwstr/>
  </property>
  <property fmtid="{D5CDD505-2E9C-101B-9397-08002B2CF9AE}" pid="228" name="FSC#CCAPRECONFIG@15.1001:AddrPostalischeAdresse">
    <vt:lpwstr/>
  </property>
  <property fmtid="{D5CDD505-2E9C-101B-9397-08002B2CF9AE}" pid="229" name="FSC#CCAPRECONFIG@15.1001:AddrKategorie">
    <vt:lpwstr/>
  </property>
  <property fmtid="{D5CDD505-2E9C-101B-9397-08002B2CF9AE}" pid="230" name="FSC#CCAPRECONFIG@15.1001:AddrRechtsform">
    <vt:lpwstr/>
  </property>
  <property fmtid="{D5CDD505-2E9C-101B-9397-08002B2CF9AE}" pid="231" name="FSC#CCAPRECONFIG@15.1001:AddrZiel">
    <vt:lpwstr/>
  </property>
  <property fmtid="{D5CDD505-2E9C-101B-9397-08002B2CF9AE}" pid="232" name="FSC#CCAPRECONFIG@15.1001:AddrBerufstitel">
    <vt:lpwstr/>
  </property>
  <property fmtid="{D5CDD505-2E9C-101B-9397-08002B2CF9AE}" pid="233" name="FSC#CCAPRECONFIG@15.1001:AddrFunktionsbezeichnung">
    <vt:lpwstr/>
  </property>
  <property fmtid="{D5CDD505-2E9C-101B-9397-08002B2CF9AE}" pid="234" name="FSC#CCAPRECONFIG@15.1001:AddrTelefonnummer">
    <vt:lpwstr/>
  </property>
  <property fmtid="{D5CDD505-2E9C-101B-9397-08002B2CF9AE}" pid="235" name="FSC#CCAPRECONFIG@15.1001:AddrGeburtstag">
    <vt:lpwstr/>
  </property>
  <property fmtid="{D5CDD505-2E9C-101B-9397-08002B2CF9AE}" pid="236" name="FSC#CCAPRECONFIG@15.1001:AddrFirmenbuchnummer">
    <vt:lpwstr/>
  </property>
  <property fmtid="{D5CDD505-2E9C-101B-9397-08002B2CF9AE}" pid="237" name="FSC#CCAPRECONFIG@15.1001:AddrSozialversicherungsnummer">
    <vt:lpwstr/>
  </property>
  <property fmtid="{D5CDD505-2E9C-101B-9397-08002B2CF9AE}" pid="238" name="FSC#CCAPRECONFIG@15.1001:Additional1">
    <vt:lpwstr/>
  </property>
  <property fmtid="{D5CDD505-2E9C-101B-9397-08002B2CF9AE}" pid="239" name="FSC#CCAPRECONFIG@15.1001:Additional2">
    <vt:lpwstr/>
  </property>
  <property fmtid="{D5CDD505-2E9C-101B-9397-08002B2CF9AE}" pid="240" name="FSC#CCAPRECONFIG@15.1001:Additional3">
    <vt:lpwstr/>
  </property>
  <property fmtid="{D5CDD505-2E9C-101B-9397-08002B2CF9AE}" pid="241" name="FSC#CCAPRECONFIG@15.1001:Additional4">
    <vt:lpwstr/>
  </property>
  <property fmtid="{D5CDD505-2E9C-101B-9397-08002B2CF9AE}" pid="242" name="FSC#CCAPRECONFIG@15.1001:Additional5">
    <vt:lpwstr/>
  </property>
  <property fmtid="{D5CDD505-2E9C-101B-9397-08002B2CF9AE}" pid="243" name="FSC#FSCGOVDE@1.1001:FileRefOUEmail">
    <vt:lpwstr/>
  </property>
  <property fmtid="{D5CDD505-2E9C-101B-9397-08002B2CF9AE}" pid="244" name="FSC#FSCGOVDE@1.1001:ProcedureReference">
    <vt:lpwstr>1111-(Büro des Präsidenten) Erlasse 2018#0176</vt:lpwstr>
  </property>
  <property fmtid="{D5CDD505-2E9C-101B-9397-08002B2CF9AE}" pid="245" name="FSC#FSCGOVDE@1.1001:FileSubject">
    <vt:lpwstr>Erlasse 2018</vt:lpwstr>
  </property>
  <property fmtid="{D5CDD505-2E9C-101B-9397-08002B2CF9AE}" pid="246" name="FSC#FSCGOVDE@1.1001:ProcedureSubject">
    <vt:lpwstr>Anpassung BtMKostV</vt:lpwstr>
  </property>
  <property fmtid="{D5CDD505-2E9C-101B-9397-08002B2CF9AE}" pid="247" name="FSC#FSCGOVDE@1.1001:SignFinalVersionBy">
    <vt:lpwstr>Prof. Dr. Karl Broich</vt:lpwstr>
  </property>
  <property fmtid="{D5CDD505-2E9C-101B-9397-08002B2CF9AE}" pid="248" name="FSC#FSCGOVDE@1.1001:SignFinalVersionAt">
    <vt:lpwstr>21.11.2018</vt:lpwstr>
  </property>
  <property fmtid="{D5CDD505-2E9C-101B-9397-08002B2CF9AE}" pid="249" name="FSC#FSCGOVDE@1.1001:ProcedureRefBarCode">
    <vt:lpwstr>1111-(Büro des Präsidenten) Erlasse 2018#0176</vt:lpwstr>
  </property>
  <property fmtid="{D5CDD505-2E9C-101B-9397-08002B2CF9AE}" pid="250" name="FSC#FSCGOVDE@1.1001:FileAddSubj">
    <vt:lpwstr/>
  </property>
  <property fmtid="{D5CDD505-2E9C-101B-9397-08002B2CF9AE}" pid="251" name="FSC#FSCGOVDE@1.1001:DocumentSubj">
    <vt:lpwstr>Anpassung BtMKostV_x000d_
2018_11_08_Verordnungsentwurf_122_BfArM_Fragen_BMG_Antworten_BfArM</vt:lpwstr>
  </property>
  <property fmtid="{D5CDD505-2E9C-101B-9397-08002B2CF9AE}" pid="252" name="FSC#FSCGOVDE@1.1001:FileRel">
    <vt:lpwstr/>
  </property>
  <property fmtid="{D5CDD505-2E9C-101B-9397-08002B2CF9AE}" pid="253" name="FSC#COOSYSTEM@1.1:Container">
    <vt:lpwstr>COO.2221.100.6.301735</vt:lpwstr>
  </property>
  <property fmtid="{D5CDD505-2E9C-101B-9397-08002B2CF9AE}" pid="254" name="FSC#FSCFOLIO@1.1001:docpropproject">
    <vt:lpwstr/>
  </property>
  <property fmtid="{D5CDD505-2E9C-101B-9397-08002B2CF9AE}" pid="255" name="FSC$NOPARSEFILE">
    <vt:bool>true</vt:bool>
  </property>
  <property fmtid="{D5CDD505-2E9C-101B-9397-08002B2CF9AE}" pid="256" name="DQP-Ergebnis für Version 4">
    <vt:lpwstr>1 Fehler</vt:lpwstr>
  </property>
  <property fmtid="{D5CDD505-2E9C-101B-9397-08002B2CF9AE}" pid="257" name="Version">
    <vt:lpwstr>3.13.1.2</vt:lpwstr>
  </property>
  <property fmtid="{D5CDD505-2E9C-101B-9397-08002B2CF9AE}" pid="258" name="Last edited using">
    <vt:lpwstr>LW 5.4, Build 20230824</vt:lpwstr>
  </property>
  <property fmtid="{D5CDD505-2E9C-101B-9397-08002B2CF9AE}" pid="259" name="Kategorie">
    <vt:lpwstr>AENDER/NOVVER</vt:lpwstr>
  </property>
  <property fmtid="{D5CDD505-2E9C-101B-9397-08002B2CF9AE}" pid="260" name="eNorm-Version vorherige Bearbeitung">
    <vt:lpwstr>4.6.3 Bundesregierung [20230824]</vt:lpwstr>
  </property>
  <property fmtid="{D5CDD505-2E9C-101B-9397-08002B2CF9AE}" pid="261" name="eNorm-Version letzte DQP">
    <vt:lpwstr>4.0.3.1, Bundesregierung, [20190301]</vt:lpwstr>
  </property>
  <property fmtid="{D5CDD505-2E9C-101B-9397-08002B2CF9AE}" pid="262" name="eNorm-Version letzte Bearbeitung">
    <vt:lpwstr>4.6.3 Bundesregierung [20230824]</vt:lpwstr>
  </property>
  <property fmtid="{D5CDD505-2E9C-101B-9397-08002B2CF9AE}" pid="263" name="eNorm-Version Erstellung">
    <vt:lpwstr>3.14.2.1, Bundesregierung, [20170518]</vt:lpwstr>
  </property>
  <property fmtid="{D5CDD505-2E9C-101B-9397-08002B2CF9AE}" pid="264" name="Created using">
    <vt:lpwstr>LW 5.4, Build 20170518</vt:lpwstr>
  </property>
  <property fmtid="{D5CDD505-2E9C-101B-9397-08002B2CF9AE}" pid="265" name="Classification">
    <vt:lpwstr> </vt:lpwstr>
  </property>
  <property fmtid="{D5CDD505-2E9C-101B-9397-08002B2CF9AE}" pid="266" name="Meta_Bezeichnung">
    <vt:lpwstr>Vierundzwanzigste Verordnung zur Änderung von Anlagen des Betäubungsmittelgesetzes</vt:lpwstr>
  </property>
  <property fmtid="{D5CDD505-2E9C-101B-9397-08002B2CF9AE}" pid="267" name="Meta_Kurzbezeichnung">
    <vt:lpwstr/>
  </property>
  <property fmtid="{D5CDD505-2E9C-101B-9397-08002B2CF9AE}" pid="268" name="Meta_Abkürzung">
    <vt:lpwstr/>
  </property>
  <property fmtid="{D5CDD505-2E9C-101B-9397-08002B2CF9AE}" pid="269" name="Meta_Typ der Vorschrift">
    <vt:lpwstr>Einzelnovelle einer Verordnung</vt:lpwstr>
  </property>
  <property fmtid="{D5CDD505-2E9C-101B-9397-08002B2CF9AE}" pid="270"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271" name="Meta_Umsetzung von EU-Recht_2">
    <vt:lpwstr>l. L 241 vom 17.9.2015, S. 1).</vt:lpwstr>
  </property>
  <property fmtid="{D5CDD505-2E9C-101B-9397-08002B2CF9AE}" pid="272" name="Meta_Anlagen">
    <vt:lpwstr/>
  </property>
</Properties>
</file>