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9A513" w14:textId="77777777" w:rsidR="00255EB4" w:rsidRPr="00555190" w:rsidRDefault="00000000">
      <w:pPr>
        <w:pStyle w:val="10"/>
        <w:keepNext/>
        <w:keepLines/>
        <w:rPr>
          <w:rStyle w:val="1"/>
          <w:b/>
          <w:bCs/>
        </w:rPr>
      </w:pPr>
      <w:bookmarkStart w:id="0" w:name="bookmark0"/>
      <w:r>
        <w:rPr>
          <w:rStyle w:val="1"/>
          <w:b/>
        </w:rPr>
        <w:t xml:space="preserve">Tabako gaminiuose ir elektroninėse cigaretėse draudžiamų medžiagų sąrašas</w:t>
      </w:r>
      <w:bookmarkEnd w:id="0"/>
    </w:p>
    <w:p w14:paraId="6E242289" w14:textId="77777777" w:rsidR="00555190" w:rsidRPr="00555190" w:rsidRDefault="00555190">
      <w:pPr>
        <w:pStyle w:val="10"/>
        <w:keepNext/>
        <w:keepLines/>
        <w:rPr>
          <w:lang w:val="de-DE"/>
        </w:rPr>
      </w:pPr>
    </w:p>
    <w:p w14:paraId="2FAEA8FD" w14:textId="77777777" w:rsidR="00255EB4" w:rsidRDefault="00000000">
      <w:pPr>
        <w:pStyle w:val="22"/>
        <w:keepNext/>
        <w:keepLines/>
        <w:rPr>
          <w:rStyle w:val="21"/>
        </w:rPr>
      </w:pPr>
      <w:bookmarkStart w:id="1" w:name="bookmark2"/>
      <w:r>
        <w:rPr>
          <w:rStyle w:val="21"/>
        </w:rPr>
        <w:t xml:space="preserve">Toliau pateiktame sąraše, pavyzdžiui, yra tos medžiagos ar medžiagų kategorijos, kurioms šiuo metu taikomi Austrijos tabako ir nerūkančiųjų apsaugos įstatymo (TNRSG) nustatyti draudimai, tačiau šis sąrašas nėra baigtinis.</w:t>
      </w:r>
      <w:bookmarkEnd w:id="1"/>
    </w:p>
    <w:p w14:paraId="4612E29B" w14:textId="77777777" w:rsidR="00025909" w:rsidRPr="00025909" w:rsidRDefault="00025909" w:rsidP="00025909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de-DE"/>
        </w:rPr>
      </w:pPr>
    </w:p>
    <w:tbl>
      <w:tblPr>
        <w:tblOverlap w:val="never"/>
        <w:tblW w:w="90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4349"/>
        <w:gridCol w:w="1325"/>
        <w:gridCol w:w="2914"/>
      </w:tblGrid>
      <w:tr w:rsidR="00255EB4" w:rsidRPr="00025909" w14:paraId="3CD95767" w14:textId="77777777" w:rsidTr="008A46F5">
        <w:trPr>
          <w:trHeight w:val="341"/>
          <w:jc w:val="center"/>
        </w:trPr>
        <w:tc>
          <w:tcPr>
            <w:tcW w:w="9068" w:type="dxa"/>
            <w:gridSpan w:val="4"/>
            <w:vMerge w:val="restart"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5A95B8A4" w14:textId="77777777" w:rsidR="00255EB4" w:rsidRPr="00555190" w:rsidRDefault="00000000">
            <w:pPr>
              <w:pStyle w:val="a0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"/>
                <w:b/>
                <w:color w:val="FFFFFF"/>
                <w:sz w:val="17"/>
                <w:u w:val="single"/>
              </w:rPr>
              <w:t xml:space="preserve">Draudžiamos sudedamosios dalys nikotino turinčiose elektroninėse cigaretėse ir pildomosiose talpyklose</w:t>
            </w:r>
          </w:p>
        </w:tc>
      </w:tr>
      <w:tr w:rsidR="00255EB4" w:rsidRPr="00025909" w14:paraId="488452A5" w14:textId="77777777" w:rsidTr="008A46F5">
        <w:trPr>
          <w:trHeight w:val="276"/>
          <w:jc w:val="center"/>
        </w:trPr>
        <w:tc>
          <w:tcPr>
            <w:tcW w:w="9068" w:type="dxa"/>
            <w:gridSpan w:val="4"/>
            <w:vMerge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78FACC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95AF07F" w14:textId="77777777" w:rsidTr="008A46F5">
        <w:trPr>
          <w:trHeight w:val="637"/>
          <w:jc w:val="center"/>
        </w:trPr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635F6F" w14:textId="77777777" w:rsidR="00255EB4" w:rsidRPr="00555190" w:rsidRDefault="0000000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Medžiagų kategorijos, įskaitant draudimo teisinį pagrindą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0D07B" w14:textId="77777777" w:rsidR="00255EB4" w:rsidRPr="00555190" w:rsidRDefault="0000000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Pavyzdžiai</w:t>
            </w:r>
          </w:p>
        </w:tc>
      </w:tr>
      <w:tr w:rsidR="00555190" w:rsidRPr="00555190" w14:paraId="3BF2671A" w14:textId="77777777" w:rsidTr="008A46F5">
        <w:trPr>
          <w:trHeight w:val="4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0C934F7" w14:textId="77777777" w:rsidR="00555190" w:rsidRPr="00555190" w:rsidRDefault="0055519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1.</w:t>
            </w:r>
          </w:p>
        </w:tc>
        <w:tc>
          <w:tcPr>
            <w:tcW w:w="8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01D919" w14:textId="77777777" w:rsidR="00555190" w:rsidRPr="00555190" w:rsidRDefault="00555190" w:rsidP="00025909">
            <w:pPr>
              <w:pStyle w:val="a0"/>
              <w:shd w:val="clear" w:color="auto" w:fill="808080"/>
              <w:spacing w:line="276" w:lineRule="auto"/>
              <w:ind w:right="122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Vitaminai arba kiti priedai, kurie sudaro įspūdį, kad tabako gaminys yra naudingas sveikatai arba kad jis kelia mažesnį pavojų sveikatai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(TNRSG 10b straipsnio 7 dalies 3 punktas kartu su 8b straipsnio 2 dalies 1 punktu)</w:t>
            </w:r>
          </w:p>
        </w:tc>
      </w:tr>
      <w:tr w:rsidR="00255EB4" w:rsidRPr="00025909" w14:paraId="23F39027" w14:textId="77777777" w:rsidTr="008A46F5">
        <w:trPr>
          <w:trHeight w:val="57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75184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8F2AF8" w14:textId="3914FF0D" w:rsidR="00255EB4" w:rsidRPr="00555190" w:rsidRDefault="00000000">
            <w:pPr>
              <w:pStyle w:val="a0"/>
              <w:spacing w:line="266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Vitaminai, išvardyti Reglamento (ES) Nr. 609/2013 su pakeitimais priede „Sąjungos sąrašas“, pagal to reglamento 15 straipsnį.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022C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163DB83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DE9E1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1.2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32420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Aminorūgštys ir jų dariniai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361C69A7" w14:textId="77777777" w:rsidR="00255EB4" w:rsidRPr="00025909" w:rsidRDefault="00255EB4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DF4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64625F0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E9210E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1.3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A6089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Analgetikai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CA3DE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0FCF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2E83DBA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A5295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C3F949" w14:textId="756B8688" w:rsidR="00255EB4" w:rsidRPr="00555190" w:rsidRDefault="00000000" w:rsidP="00025909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Kanapių augalo</w:t>
            </w:r>
            <w:r>
              <w:rPr>
                <w:rStyle w:val="a"/>
                <w:color w:val="000000"/>
                <w:sz w:val="14"/>
              </w:rPr>
              <w:t xml:space="preserve"> komponentai, įskaitant perdirbtus komponentus, ekstraktus ir aliejus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F1A7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B65AC3E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4B5E6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1.5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1334A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Kanabinoidai (natūralios arba sintetinės kilmės)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1D7234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0973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Kanabidiolis</w:t>
            </w:r>
          </w:p>
        </w:tc>
      </w:tr>
      <w:tr w:rsidR="00255EB4" w:rsidRPr="00555190" w14:paraId="3D81C78D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68D6DC9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AB998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D25EA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98C8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THC</w:t>
            </w:r>
          </w:p>
        </w:tc>
      </w:tr>
      <w:tr w:rsidR="00255EB4" w:rsidRPr="00555190" w14:paraId="4F33E36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6D14D42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68DB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4A88D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F29C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HHC</w:t>
            </w:r>
          </w:p>
        </w:tc>
      </w:tr>
      <w:tr w:rsidR="00255EB4" w:rsidRPr="00555190" w14:paraId="7C6B4C0F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A8EF1F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1.6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EA2AE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Hormonai ir į hormonus panašios medžiagos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457D24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E07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Melatoninas</w:t>
            </w:r>
          </w:p>
        </w:tc>
      </w:tr>
      <w:tr w:rsidR="00255EB4" w:rsidRPr="00555190" w14:paraId="3ADC0615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1CE04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1.7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593EF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Flavonoidai ir fosfolipidai, turintys antioksidacinį poveikį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6D0E5C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B62D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Naringinas</w:t>
            </w:r>
          </w:p>
        </w:tc>
      </w:tr>
      <w:tr w:rsidR="00255EB4" w:rsidRPr="00555190" w14:paraId="360B245D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23902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1.8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B1D25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Kiti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ADF8B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E1E3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Cholinas</w:t>
            </w:r>
          </w:p>
        </w:tc>
      </w:tr>
      <w:tr w:rsidR="00255EB4" w:rsidRPr="00555190" w14:paraId="4C06698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47ED694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0FAE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394CD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1CB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Cholino chloridas</w:t>
            </w:r>
          </w:p>
        </w:tc>
      </w:tr>
      <w:tr w:rsidR="00255EB4" w:rsidRPr="00555190" w14:paraId="41E73744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0A7AD1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6166E8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59C142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D07F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Cholino hidroksidas</w:t>
            </w:r>
          </w:p>
        </w:tc>
      </w:tr>
      <w:tr w:rsidR="00255EB4" w:rsidRPr="00555190" w14:paraId="6667DB19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400FE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AAE255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5DA9A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2B4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Cholino citratas</w:t>
            </w:r>
          </w:p>
        </w:tc>
      </w:tr>
      <w:tr w:rsidR="00255EB4" w:rsidRPr="00555190" w14:paraId="6360CB27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94D3BC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2FB18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5D9BE3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68F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Cholino tartratas</w:t>
            </w:r>
          </w:p>
        </w:tc>
      </w:tr>
      <w:tr w:rsidR="00255EB4" w:rsidRPr="00555190" w14:paraId="4B299CE5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35E7C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AE2973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1D0486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E04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Betainas</w:t>
            </w:r>
          </w:p>
        </w:tc>
      </w:tr>
      <w:tr w:rsidR="00255EB4" w:rsidRPr="00555190" w14:paraId="1EDB4CD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674D14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A8CC9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61C709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8F2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S-adenozilmetioninas</w:t>
            </w:r>
          </w:p>
        </w:tc>
      </w:tr>
      <w:tr w:rsidR="00255EB4" w:rsidRPr="00555190" w14:paraId="07139321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1EC7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DDCBC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782A45F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A207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L-5-hidroksitriptofanas</w:t>
            </w:r>
          </w:p>
        </w:tc>
      </w:tr>
      <w:tr w:rsidR="00255EB4" w:rsidRPr="00555190" w14:paraId="3F432C3E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5000F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E5B1DD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89553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FA9D6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Karnitinas</w:t>
            </w:r>
          </w:p>
        </w:tc>
      </w:tr>
      <w:tr w:rsidR="00255EB4" w:rsidRPr="00555190" w14:paraId="4E64395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F05148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0F135E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0AD442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D056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L-karnitinas</w:t>
            </w:r>
          </w:p>
        </w:tc>
      </w:tr>
      <w:tr w:rsidR="00255EB4" w:rsidRPr="00555190" w14:paraId="3A3390DD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75F7EBE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432128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A2BCE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4A2B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L-karnitino hidrochloridas</w:t>
            </w:r>
          </w:p>
        </w:tc>
      </w:tr>
      <w:tr w:rsidR="00255EB4" w:rsidRPr="00555190" w14:paraId="5C2B662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749393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F24BF0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FC17D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24C0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L-karnitino L-tartratas</w:t>
            </w:r>
          </w:p>
        </w:tc>
      </w:tr>
      <w:tr w:rsidR="00255EB4" w:rsidRPr="00555190" w14:paraId="14A8C8BE" w14:textId="77777777" w:rsidTr="00025909">
        <w:trPr>
          <w:trHeight w:val="19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7FA0C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EB214C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0D40ED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A50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Natrio selenitas</w:t>
            </w:r>
          </w:p>
        </w:tc>
      </w:tr>
      <w:tr w:rsidR="00255EB4" w:rsidRPr="00555190" w14:paraId="02CD6420" w14:textId="77777777" w:rsidTr="008A46F5">
        <w:trPr>
          <w:trHeight w:val="216"/>
          <w:jc w:val="center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A29EF66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2.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5D1F5BF" w14:textId="77777777" w:rsidR="00255EB4" w:rsidRPr="00555190" w:rsidRDefault="00000000" w:rsidP="00555190">
            <w:pPr>
              <w:pStyle w:val="a0"/>
              <w:shd w:val="clear" w:color="auto" w:fill="808080"/>
              <w:spacing w:line="266" w:lineRule="auto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Kofeinas ar taurinas arba kiti priedai ir stimuliuojantys junginiai, susiję su energija ir gyvybingumu (TNRSG 10b straipsnio 7 dalies 3 punktas kartu su 8b straipsnio 2 dalies 2 punktu)</w:t>
            </w:r>
          </w:p>
        </w:tc>
      </w:tr>
      <w:tr w:rsidR="00255EB4" w:rsidRPr="00555190" w14:paraId="148B99EC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C86DAE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14:paraId="7C8850A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427E0B0" w14:textId="77777777" w:rsidTr="008A46F5">
        <w:trPr>
          <w:trHeight w:val="3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CB87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EFD898" w14:textId="3152EC03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Kavamedžio</w:t>
            </w:r>
            <w:r>
              <w:rPr>
                <w:rStyle w:val="a"/>
                <w:color w:val="000000"/>
                <w:sz w:val="14"/>
              </w:rPr>
              <w:t xml:space="preserve"> ir </w:t>
            </w:r>
            <w:r>
              <w:rPr>
                <w:rStyle w:val="a"/>
                <w:color w:val="000000"/>
                <w:sz w:val="14"/>
                <w:b/>
              </w:rPr>
              <w:t xml:space="preserve">kavos pupelių</w:t>
            </w:r>
            <w:r>
              <w:rPr>
                <w:rStyle w:val="a"/>
                <w:color w:val="000000"/>
                <w:sz w:val="14"/>
              </w:rPr>
              <w:t xml:space="preserve"> komponentai, įskaitant perdirbtus komponentus, ekstraktus ir aliejus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51C3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A842609" w14:textId="77777777" w:rsidTr="00025909">
        <w:trPr>
          <w:trHeight w:val="3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3AC1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2.2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4C9968" w14:textId="77777777" w:rsidR="00255EB4" w:rsidRPr="00555190" w:rsidRDefault="00000000">
            <w:pPr>
              <w:pStyle w:val="a0"/>
              <w:spacing w:line="276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Arbatmedžio </w:t>
            </w:r>
            <w:r>
              <w:rPr>
                <w:rStyle w:val="a"/>
                <w:color w:val="000000"/>
                <w:sz w:val="14"/>
              </w:rPr>
              <w:t xml:space="preserve">Camellia sinensis (L.) Kuntze komponentai, įskaitant perdirbtus komponentus, ekstraktus ir aliejus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6227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2F0EAC2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4111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2.3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753292" w14:textId="6AA7F20B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Guaraninės paulinijos</w:t>
            </w:r>
            <w:r>
              <w:rPr>
                <w:rStyle w:val="a"/>
                <w:color w:val="000000"/>
                <w:sz w:val="14"/>
              </w:rPr>
              <w:t xml:space="preserve"> komponentai, įskaitant perdirbtus komponentus, ekstraktus ir aliejus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1DC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BC0A09D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F36F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16C954" w14:textId="60872044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Paragvajinio bugienio</w:t>
            </w:r>
            <w:r>
              <w:rPr>
                <w:rStyle w:val="a"/>
                <w:color w:val="000000"/>
                <w:sz w:val="14"/>
              </w:rPr>
              <w:t xml:space="preserve"> komponentai, įskaitant perdirbtus komponentus, ekstraktus ir aliejus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649F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311D3E9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E61A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2.5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1AA06B" w14:textId="4BF9398E" w:rsidR="00255EB4" w:rsidRPr="00555190" w:rsidRDefault="00000000" w:rsidP="00025909">
            <w:pPr>
              <w:pStyle w:val="a0"/>
              <w:ind w:right="194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Kolamedžio</w:t>
            </w:r>
            <w:r>
              <w:rPr>
                <w:rStyle w:val="a"/>
                <w:color w:val="000000"/>
                <w:sz w:val="14"/>
              </w:rPr>
              <w:t xml:space="preserve"> arba </w:t>
            </w:r>
            <w:r>
              <w:rPr>
                <w:rStyle w:val="a"/>
                <w:color w:val="000000"/>
                <w:sz w:val="14"/>
                <w:b/>
              </w:rPr>
              <w:t xml:space="preserve">kolamedžio riešuto</w:t>
            </w:r>
            <w:r>
              <w:rPr>
                <w:rStyle w:val="a"/>
                <w:color w:val="000000"/>
                <w:sz w:val="14"/>
              </w:rPr>
              <w:t xml:space="preserve"> komponentai, įskaitant perdirbtus komponentus, ekstraktus ir aliejus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FB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5EFDCBA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7189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2.6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77751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Cukrus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CD37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93FC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Gliukozė</w:t>
            </w:r>
          </w:p>
        </w:tc>
      </w:tr>
      <w:tr w:rsidR="00255EB4" w:rsidRPr="00555190" w14:paraId="522D273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DF3B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8D82A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7F2A47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CBDE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Fruktozė</w:t>
            </w:r>
          </w:p>
        </w:tc>
      </w:tr>
      <w:tr w:rsidR="00255EB4" w:rsidRPr="00555190" w14:paraId="0A4CA069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94772C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50C2E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F58A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A9CC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Galaktozė</w:t>
            </w:r>
          </w:p>
        </w:tc>
      </w:tr>
      <w:tr w:rsidR="00255EB4" w:rsidRPr="00555190" w14:paraId="4FF3854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8B29F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7927D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9E6BCF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6B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Sacharozė</w:t>
            </w:r>
          </w:p>
        </w:tc>
      </w:tr>
      <w:tr w:rsidR="00255EB4" w:rsidRPr="00555190" w14:paraId="55E0D791" w14:textId="77777777" w:rsidTr="00025909">
        <w:trPr>
          <w:trHeight w:val="235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4C4C0BD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C6E3E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C6AF0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3459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Laktozė</w:t>
            </w:r>
          </w:p>
        </w:tc>
      </w:tr>
      <w:tr w:rsidR="00255EB4" w:rsidRPr="00555190" w14:paraId="4670B5B6" w14:textId="77777777" w:rsidTr="00025909">
        <w:trPr>
          <w:trHeight w:val="230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BAB43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EA14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BCCDEA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585F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Maltozė</w:t>
            </w:r>
          </w:p>
        </w:tc>
      </w:tr>
      <w:tr w:rsidR="00255EB4" w:rsidRPr="00555190" w14:paraId="3F4299F3" w14:textId="77777777" w:rsidTr="00025909">
        <w:trPr>
          <w:trHeight w:val="2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7D950" w14:textId="77777777" w:rsidR="00255EB4" w:rsidRPr="00555190" w:rsidRDefault="00000000" w:rsidP="00025909">
            <w:pPr>
              <w:pStyle w:val="a0"/>
              <w:ind w:hanging="13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2.7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</w:tcPr>
          <w:p w14:paraId="7B58B5D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Kiti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545DD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B13C7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Maltodekstrinas</w:t>
            </w:r>
          </w:p>
        </w:tc>
      </w:tr>
      <w:tr w:rsidR="00255EB4" w:rsidRPr="00555190" w14:paraId="3180EBF8" w14:textId="77777777" w:rsidTr="008A46F5">
        <w:trPr>
          <w:trHeight w:val="202"/>
          <w:jc w:val="center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18E5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tcBorders>
              <w:bottom w:val="single" w:sz="4" w:space="0" w:color="auto"/>
            </w:tcBorders>
            <w:shd w:val="clear" w:color="auto" w:fill="auto"/>
          </w:tcPr>
          <w:p w14:paraId="4B1FD0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14:paraId="1E932D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AA0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Inozitolis</w:t>
            </w:r>
          </w:p>
        </w:tc>
      </w:tr>
      <w:tr w:rsidR="00255EB4" w:rsidRPr="00025909" w14:paraId="50E5AC69" w14:textId="77777777" w:rsidTr="008A46F5">
        <w:trPr>
          <w:trHeight w:val="278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9E9549F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3.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7603532" w14:textId="77777777" w:rsidR="00255EB4" w:rsidRPr="00025909" w:rsidRDefault="00000000" w:rsidP="00025909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Priedai, nudažantys išsiskiriančias medžiagas.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(TNRSG 10b straipsnio 7 dalies 3 punktas kartu su 8b straipsnio 2 dalies 3 punktu)</w:t>
            </w:r>
          </w:p>
        </w:tc>
      </w:tr>
      <w:tr w:rsidR="00255EB4" w:rsidRPr="00025909" w14:paraId="483A2523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6140B8B" w14:textId="77777777" w:rsidR="00255EB4" w:rsidRPr="00025909" w:rsidRDefault="00255EB4">
            <w:pPr>
              <w:rPr>
                <w:lang w:val="pl-PL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A0B8D58" w14:textId="77777777" w:rsidR="00255EB4" w:rsidRPr="00025909" w:rsidRDefault="00255EB4">
            <w:pPr>
              <w:rPr>
                <w:lang w:val="pl-PL"/>
              </w:rPr>
            </w:pPr>
          </w:p>
        </w:tc>
      </w:tr>
    </w:tbl>
    <w:p w14:paraId="1416E786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BCA3059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D6B07B2" w14:textId="77777777" w:rsidR="00555190" w:rsidRPr="00025909" w:rsidRDefault="00555190">
      <w:pPr>
        <w:pStyle w:val="22"/>
        <w:keepNext/>
        <w:keepLines/>
        <w:spacing w:line="240" w:lineRule="auto"/>
        <w:rPr>
          <w:lang w:val="pl-PL"/>
        </w:rPr>
        <w:sectPr w:rsidR="00555190" w:rsidRPr="00025909" w:rsidSect="00555190">
          <w:headerReference w:type="default" r:id="rId6"/>
          <w:footerReference w:type="default" r:id="rId7"/>
          <w:footerReference w:type="first" r:id="rId8"/>
          <w:pgSz w:w="11906" w:h="16838" w:code="9"/>
          <w:pgMar w:top="1418" w:right="1750" w:bottom="1276" w:left="1495" w:header="680" w:footer="680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4765"/>
        <w:gridCol w:w="11"/>
        <w:gridCol w:w="2630"/>
        <w:gridCol w:w="19"/>
        <w:gridCol w:w="4037"/>
      </w:tblGrid>
      <w:tr w:rsidR="00255EB4" w:rsidRPr="00025909" w14:paraId="715BDC71" w14:textId="77777777" w:rsidTr="001652C2">
        <w:trPr>
          <w:trHeight w:val="475"/>
        </w:trPr>
        <w:tc>
          <w:tcPr>
            <w:tcW w:w="14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E13316C" w14:textId="77777777" w:rsidR="00255EB4" w:rsidRPr="00555190" w:rsidRDefault="00000000">
            <w:pPr>
              <w:pStyle w:val="a0"/>
              <w:shd w:val="clear" w:color="auto" w:fill="000000"/>
              <w:rPr>
                <w:sz w:val="16"/>
                <w:szCs w:val="16"/>
                <w:u w:val="single"/>
              </w:rPr>
            </w:pPr>
            <w:r>
              <w:rPr>
                <w:rStyle w:val="a"/>
                <w:b/>
                <w:color w:val="FFFFFF"/>
                <w:sz w:val="16"/>
                <w:u w:val="single"/>
              </w:rPr>
              <w:t xml:space="preserve">Draudžiamos sudedamosios dalys nikotino turinčiose ir nikotino neturinčiose elektroninėse cigaretėse ir pildomosiose talpyklose</w:t>
            </w:r>
          </w:p>
        </w:tc>
      </w:tr>
      <w:tr w:rsidR="00555190" w:rsidRPr="00025909" w14:paraId="5889D192" w14:textId="77777777" w:rsidTr="001652C2">
        <w:trPr>
          <w:trHeight w:val="216"/>
        </w:trPr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49DC8E4" w14:textId="60B325B4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  <w:sz w:val="15"/>
              </w:rPr>
              <w:t xml:space="preserve">Medžiagų kategorijos, įskaitant draudimo teisinį pagrindą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430B954" w14:textId="05115B39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  <w:sz w:val="15"/>
              </w:rPr>
              <w:t xml:space="preserve">Pavyzdžiai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C24BD94" w14:textId="05E53CB4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</w:rPr>
              <w:t xml:space="preserve">Tolesnis draudimo pagrindimas</w:t>
            </w:r>
          </w:p>
        </w:tc>
      </w:tr>
      <w:tr w:rsidR="00255EB4" w:rsidRPr="00025909" w14:paraId="4D441EB4" w14:textId="77777777" w:rsidTr="001652C2">
        <w:trPr>
          <w:trHeight w:val="235"/>
        </w:trPr>
        <w:tc>
          <w:tcPr>
            <w:tcW w:w="140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F6A54CE" w14:textId="77777777" w:rsidR="00255EB4" w:rsidRPr="00025909" w:rsidRDefault="00000000" w:rsidP="00555190">
            <w:pPr>
              <w:pStyle w:val="a0"/>
              <w:shd w:val="clear" w:color="auto" w:fill="808080"/>
              <w:tabs>
                <w:tab w:val="left" w:pos="356"/>
              </w:tabs>
              <w:rPr>
                <w:u w:val="single"/>
              </w:rPr>
            </w:pPr>
            <w:r>
              <w:rPr>
                <w:rStyle w:val="a"/>
                <w:b/>
                <w:color w:val="FFFFFF"/>
                <w:u w:val="single"/>
              </w:rPr>
              <w:t xml:space="preserve">1.</w:t>
            </w:r>
            <w:r>
              <w:rPr>
                <w:rStyle w:val="a"/>
                <w:b/>
                <w:color w:val="FFFFFF"/>
              </w:rPr>
              <w:tab/>
            </w:r>
            <w:r>
              <w:rPr>
                <w:rStyle w:val="a"/>
                <w:b/>
                <w:color w:val="FFFFFF"/>
                <w:u w:val="single"/>
              </w:rPr>
              <w:t xml:space="preserve">Priedai, turintys nesudegusios formos CMR savybių.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(TNRSG 10b straipsnio 7 dalies 3 punktas kartu su 8b straipsnio 2 dalies 5 punktu;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TNRSG 10b straipsnio 7 dalies 5 punktas)</w:t>
            </w:r>
          </w:p>
        </w:tc>
      </w:tr>
      <w:tr w:rsidR="00255EB4" w:rsidRPr="00025909" w14:paraId="39417571" w14:textId="77777777" w:rsidTr="001652C2">
        <w:trPr>
          <w:trHeight w:val="276"/>
        </w:trPr>
        <w:tc>
          <w:tcPr>
            <w:tcW w:w="140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95ABE40" w14:textId="77777777" w:rsidR="00255EB4" w:rsidRPr="00025909" w:rsidRDefault="00255EB4">
            <w:pPr>
              <w:rPr>
                <w:lang w:val="pl-PL"/>
              </w:rPr>
            </w:pPr>
          </w:p>
        </w:tc>
      </w:tr>
      <w:tr w:rsidR="00255EB4" w:rsidRPr="00025909" w14:paraId="3A3E4782" w14:textId="77777777">
        <w:trPr>
          <w:trHeight w:val="124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341E0" w14:textId="0FD44A06" w:rsidR="00255EB4" w:rsidRPr="00555190" w:rsidRDefault="00000000">
            <w:pPr>
              <w:pStyle w:val="a0"/>
              <w:spacing w:line="262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1.1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Cheminės medžiagos, klasifikuojamos pagal 2008 m. gruodžio 16 d. Europos Parlamento ir Tarybos reglamento (EB) Nr. 1272/2008 dėl cheminių medžiagų ir mišinių klasifikavimo, ženklinimo ir pakavimo, iš dalies keičiančio ir panaikinančio direktyvas 67/548/EEB bei 1999/45/EB ir iš dalies keičiančio Reglamentą (EB) Nr. 1907/2006 (OL L 353, 2006 12 31, p. 1), su paskutiniais pakeitimais, padarytais Reglamentu (ES) 2016/1179 (OL L 195, 2016 7 20, p. 11), VI priedo 3 dalį, kaip </w:t>
            </w:r>
            <w:r>
              <w:rPr>
                <w:rStyle w:val="a"/>
                <w:color w:val="000000"/>
                <w:b/>
              </w:rPr>
              <w:t xml:space="preserve">1A, 1B, 2 arba Lact kategorijos CMR medžiagos.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2EF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4A29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1F71827" w14:textId="77777777">
        <w:trPr>
          <w:trHeight w:val="54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A191A" w14:textId="003C86AB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1.2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Medžiagos, klasifikuojamos pagal Tarptautinės vėžio tyrimų agentūros (</w:t>
            </w:r>
            <w:r>
              <w:rPr>
                <w:rStyle w:val="a"/>
                <w:color w:val="000000"/>
                <w:b/>
              </w:rPr>
              <w:t xml:space="preserve">IARC</w:t>
            </w:r>
            <w:r>
              <w:rPr>
                <w:rStyle w:val="a"/>
                <w:color w:val="000000"/>
              </w:rPr>
              <w:t xml:space="preserve">) klasifikacijų sąrašą dėl kancerogeninio poveikio žmonėms </w:t>
            </w:r>
            <w:r>
              <w:rPr>
                <w:rStyle w:val="a"/>
                <w:color w:val="000000"/>
                <w:b/>
              </w:rPr>
              <w:t xml:space="preserve">1, 2A arba 2B grupėse</w:t>
            </w:r>
            <w:r>
              <w:rPr>
                <w:rStyle w:val="a"/>
                <w:color w:val="000000"/>
              </w:rPr>
              <w:t xml:space="preserve"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1A9D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ECF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03B599A" w14:textId="77777777">
        <w:trPr>
          <w:trHeight w:val="509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66E6E" w14:textId="2D06F622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1.3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Medžiagos, kurios pagal Jungtinių Amerikos Valstijų nacionalinę toksikologijos programą (NTP) klasifikuojamos kaip „žinomos“ arba „pagrįstai tikėtinos“ būti žmogaus kancerogenais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A738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9A9F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D0015D4" w14:textId="77777777">
        <w:trPr>
          <w:trHeight w:val="816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2FC57" w14:textId="043BCA65" w:rsidR="00255EB4" w:rsidRPr="00555190" w:rsidRDefault="00000000" w:rsidP="00025909">
            <w:pPr>
              <w:pStyle w:val="a0"/>
              <w:tabs>
                <w:tab w:val="left" w:pos="356"/>
              </w:tabs>
              <w:spacing w:line="262" w:lineRule="auto"/>
              <w:ind w:left="416" w:right="302" w:hanging="416"/>
            </w:pPr>
            <w:r>
              <w:rPr>
                <w:rStyle w:val="a"/>
                <w:color w:val="000000"/>
              </w:rPr>
              <w:t xml:space="preserve">1.4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Medžiagos, kurias pagal </w:t>
            </w:r>
            <w:r>
              <w:rPr>
                <w:rStyle w:val="a"/>
                <w:color w:val="000000"/>
                <w:b/>
              </w:rPr>
              <w:t xml:space="preserve">MAK ir GPGB verčių sąrašą</w:t>
            </w:r>
            <w:r>
              <w:rPr>
                <w:rStyle w:val="a"/>
                <w:color w:val="000000"/>
              </w:rPr>
              <w:t xml:space="preserve"> (paskelbtą Deutsche Forschungsgemeinschaft (DFG)) MAK komisija priskyrė darančioms kancerogeninį poveikį 1, 2, 4 arba 5 kategorijose, teratogeninį poveikį A, B arba C kategorijose ir mutageninį poveikį lytinėms ląstelėms 1, 2, 3A arba 3B kategorijose.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74B8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A580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5E0D7C3" w14:textId="77777777">
        <w:trPr>
          <w:trHeight w:val="341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24792" w14:textId="3D1E6889" w:rsidR="00255EB4" w:rsidRPr="00555190" w:rsidRDefault="00000000">
            <w:pPr>
              <w:pStyle w:val="a0"/>
              <w:spacing w:line="257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1.5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Medžiagos, kurias Europos maisto saugos tarnyba (EFSA) klasifikuoja kaip kancerogenines, mutagenines ar toksiškas reprodukcijai.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098E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6F98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329273" w14:textId="77777777">
        <w:trPr>
          <w:trHeight w:val="18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C2348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1.1–1.5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Pavyzdžiai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4D21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Izoforonas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D848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8916AE" w14:textId="77777777">
        <w:trPr>
          <w:trHeight w:val="19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292A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9CF9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Piridinas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D2C4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01F6F92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37FE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2C81C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Mircenas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B3E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F7B187B" w14:textId="77777777">
        <w:trPr>
          <w:trHeight w:val="211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082B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00FB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Chrisenas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7B4A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6289B8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66F3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867DA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Benzo(a)antracenas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E6F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8CBBFB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4A37A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6CDE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Benzo(b)fluorantenas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5D9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8DD16C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1468E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800F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Titano dioksidas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8CD6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B6C10FA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A7FB9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6CBF0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Metilo eugenolis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864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3AF3645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D41A8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A0FA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Safrolis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80B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7C4A8DE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C1FB9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DC9EF3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Estragolis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AAFB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65F087D" w14:textId="77777777">
        <w:trPr>
          <w:trHeight w:val="40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F4A3A" w14:textId="77777777" w:rsidR="00255EB4" w:rsidRPr="00555190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</w:rPr>
              <w:t xml:space="preserve">1.6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Medžiagos, veikiančios reprodukcinę sistemą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F7D6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Parabenai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A5BDD" w14:textId="77777777" w:rsidR="00255EB4" w:rsidRPr="00555190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</w:rPr>
              <w:t xml:space="preserve">Propilparabenas (parahidroksibenzenkarboksirūgšties propilesteris)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314C2" w14:textId="77777777" w:rsidR="00255EB4" w:rsidRPr="00555190" w:rsidRDefault="00000000">
            <w:pPr>
              <w:pStyle w:val="a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Kai kurie parabenai pasižymi </w:t>
            </w:r>
            <w:r>
              <w:rPr>
                <w:rStyle w:val="a"/>
                <w:color w:val="000000"/>
                <w:i/>
              </w:rPr>
              <w:t xml:space="preserve">in vivo</w:t>
            </w:r>
            <w:r>
              <w:rPr>
                <w:rStyle w:val="a"/>
                <w:color w:val="000000"/>
              </w:rPr>
              <w:t xml:space="preserve"> reprotoksiniu poveikiu.</w:t>
            </w:r>
          </w:p>
          <w:p w14:paraId="4C754D05" w14:textId="77777777" w:rsidR="00555190" w:rsidRPr="00555190" w:rsidRDefault="00555190">
            <w:pPr>
              <w:pStyle w:val="a0"/>
              <w:rPr>
                <w:lang w:val="de-DE"/>
              </w:rPr>
            </w:pPr>
          </w:p>
          <w:p w14:paraId="7B8050C2" w14:textId="77777777" w:rsidR="00255EB4" w:rsidRPr="00025909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Nuorodos:</w:t>
            </w:r>
          </w:p>
          <w:p w14:paraId="04A70D1A" w14:textId="77777777" w:rsidR="00255EB4" w:rsidRPr="00025909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VSMK (Vartotojų saugos mokslinis komitetas) (2021).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Nuomonė dėl propilparabeno (CAS Nr. 94-13-3, EB Nr. 202-307-7), 2020 m. spalio 27–28 d. preliminari redakcija, 2021 m. kovo 30–31 d. galutinė redakcija, SCCS/1623/20</w:t>
            </w:r>
          </w:p>
          <w:p w14:paraId="17AE6435" w14:textId="77777777" w:rsidR="00255EB4" w:rsidRPr="00025909" w:rsidRDefault="00255EB4">
            <w:pPr>
              <w:pStyle w:val="a0"/>
              <w:spacing w:line="254" w:lineRule="auto"/>
            </w:pPr>
            <w:hyperlink r:id="rId9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https://health.ec.europa.eu/document/download/7c416df0-2650-4d7a-82f7- 650081bf250c en?filename=sccs o 243.pdf</w:t>
              </w:r>
            </w:hyperlink>
          </w:p>
          <w:p w14:paraId="06E4BE0C" w14:textId="77777777" w:rsidR="00555190" w:rsidRPr="00025909" w:rsidRDefault="00555190">
            <w:pPr>
              <w:pStyle w:val="a0"/>
              <w:spacing w:line="254" w:lineRule="auto"/>
              <w:rPr>
                <w:sz w:val="11"/>
                <w:szCs w:val="11"/>
                <w:lang w:val="es-ES"/>
              </w:rPr>
            </w:pPr>
          </w:p>
          <w:p w14:paraId="1846FCDA" w14:textId="77777777" w:rsidR="00255EB4" w:rsidRPr="00555190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EFSA (Europos maisto saugos tarnyba) (2004).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Maisto priedų, kvapiųjų medžiagų, perdirbimo medžiagų ir su maistu besiliečiančių medžiagų mokslinės grupės (AFC) nuomonė dėl parahidroksibenzoatų (E 214-219).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EFSA žurnalas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0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https://doi.org/10.2903/j.efsa.2004.83</w:t>
              </w:r>
            </w:hyperlink>
          </w:p>
        </w:tc>
      </w:tr>
      <w:tr w:rsidR="00255EB4" w:rsidRPr="00555190" w14:paraId="63758B00" w14:textId="77777777">
        <w:trPr>
          <w:trHeight w:val="211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6D5A6A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686A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6E1A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Natrio propilparabenas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BEDF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4A0FB3" w14:textId="77777777">
        <w:trPr>
          <w:trHeight w:val="182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2F62708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8358E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6BE2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Kalio propilparabenas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8EFF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C5840A" w14:textId="77777777">
        <w:trPr>
          <w:trHeight w:val="16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A49186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38E64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61B1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Butilparabenas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AF6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8DABE7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5675AF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19555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C2A3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Natrio butilparabenas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BAB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0DC654" w14:textId="77777777">
        <w:trPr>
          <w:trHeight w:val="149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40895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5004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7757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Kalio butilparabenas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329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75C440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17E81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435D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70EDA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Izobutilparabenas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A54D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4F56C1E" w14:textId="77777777" w:rsidTr="00555190">
        <w:trPr>
          <w:trHeight w:val="390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FF6A6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6492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DD6B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Natrio izobutilparabenas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2E12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F72EA01" w14:textId="77777777">
        <w:trPr>
          <w:trHeight w:val="17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17C9C" w14:textId="77777777" w:rsidR="00255EB4" w:rsidRPr="00555190" w:rsidRDefault="00000000">
            <w:pPr>
              <w:pStyle w:val="a0"/>
              <w:ind w:firstLine="360"/>
            </w:pPr>
            <w:r>
              <w:rPr>
                <w:rStyle w:val="a"/>
                <w:color w:val="000000"/>
              </w:rPr>
              <w:t xml:space="preserve">1.7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Balkšvasis sasafras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651F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Sasafro aliejus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3AD7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Sudėtyje yra safrolo.</w:t>
            </w:r>
          </w:p>
        </w:tc>
      </w:tr>
      <w:tr w:rsidR="00255EB4" w:rsidRPr="00555190" w14:paraId="040032AD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87E32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34C1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Sasafro mediena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B6C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6CC182" w14:textId="77777777">
        <w:trPr>
          <w:trHeight w:val="18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A4BC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BFBE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Sasafro lapai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ABF6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00BF84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866D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D9B3F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Sasafro žievė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9DA0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6C0143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109"/>
      </w:tblGrid>
      <w:tr w:rsidR="00255EB4" w:rsidRPr="00555190" w14:paraId="0D43449C" w14:textId="77777777" w:rsidTr="001652C2">
        <w:trPr>
          <w:trHeight w:val="432"/>
        </w:trPr>
        <w:tc>
          <w:tcPr>
            <w:tcW w:w="1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1D4D6D9" w14:textId="77777777" w:rsidR="00255EB4" w:rsidRPr="00555190" w:rsidRDefault="00000000" w:rsidP="00555190">
            <w:pPr>
              <w:pStyle w:val="a0"/>
              <w:shd w:val="clear" w:color="auto" w:fill="808080"/>
              <w:tabs>
                <w:tab w:val="left" w:pos="384"/>
              </w:tabs>
              <w:rPr>
                <w:u w:val="single"/>
              </w:rPr>
            </w:pPr>
            <w:r>
              <w:rPr>
                <w:rStyle w:val="a"/>
                <w:b/>
                <w:color w:val="FFFFFF"/>
                <w:u w:val="single"/>
              </w:rPr>
              <w:t xml:space="preserve">2.</w:t>
            </w:r>
            <w:r>
              <w:rPr>
                <w:rStyle w:val="a"/>
                <w:b/>
                <w:color w:val="FFFFFF"/>
              </w:rPr>
              <w:tab/>
            </w:r>
            <w:r>
              <w:rPr>
                <w:rStyle w:val="a"/>
                <w:b/>
                <w:color w:val="FFFFFF"/>
                <w:u w:val="single"/>
              </w:rPr>
              <w:t xml:space="preserve">Sudedamosios dalys (išskyrus nikotiną skysčiuose, kuriuose yra nikotino), kurios kaitinamos arba nekaitinamos kelia pavojų žmonių sveikatai.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(TNRSG 10b straipsnio 7 dalies 5 punktas)</w:t>
            </w:r>
          </w:p>
        </w:tc>
      </w:tr>
      <w:tr w:rsidR="00255EB4" w:rsidRPr="00555190" w14:paraId="4D0852CB" w14:textId="77777777" w:rsidTr="001652C2">
        <w:trPr>
          <w:trHeight w:val="1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BDF39" w14:textId="730B0D54" w:rsidR="00255EB4" w:rsidRPr="00555190" w:rsidRDefault="00000000" w:rsidP="00555190">
            <w:pPr>
              <w:pStyle w:val="a0"/>
              <w:tabs>
                <w:tab w:val="left" w:pos="370"/>
              </w:tabs>
            </w:pPr>
            <w:r>
              <w:rPr>
                <w:rStyle w:val="a"/>
                <w:color w:val="000000"/>
              </w:rPr>
              <w:t xml:space="preserve">2.1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Medžiagos, turinčios nesudegusios formos CMR savybių.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(Žr. 1 punktą)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F83A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A27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A75ED6" w14:textId="77777777">
        <w:trPr>
          <w:trHeight w:val="1262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D1D5F" w14:textId="0A0B368C" w:rsidR="00255EB4" w:rsidRPr="00555190" w:rsidRDefault="00000000">
            <w:pPr>
              <w:pStyle w:val="a0"/>
              <w:spacing w:line="266" w:lineRule="auto"/>
              <w:ind w:left="360" w:hanging="360"/>
            </w:pPr>
            <w:r>
              <w:rPr>
                <w:rStyle w:val="a"/>
                <w:color w:val="000000"/>
              </w:rPr>
              <w:t xml:space="preserve">2.2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Cheminės medžiagos, klasifikuojamos pagal 2008 m. gruodžio 16 d. Europos Parlamento ir Tarybos reglamento (EB) Nr. 1272/2008 dėl cheminių medžiagų ir mišinių klasifikavimo, ženklinimo ir pakavimo, iš dalies keičiančio ir panaikinančio direktyvas 67/548/EEB bei 1999/45/EB ir iš dalies keičiančio Reglamentą (EB) Nr. 1907/2006 (OL L 353, 2006 12 31, p. 1), su paskutiniais pakeitimais, padarytais Reglamentu (ES) 2016/1179 (OL L 195, 2016 7 20, p. 11), VI priedo 3 dalį, kaip </w:t>
            </w:r>
            <w:r>
              <w:rPr>
                <w:rStyle w:val="a"/>
                <w:color w:val="000000"/>
                <w:b/>
              </w:rPr>
              <w:t xml:space="preserve">kvėpavimo takų jautrinančios medžiagos (Resp. Sens.</w:t>
            </w:r>
            <w:r>
              <w:rPr>
                <w:rStyle w:val="a"/>
                <w:color w:val="000000"/>
                <w:b/>
              </w:rPr>
              <w:t xml:space="preserve"> </w:t>
            </w:r>
            <w:r>
              <w:rPr>
                <w:rStyle w:val="a"/>
                <w:color w:val="000000"/>
                <w:b/>
              </w:rPr>
              <w:t xml:space="preserve">1)</w:t>
            </w:r>
            <w:r>
              <w:rPr>
                <w:rStyle w:val="a"/>
                <w:color w:val="000000"/>
              </w:rPr>
              <w:t xml:space="preserve"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3CA75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DA3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CA60890" w14:textId="77777777">
        <w:trPr>
          <w:trHeight w:val="16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E2E0E" w14:textId="183C85AE" w:rsidR="00255EB4" w:rsidRPr="00555190" w:rsidRDefault="00000000" w:rsidP="00025909">
            <w:pPr>
              <w:pStyle w:val="a0"/>
              <w:spacing w:line="269" w:lineRule="auto"/>
              <w:ind w:left="360" w:right="255" w:hanging="360"/>
            </w:pPr>
            <w:r>
              <w:rPr>
                <w:rStyle w:val="a"/>
                <w:color w:val="000000"/>
              </w:rPr>
              <w:t xml:space="preserve">2.3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Cheminės medžiagos, išvardytos 2008 m. gruodžio 16 d. Europos Parlamento ir Tarybos reglamento (EB) Nr. 1334/2008 dėl</w:t>
            </w:r>
            <w:r>
              <w:rPr>
                <w:rStyle w:val="a"/>
                <w:color w:val="000000"/>
                <w:b/>
                <w:bCs/>
              </w:rPr>
              <w:t xml:space="preserve">kvapiųjų medžiagų</w:t>
            </w:r>
            <w:r>
              <w:rPr>
                <w:rStyle w:val="a"/>
                <w:color w:val="000000"/>
              </w:rPr>
              <w:t xml:space="preserve"> ir aromatinių savybių turinčių tam tikrų maisto ingredientų naudojimo maisto produktuose ir ant jų, </w:t>
            </w:r>
            <w:r>
              <w:rPr>
                <w:rStyle w:val="a"/>
                <w:color w:val="000000"/>
                <w:b/>
              </w:rPr>
              <w:t xml:space="preserve">III priedo</w:t>
            </w:r>
            <w:r>
              <w:rPr>
                <w:rStyle w:val="a"/>
                <w:color w:val="000000"/>
              </w:rPr>
              <w:t xml:space="preserve"> A dalyje ir jų atnaujinimai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69A1A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Agaro rūgštis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B8A5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AF0825" w14:textId="77777777">
        <w:trPr>
          <w:trHeight w:val="18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A34C8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BCF86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Aloinas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20AA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0A8C126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D87A1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D0879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Kapsaicinas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D9CE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F1D2CE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06C55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D992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1,2-benzopironas, kumarinas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98BB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271D310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31152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06789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Hipericinas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8AB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B4F0C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BAE52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5E8E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Beta-asaronas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5AB2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B91FA5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86FA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4AE77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1-alil-4-metoksibenzolas, estragolis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F3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00C425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FFC77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9522B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Cianido rūgštis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1763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3292FC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7180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35B4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Mentofuranas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0794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1E85C2" w14:textId="77777777">
        <w:trPr>
          <w:trHeight w:val="15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1B75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63198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4-alil-1,2-dimetoksibenzenas, metileugenolis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993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AC9431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FE36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4EA4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Pulegonas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B9CC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3BC1F2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20E02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43A3D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Kvasinas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2268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8FD076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049B9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11FE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1-alil-3,4-metilendioksibenzenas, safrolas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1E86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1FD7CA2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11509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4E3CDF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 teukrinas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22CC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DC39B3A" w14:textId="77777777">
        <w:trPr>
          <w:trHeight w:val="16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A303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C0BB7E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Tujonas (alfa ir beta)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5AA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1ECC37A" w14:textId="77777777">
        <w:trPr>
          <w:trHeight w:val="629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6C3BA" w14:textId="64E121CD" w:rsidR="00255EB4" w:rsidRPr="00555190" w:rsidRDefault="00000000" w:rsidP="00555190">
            <w:pPr>
              <w:pStyle w:val="a0"/>
              <w:tabs>
                <w:tab w:val="left" w:pos="370"/>
              </w:tabs>
              <w:spacing w:line="264" w:lineRule="auto"/>
            </w:pPr>
            <w:r>
              <w:rPr>
                <w:rStyle w:val="a"/>
                <w:color w:val="000000"/>
              </w:rPr>
              <w:t xml:space="preserve">2.4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Medžiagos, kurias pagal </w:t>
            </w:r>
            <w:r>
              <w:rPr>
                <w:rStyle w:val="a"/>
                <w:color w:val="000000"/>
                <w:b/>
              </w:rPr>
              <w:t xml:space="preserve">MAK ir GPGB verčių sąrašą </w:t>
            </w:r>
            <w:r>
              <w:rPr>
                <w:rStyle w:val="a"/>
                <w:color w:val="000000"/>
              </w:rPr>
              <w:t xml:space="preserve">(paskelbtą Deutsche</w:t>
            </w:r>
          </w:p>
          <w:p w14:paraId="0E2FB79A" w14:textId="77777777" w:rsidR="00255EB4" w:rsidRPr="00555190" w:rsidRDefault="00000000" w:rsidP="00025909">
            <w:pPr>
              <w:pStyle w:val="a0"/>
              <w:spacing w:line="264" w:lineRule="auto"/>
              <w:ind w:left="370" w:right="397"/>
            </w:pPr>
            <w:r>
              <w:rPr>
                <w:rStyle w:val="a"/>
                <w:color w:val="000000"/>
              </w:rPr>
              <w:t xml:space="preserve">Forschungsgesellschaft (DFG) MAK komisija priskiria </w:t>
            </w:r>
            <w:r>
              <w:rPr>
                <w:rStyle w:val="a"/>
                <w:color w:val="000000"/>
                <w:b/>
              </w:rPr>
              <w:t xml:space="preserve">esminiams alergenams</w:t>
            </w:r>
            <w:r>
              <w:rPr>
                <w:rStyle w:val="a"/>
                <w:color w:val="000000"/>
              </w:rPr>
              <w:t xml:space="preserve"> („Sa“, „Sah“).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33A5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188E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3FEC6D3" w14:textId="77777777">
        <w:trPr>
          <w:trHeight w:val="25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1411D1" w14:textId="54F6F859" w:rsidR="00255EB4" w:rsidRPr="00555190" w:rsidRDefault="00000000" w:rsidP="00555190">
            <w:pPr>
              <w:pStyle w:val="a0"/>
              <w:tabs>
                <w:tab w:val="left" w:pos="384"/>
              </w:tabs>
            </w:pPr>
            <w:r>
              <w:rPr>
                <w:rStyle w:val="a"/>
                <w:color w:val="000000"/>
              </w:rPr>
              <w:t xml:space="preserve">2.5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Perdirbti komponentai, ekstraktai ir aliejai, gauti iš </w:t>
            </w:r>
            <w:r>
              <w:rPr>
                <w:rStyle w:val="a"/>
                <w:color w:val="000000"/>
                <w:b/>
              </w:rPr>
              <w:t xml:space="preserve">taškuotosios mėtos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FC21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8918" w14:textId="77777777" w:rsidR="00255EB4" w:rsidRPr="00555190" w:rsidRDefault="00000000">
            <w:pPr>
              <w:pStyle w:val="a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Taškuotosios mėtos sudėtyje yra pulegono, hepatotoksiškos medžiagos.</w:t>
            </w:r>
          </w:p>
          <w:p w14:paraId="69E58F96" w14:textId="77777777" w:rsidR="00555190" w:rsidRPr="00555190" w:rsidRDefault="00555190">
            <w:pPr>
              <w:pStyle w:val="a0"/>
              <w:rPr>
                <w:lang w:val="de-DE"/>
              </w:rPr>
            </w:pPr>
          </w:p>
          <w:p w14:paraId="06174B1E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Nuorodos:</w:t>
            </w:r>
          </w:p>
          <w:p w14:paraId="46A978DE" w14:textId="77777777" w:rsidR="00255EB4" w:rsidRPr="00025909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  <w:sz w:val="11"/>
              </w:rPr>
              <w:t xml:space="preserve">Europos maisto saugos tarnyba (2008).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Pulegonas ir mentofuranas kvapiosiose medžiagose. Maisto priedų, kvapiųjų medžiagų, perdirbimo medžiagų ir su maistu besiliečiančių medžiagų mokslinės grupės (AFC) nuomonė.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EFSA žurnalas 6(3):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298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1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https://doi.org/10.2903/j.efsa.2008.298</w:t>
              </w:r>
            </w:hyperlink>
          </w:p>
          <w:p w14:paraId="07C407B5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6DE5443D" w14:textId="77777777" w:rsidR="00555190" w:rsidRPr="00555190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Gordon Perry ir Khojasteh S. Cyrus (2015).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Dešimtmečius trukęs ūmaus metabolizmu grindžiamo augalinių sudedamųjų dalių toksinio poveikio kepenims tyrimas: taškuotosios mėtos aliejaus atvejo tyrimas.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Narkotikų metabolizmo apžvalgos 47(1):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12-20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</w:p>
          <w:p w14:paraId="6E8EB49D" w14:textId="06686487" w:rsidR="00255EB4" w:rsidRPr="00555190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10.3109/03602532.2014.990032.</w:t>
            </w:r>
          </w:p>
          <w:p w14:paraId="73B3CE50" w14:textId="77777777" w:rsidR="00255EB4" w:rsidRPr="00555190" w:rsidRDefault="00255EB4">
            <w:pPr>
              <w:pStyle w:val="a0"/>
              <w:spacing w:line="257" w:lineRule="auto"/>
              <w:rPr>
                <w:sz w:val="11"/>
                <w:szCs w:val="11"/>
              </w:rPr>
            </w:pPr>
            <w:hyperlink r:id="rId12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https://doi.org/10.3109/03602532.2014.990032</w:t>
              </w:r>
            </w:hyperlink>
          </w:p>
        </w:tc>
      </w:tr>
    </w:tbl>
    <w:p w14:paraId="701E7EE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075"/>
      </w:tblGrid>
      <w:tr w:rsidR="00255EB4" w:rsidRPr="00555190" w14:paraId="77A19341" w14:textId="77777777">
        <w:trPr>
          <w:trHeight w:val="17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7D749" w14:textId="0F77D704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2.6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Aliejingos ir (arba) žaliavinės medžiagos, pvz., sočiosios arba nesočiosios laisvosios riebalų rūgštys ir jų dariniai;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alkanai, alkenai ir alkinai, kurių anglies grandinės ilgis yra 12 ar daugiau;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mono-, di- ir trigliceridai;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vaškai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0AE42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MCT (vidutinės grandinės trigliceridai)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FCE29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Lipidų (riebiųjų ir (arba) aliejingų medžiagų) įkvėpimas ar aspiracija laikoma pagrindine egzogeninės lipidų pneumonijos (lėtinės pneumonijos) vystymosi priežastimi.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Egzogeninę lipidų pneumoniją gali sukelti mineralinės alyvos, taip pat gyvūninės ir augalinės kilmės aliejingos ir (arba) riebiosios medžiagos.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Kadangi moksliniuose paaiškinimuose visada nurodomi aliejai ir riebalai arba apskritai aliejingos ir riebiosios medžiagos, neigiamą poveikį sveikatai turėtų lemti aliejinės ir (arba) riebumo savybės, o ne konkreti medžiagos sudėtis (Hadda ir Khilnani (2010), M. Schwaiblmair ir kt. (2010), Nguyen ir Oh (2013).</w:t>
            </w:r>
          </w:p>
          <w:p w14:paraId="731C84BB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33F4EFDC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Nuorodos:</w:t>
            </w:r>
          </w:p>
          <w:p w14:paraId="56A29327" w14:textId="77777777" w:rsidR="00255EB4" w:rsidRPr="00025909" w:rsidRDefault="00000000">
            <w:pPr>
              <w:pStyle w:val="a0"/>
              <w:spacing w:line="262" w:lineRule="auto"/>
            </w:pPr>
            <w:r>
              <w:rPr>
                <w:rStyle w:val="a"/>
                <w:color w:val="000000"/>
                <w:sz w:val="11"/>
              </w:rPr>
              <w:t xml:space="preserve">Hadda Vijay ir Khilnani Gopi C. (2010).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Lipoidinė pneumonija: apžvalga.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„Expert Review of Respiratory Medicine“ 4(6):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799-807</w:t>
            </w:r>
            <w:hyperlink r:id="rId13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 https://doi.org/10.1586/ers.10.74</w:t>
              </w:r>
            </w:hyperlink>
          </w:p>
          <w:p w14:paraId="77568942" w14:textId="77777777" w:rsidR="00555190" w:rsidRPr="00025909" w:rsidRDefault="00555190">
            <w:pPr>
              <w:pStyle w:val="a0"/>
              <w:spacing w:line="262" w:lineRule="auto"/>
              <w:rPr>
                <w:sz w:val="11"/>
                <w:szCs w:val="11"/>
              </w:rPr>
            </w:pPr>
          </w:p>
          <w:p w14:paraId="3E0DE9A7" w14:textId="77777777" w:rsid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Nguyen Christopher D ir Oh Scott S (2013).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Egzogeninės lipoidinės pneumonijos atvejis.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„Respiratory Care“ 58(3): e23–e27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10.4187)respcare.01727.</w:t>
            </w:r>
          </w:p>
          <w:p w14:paraId="35F41CE7" w14:textId="2161BFF5" w:rsidR="00255EB4" w:rsidRPr="00025909" w:rsidRDefault="00255EB4">
            <w:pPr>
              <w:pStyle w:val="a0"/>
              <w:spacing w:line="257" w:lineRule="auto"/>
            </w:pPr>
            <w:hyperlink r:id="rId14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https://rc.rcjournal.com/content/respcare/58/3/e23.full.pdf</w:t>
              </w:r>
            </w:hyperlink>
          </w:p>
          <w:p w14:paraId="21DAE37F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  <w:lang w:val="it-IT"/>
              </w:rPr>
            </w:pPr>
          </w:p>
          <w:p w14:paraId="7105ACAC" w14:textId="77777777" w:rsidR="00255EB4" w:rsidRPr="00555190" w:rsidRDefault="00000000">
            <w:pPr>
              <w:pStyle w:val="a0"/>
              <w:spacing w:line="262" w:lineRule="auto"/>
            </w:pPr>
            <w:r>
              <w:rPr>
                <w:rStyle w:val="a"/>
                <w:color w:val="000000"/>
                <w:sz w:val="11"/>
              </w:rPr>
              <w:t xml:space="preserve">M. Schwaiblmair ir kt. (2010).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Lipidinė pneumonija – nepakankamai įvertintas sindromas?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Dtsch Med Wochenschr (2010);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135(1/02):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27-31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10.1055/s– 0029-1244813.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5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https://www.thieme-connect.com/products/ejournals/abstract/10.1055/s-0029-1244813</w:t>
              </w:r>
            </w:hyperlink>
          </w:p>
          <w:p w14:paraId="3A027EA0" w14:textId="77777777" w:rsidR="00555190" w:rsidRPr="00555190" w:rsidRDefault="00555190">
            <w:pPr>
              <w:pStyle w:val="a0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01BE2BC3" w14:textId="77777777" w:rsidR="00255EB4" w:rsidRPr="00555190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Lee Jin Seong ir kt. (1998).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Skvaleno aspiracinė pneumonija: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Plonas pjūvis KT ir histopatologiniai duomenys1. jkrs 38(3):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453-458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10.3348/jkrs.1998.38.3.453.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6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http://dx.doi.org/10.3348/jkrs.1998.38.3.453</w:t>
              </w:r>
            </w:hyperlink>
          </w:p>
        </w:tc>
      </w:tr>
      <w:tr w:rsidR="00255EB4" w:rsidRPr="00555190" w14:paraId="60353643" w14:textId="77777777">
        <w:trPr>
          <w:trHeight w:val="20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9B266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CABF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Skvalanas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DC9D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1C9F074" w14:textId="77777777">
        <w:trPr>
          <w:trHeight w:val="206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6F9D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B212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Skvalenas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4B3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A2B464" w14:textId="77777777">
        <w:trPr>
          <w:trHeight w:val="4229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1A73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5608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53EA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BE6592" w14:textId="77777777">
        <w:trPr>
          <w:trHeight w:val="173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F1AB3" w14:textId="1D7B83D3" w:rsidR="00255EB4" w:rsidRPr="00555190" w:rsidRDefault="00000000" w:rsidP="00555190">
            <w:pPr>
              <w:pStyle w:val="a0"/>
              <w:tabs>
                <w:tab w:val="left" w:pos="376"/>
              </w:tabs>
            </w:pPr>
            <w:r>
              <w:rPr>
                <w:rStyle w:val="a"/>
                <w:color w:val="000000"/>
              </w:rPr>
              <w:t xml:space="preserve">2.7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Kanifolija, derva arba dervos rūgštys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E00B9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Abieto rūgštis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A3D8E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Dervos dūmai klasifikuojami kaip kvėpavimo takus jautrinančios medžiagos ir galimi astmos sukėlėjai.</w:t>
            </w:r>
          </w:p>
          <w:p w14:paraId="53F9493D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21886148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Nuorodos:</w:t>
            </w:r>
          </w:p>
          <w:p w14:paraId="0808C1D4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HSE Sveikatos ir saugos vykdomoji agentūra (2001).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Astmagenas?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Įrodymų, susijusių su profesine astma, veiksnių kritinis vertinimas.</w:t>
            </w:r>
          </w:p>
          <w:p w14:paraId="53009E1B" w14:textId="77777777" w:rsidR="00255EB4" w:rsidRPr="00025909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17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https://www.hse.gov.uk/asthma/asthmagen.pdf</w:t>
              </w:r>
            </w:hyperlink>
          </w:p>
        </w:tc>
      </w:tr>
      <w:tr w:rsidR="00255EB4" w:rsidRPr="00555190" w14:paraId="4245D0C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4B843A" w14:textId="77777777" w:rsidR="00255EB4" w:rsidRPr="00025909" w:rsidRDefault="00255EB4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1C9E6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Pimaro rūgštis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4CC1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B3740DB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6BD3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75511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Izopimaro rūgštis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52AC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DD2DD3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BFD13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CB46D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Palustro rūgštis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A521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810C8B" w14:textId="77777777">
        <w:trPr>
          <w:trHeight w:val="504"/>
        </w:trPr>
        <w:tc>
          <w:tcPr>
            <w:tcW w:w="75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33EB3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2943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Levopimaro rūgštis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AF0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56CAF85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3"/>
        <w:gridCol w:w="2674"/>
        <w:gridCol w:w="4090"/>
      </w:tblGrid>
      <w:tr w:rsidR="00255EB4" w:rsidRPr="00555190" w14:paraId="5BD038D0" w14:textId="77777777">
        <w:trPr>
          <w:trHeight w:val="233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675F4" w14:textId="267D0740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2.8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Vitamino E acetatas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7E2A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E6E9E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Vitamino E acetatas yra glaudžiai susijęs su 2019 m. EVALI (elektroninių cigarečių arba garinimo gaminių naudojimo, siejamo su plaučių pažeidimu) protrūkiu Jungtinėse Amerikos Valstijose.</w:t>
            </w:r>
          </w:p>
          <w:p w14:paraId="556BD566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7C367059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Nuorodos:</w:t>
            </w:r>
          </w:p>
          <w:p w14:paraId="4D71233E" w14:textId="77777777" w:rsid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CDC (Ligų kontrolės ir prevencijos centrai):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Plaučių pažeidimo protrūkis, susijęs su elektroninių cigarečių arba garinimo gaminių naudojimu</w:t>
            </w:r>
          </w:p>
          <w:p w14:paraId="4F80F513" w14:textId="6C8F3856" w:rsidR="00255EB4" w:rsidRP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(</w:t>
            </w:r>
            <w:hyperlink r:id="rId18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https://www.cdc.gov/tobacco/basic_information/e-cigarettes/severe-lung-disease.html</w:t>
              </w:r>
            </w:hyperlink>
            <w:r>
              <w:rPr>
                <w:rStyle w:val="a"/>
                <w:color w:val="000000"/>
                <w:sz w:val="11"/>
              </w:rPr>
              <w:t xml:space="preserve">)</w:t>
            </w:r>
          </w:p>
          <w:p w14:paraId="3AA3B6C3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2146C5BA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Blount Benjamin C. ir kt. (2019).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Vitamino E acetatas bronchoalveoliniame lavažo skystyje, susijęs su EVALI.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„New England Journal of Medicine“ 382(8):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697-705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331C32A8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  <w:u w:val="single"/>
              </w:rPr>
              <w:t xml:space="preserve">10.1056/NEJMoa1916433.</w:t>
            </w:r>
            <w:hyperlink r:id="rId19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https://www.nejm.org/doi/full/10.1056/NEJMoa191643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 3</w:t>
            </w:r>
          </w:p>
        </w:tc>
      </w:tr>
      <w:tr w:rsidR="00255EB4" w:rsidRPr="00025909" w14:paraId="60A243F4" w14:textId="77777777">
        <w:trPr>
          <w:trHeight w:val="154"/>
        </w:trPr>
        <w:tc>
          <w:tcPr>
            <w:tcW w:w="7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05EF9" w14:textId="258BF4AC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2.9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Diacetilas ir tam tikri struktūriniai analogai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E8676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Diacetilas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29D72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Diacetilas ir 2,3-pentadionas įkvėpus gali sukelti sunkų uždegimą ir kvėpavimo takų ligas.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Kaip atsargumo priemonę rekomenduojama išplėsti draudimą įtraukiant struktūrinius analogus 2,3-heksadioną ir 2,3-heptadioną.</w:t>
            </w:r>
          </w:p>
          <w:p w14:paraId="669F3BF0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0AEF1AE0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Nuorodos:</w:t>
            </w:r>
          </w:p>
          <w:p w14:paraId="11E6AB8A" w14:textId="77777777" w:rsidR="00255EB4" w:rsidRP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MAK komisija (2015) „Diacetyl [MAK vertė, dokumentacija vokiečių kalba, 2015]“.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Darbuotojų sveikatos ir saugos MAK rinkinys, 1-42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20" w:history="1">
              <w:r>
                <w:rPr>
                  <w:rStyle w:val="a"/>
                  <w:color w:val="000000"/>
                  <w:sz w:val="11"/>
                </w:rPr>
                <w:t xml:space="preserve">https://doi.org/10.1002/3527600418.mb43103d0058</w:t>
              </w:r>
            </w:hyperlink>
            <w:r>
              <w:rPr>
                <w:rStyle w:val="a"/>
                <w:color w:val="000000"/>
                <w:sz w:val="11"/>
              </w:rPr>
              <w:t xml:space="preserve">.</w:t>
            </w:r>
          </w:p>
          <w:p w14:paraId="63DC81C3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594F8E65" w14:textId="77777777" w:rsidR="00255EB4" w:rsidRPr="00025909" w:rsidRDefault="00000000">
            <w:pPr>
              <w:pStyle w:val="a0"/>
              <w:spacing w:line="262" w:lineRule="auto"/>
              <w:rPr>
                <w:rStyle w:val="a"/>
                <w:color w:val="000000"/>
                <w:sz w:val="11"/>
                <w:szCs w:val="11"/>
                <w:u w:val="single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(2017) „2,3-Pentandion [MAK vertė, dokumentacija vokiečių kalba, 2017].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’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Darbuotojų sveikatos ir saugos MAK rinkinys, 135160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21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https://doi.org/10.1002/3527600418.mb60014d0062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.</w:t>
            </w:r>
          </w:p>
          <w:p w14:paraId="2C84E059" w14:textId="77777777" w:rsidR="00555190" w:rsidRPr="00025909" w:rsidRDefault="00555190">
            <w:pPr>
              <w:pStyle w:val="a0"/>
              <w:spacing w:line="262" w:lineRule="auto"/>
              <w:rPr>
                <w:sz w:val="11"/>
                <w:szCs w:val="11"/>
              </w:rPr>
            </w:pPr>
          </w:p>
          <w:p w14:paraId="5C169A8C" w14:textId="77777777" w:rsidR="00255EB4" w:rsidRPr="00555190" w:rsidRDefault="00000000">
            <w:pPr>
              <w:pStyle w:val="a0"/>
              <w:spacing w:line="262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BfR (Vokietijos federalinis rizikos vertinimo institutas) (2015).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Tabako gaminių ir elektroninių cigarečių priedų poveikio sveikatai vertinimas.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(vokiečių k.: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„Gesundheitliche Bewertung von Zusatzstoffen für Tabakerzeugnisse und elektronische Zigaretten.“)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2015 m. liepos 30 d. BfR nuomonė Nr. 045/2015.</w:t>
            </w:r>
          </w:p>
          <w:p w14:paraId="012EDEE8" w14:textId="77777777" w:rsidR="00555190" w:rsidRPr="00555190" w:rsidRDefault="00555190">
            <w:pPr>
              <w:pStyle w:val="a0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6A33CF3D" w14:textId="77777777" w:rsidR="00255EB4" w:rsidRPr="00555190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22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https://www.bfr.bund.de/cm/343/gesundheitliche-bewertung-von-zusatzstoffen-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fuer-tabakerzeugnisse-und-elektronische-zigaretten.pdf</w:t>
            </w:r>
          </w:p>
        </w:tc>
      </w:tr>
      <w:tr w:rsidR="00255EB4" w:rsidRPr="00555190" w14:paraId="736A2820" w14:textId="77777777">
        <w:trPr>
          <w:trHeight w:val="206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5DDF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F0AC3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2,3-pentadionas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B73E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0D387A5" w14:textId="77777777">
        <w:trPr>
          <w:trHeight w:val="211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92513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2223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2,3-heksadionas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8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AAD57D" w14:textId="77777777">
        <w:trPr>
          <w:trHeight w:val="2434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0798DD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01A8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2,3-heptadionas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7328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39561E" w14:textId="77777777">
        <w:trPr>
          <w:trHeight w:val="149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CCF1D4" w14:textId="05363CD6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2,10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Karčiųjų migdolų aliejus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63A0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89CA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Karčiųjų migdolų aliejuje natūraliai gali būti vandenilio cianido.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Vandenilio cianidas yra stiprus nuodas, galintis paralyžiuoti centrinę kvėpavimo sistemą.</w:t>
            </w:r>
          </w:p>
          <w:p w14:paraId="30573D90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74CED828" w14:textId="77777777" w:rsidR="00255EB4" w:rsidRPr="00555190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Nuorodos:</w:t>
            </w:r>
          </w:p>
          <w:p w14:paraId="3E476533" w14:textId="77777777" w:rsidR="00255EB4" w:rsidRPr="00555190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MAK komisija (2001).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Vandenilio cianidas, kalio ir natrio cianidas [MAK vertė</w:t>
            </w:r>
          </w:p>
          <w:p w14:paraId="54023A4E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Dokumentacija vokiečių kalba, 2001].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Darbuotojų sveikatos ir saugos</w:t>
            </w:r>
          </w:p>
          <w:p w14:paraId="7483A7F0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MAK rinkinys: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1-19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79CE87B6" w14:textId="77777777" w:rsidR="00255EB4" w:rsidRPr="00025909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23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https://doi.org/10.1002/3527600418.mb7490verd0032.https://onlinelibrary.wiley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 . com/doi/abs/10.1002/3527600418. mb7490verd0032</w:t>
            </w:r>
          </w:p>
        </w:tc>
      </w:tr>
    </w:tbl>
    <w:p w14:paraId="49A98042" w14:textId="77777777" w:rsidR="00255EB4" w:rsidRPr="00025909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6485"/>
        <w:gridCol w:w="3561"/>
        <w:gridCol w:w="3692"/>
      </w:tblGrid>
      <w:tr w:rsidR="00255EB4" w:rsidRPr="00555190" w14:paraId="4DC47012" w14:textId="77777777" w:rsidTr="00025909">
        <w:trPr>
          <w:trHeight w:val="485"/>
        </w:trPr>
        <w:tc>
          <w:tcPr>
            <w:tcW w:w="14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6AA4923" w14:textId="77777777" w:rsidR="00255EB4" w:rsidRPr="00555190" w:rsidRDefault="00000000">
            <w:pPr>
              <w:pStyle w:val="a0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"/>
                <w:b/>
                <w:color w:val="FFFFFF"/>
                <w:sz w:val="17"/>
                <w:u w:val="single"/>
              </w:rPr>
              <w:t xml:space="preserve">Draudžiamos tabako gaminių sudedamosios dalys</w:t>
            </w:r>
          </w:p>
        </w:tc>
      </w:tr>
      <w:tr w:rsidR="00555190" w:rsidRPr="00025909" w14:paraId="309C2D5C" w14:textId="77777777" w:rsidTr="00025909">
        <w:trPr>
          <w:trHeight w:val="216"/>
        </w:trPr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40C50C3" w14:textId="77777777" w:rsidR="00555190" w:rsidRPr="00555190" w:rsidRDefault="0055519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Medžiagų kategorijos, įskaitant draudimo teisinį pagrindą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A9E68A6" w14:textId="566EA66D" w:rsidR="00555190" w:rsidRPr="00555190" w:rsidRDefault="00555190">
            <w:pPr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6"/>
              </w:rPr>
              <w:t xml:space="preserve">Pavyzdžiai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A217542" w14:textId="77777777" w:rsidR="00555190" w:rsidRPr="00555190" w:rsidRDefault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Tolesnis draudimo pagrindimas</w:t>
            </w:r>
          </w:p>
        </w:tc>
      </w:tr>
      <w:tr w:rsidR="00255EB4" w:rsidRPr="00555190" w14:paraId="6C1BBE6F" w14:textId="77777777" w:rsidTr="00025909">
        <w:trPr>
          <w:trHeight w:val="51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7284E7BA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1.</w:t>
            </w:r>
          </w:p>
        </w:tc>
        <w:tc>
          <w:tcPr>
            <w:tcW w:w="13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FBACB72" w14:textId="77777777" w:rsidR="00255EB4" w:rsidRPr="00555190" w:rsidRDefault="00000000" w:rsidP="00555190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Vitaminai arba kiti priedai, kurie sudaro įspūdį, kad tabako gaminys yra naudingas sveikatai arba kad jis kelia mažesnį pavojų sveikatai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(TNRSG 8b straipsnio 2 dalies 1 punktas)</w:t>
            </w:r>
          </w:p>
        </w:tc>
      </w:tr>
      <w:tr w:rsidR="00255EB4" w:rsidRPr="00025909" w14:paraId="46A0E861" w14:textId="77777777" w:rsidTr="00025909">
        <w:trPr>
          <w:trHeight w:val="4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5A96C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1.1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21933C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Vitaminai, išvardyti Reglamento (ES) Nr. 609/2013 su pakeitimais priede „Sąjungos sąrašas“, pagal to reglamento 15 straipsnį.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A608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0A8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613F215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FB233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1.2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6403A6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Aminorūgštys ir jų dariniai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CEF3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0F6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374D59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3ADAC9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1.3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E80B9E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Analgetikai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2618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423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1033C79" w14:textId="77777777">
        <w:trPr>
          <w:trHeight w:val="54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EFF71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1.4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4BA4DB0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Kanapių augalo</w:t>
            </w:r>
            <w:r>
              <w:rPr>
                <w:rStyle w:val="a"/>
                <w:color w:val="000000"/>
                <w:sz w:val="14"/>
              </w:rPr>
              <w:t xml:space="preserve"> komponentai, įskaitant perdirbtus komponentus, ekstraktus ir aliejus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341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8F45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EBE7F81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33B9A2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1.5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65673A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Kanabinoidai (natūralios arba sintetinės kilmės)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35DAB6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Kanabidiolis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44C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8C7BC2C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D2E57B3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65E72DB7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D1AE7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E845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0AAFFAC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18AB12A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0BB4F2F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D9770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7D67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D2F9344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1F5A07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1.6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CD91A4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Hormonai ir į hormonus panašios medžiagos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904E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Melatoninas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E5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FD7AE94" w14:textId="77777777">
        <w:trPr>
          <w:trHeight w:val="17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316D7F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1.7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429128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Flavonoidai ir fosfolipidai, turintys antioksidacinį poveikį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C7743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Naringinas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1C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07EE9E2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12FE6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1.8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A72CA6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Kiti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8A89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Cholinas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840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94437CB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FDF68A0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8BDC70C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89FA3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Cholino chloridas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FF3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988C25E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91D61EE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742B2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B11F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Cholino hidroksidas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E18C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1C45D7A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E9535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D283BA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845A7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Cholino citratas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066C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82E158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542E218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1E885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4B684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Cholino tartratas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CF2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C4DEDD2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AFC9EA7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85F58D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E0FB3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Betainas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23A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78DB8A6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4A94A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D91BB7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D070C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S-adenozilmetioninas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392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AB29715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2F1A2A1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AF8CA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839CD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L-5-hidroksitriptofanas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5EAE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4AC01BD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305AECA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2B367FF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D8F04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Karnitinas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634F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B72463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5CB871B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C0AC9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9C5E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L-karnitinas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8E4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E09F343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6BFBE37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95370F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21172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L-karnitino hidrochloridas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338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9426D6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EC60F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F404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C0B6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L-karnitino L-tartratas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4D7A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7AE8625" w14:textId="77777777">
        <w:trPr>
          <w:trHeight w:val="197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46BB75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364B9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6E95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Natrio selenitas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B2B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88EDD5" w14:textId="77777777" w:rsidTr="00025909">
        <w:trPr>
          <w:trHeight w:val="28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808080"/>
            <w:vAlign w:val="center"/>
          </w:tcPr>
          <w:p w14:paraId="7D5D22B6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2.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909A842" w14:textId="77777777" w:rsidR="00255EB4" w:rsidRPr="002B5C56" w:rsidRDefault="00000000" w:rsidP="002B5C56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Kofeinas ar taurinas arba kiti priedai ir stimuliuojantys junginiai, susiję su energija ir gyvybingumu (TNRSG 8b straipsnio 2 dalies 2 punktas)</w:t>
            </w:r>
          </w:p>
        </w:tc>
      </w:tr>
      <w:tr w:rsidR="00255EB4" w:rsidRPr="00555190" w14:paraId="641D2DDA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A18AF9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015EC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95DAAE1" w14:textId="77777777" w:rsidTr="00025909">
        <w:trPr>
          <w:trHeight w:val="3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4ECDF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2.1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B004F8" w14:textId="77777777" w:rsidR="00255EB4" w:rsidRPr="00555190" w:rsidRDefault="00000000">
            <w:pPr>
              <w:pStyle w:val="a0"/>
              <w:spacing w:line="252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Kavamedžio</w:t>
            </w:r>
            <w:r>
              <w:rPr>
                <w:rStyle w:val="a"/>
                <w:color w:val="000000"/>
                <w:sz w:val="14"/>
              </w:rPr>
              <w:t xml:space="preserve"> ir </w:t>
            </w:r>
            <w:r>
              <w:rPr>
                <w:rStyle w:val="a"/>
                <w:color w:val="000000"/>
                <w:sz w:val="14"/>
                <w:b/>
              </w:rPr>
              <w:t xml:space="preserve">kavos pupelių</w:t>
            </w:r>
            <w:r>
              <w:rPr>
                <w:rStyle w:val="a"/>
                <w:color w:val="000000"/>
                <w:sz w:val="14"/>
              </w:rPr>
              <w:t xml:space="preserve"> komponentai, įskaitant perdirbtus komponentus, ekstraktus ir aliejus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B9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CEA1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7C4A3C6E" w14:textId="77777777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165DD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2.2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E5D86E1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Arbatmedžio </w:t>
            </w:r>
            <w:r>
              <w:rPr>
                <w:rStyle w:val="a"/>
                <w:color w:val="000000"/>
                <w:sz w:val="14"/>
              </w:rPr>
              <w:t xml:space="preserve">Camellia sinensis (L.) Kuntze komponentai, įskaitant perdirbtus komponentus, ekstraktus ir aliejus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C5D6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7EF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A55B80B" w14:textId="77777777" w:rsidTr="002B5C56">
        <w:trPr>
          <w:trHeight w:val="2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D3415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2.3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C3E7A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Guaraninės paulinijos</w:t>
            </w:r>
            <w:r>
              <w:rPr>
                <w:rStyle w:val="a"/>
                <w:color w:val="000000"/>
                <w:sz w:val="14"/>
              </w:rPr>
              <w:t xml:space="preserve"> komponentai, įskaitant perdirbtus komponentus, ekstraktus ir aliejus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B3D0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0E82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25DD7E1" w14:textId="77777777" w:rsidTr="002B5C56">
        <w:trPr>
          <w:trHeight w:val="28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23C1C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2.4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048EE4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Paragvajinio bugienio</w:t>
            </w:r>
            <w:r>
              <w:rPr>
                <w:rStyle w:val="a"/>
                <w:color w:val="000000"/>
                <w:sz w:val="14"/>
              </w:rPr>
              <w:t xml:space="preserve"> komponentai, įskaitant perdirbtus komponentus, ekstraktus ir aliejus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9765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E37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A352A29" w14:textId="77777777">
        <w:trPr>
          <w:trHeight w:val="3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FBABC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2.5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431BC2FF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Kolamedžio</w:t>
            </w:r>
            <w:r>
              <w:rPr>
                <w:rStyle w:val="a"/>
                <w:color w:val="000000"/>
                <w:sz w:val="14"/>
              </w:rPr>
              <w:t xml:space="preserve"> arba </w:t>
            </w:r>
            <w:r>
              <w:rPr>
                <w:rStyle w:val="a"/>
                <w:color w:val="000000"/>
                <w:sz w:val="14"/>
                <w:b/>
              </w:rPr>
              <w:t xml:space="preserve">kolamedžio riešuto</w:t>
            </w:r>
            <w:r>
              <w:rPr>
                <w:rStyle w:val="a"/>
                <w:color w:val="000000"/>
                <w:sz w:val="14"/>
              </w:rPr>
              <w:t xml:space="preserve"> komponentai, įskaitant perdirbtus komponentus, ekstraktus ir aliejus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47E7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550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D2FF316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F1F9E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2.6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78CB721" w14:textId="77777777" w:rsidR="00255EB4" w:rsidRPr="00555190" w:rsidRDefault="00000000" w:rsidP="00025909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Kiti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A58C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Maltodekstrinas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DE5A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5E58658" w14:textId="77777777" w:rsidTr="00025909">
        <w:trPr>
          <w:trHeight w:val="182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8D6E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tcBorders>
              <w:bottom w:val="single" w:sz="4" w:space="0" w:color="auto"/>
            </w:tcBorders>
            <w:shd w:val="clear" w:color="auto" w:fill="auto"/>
          </w:tcPr>
          <w:p w14:paraId="23D156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9F0D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Inozitolis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58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8E90544" w14:textId="77777777" w:rsidTr="00025909">
        <w:trPr>
          <w:trHeight w:val="264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415F9F3B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3.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C6C7C4B" w14:textId="77777777" w:rsidR="00255EB4" w:rsidRPr="002B5C56" w:rsidRDefault="00000000">
            <w:pPr>
              <w:pStyle w:val="a0"/>
              <w:shd w:val="clear" w:color="auto" w:fill="808080"/>
              <w:ind w:firstLine="36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Priedai, nudažantys išsiskiriančias medžiagas.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(TNRSG 8b straipsnio 2 dalies 3 punktas)</w:t>
            </w:r>
          </w:p>
        </w:tc>
      </w:tr>
      <w:tr w:rsidR="00255EB4" w:rsidRPr="00555190" w14:paraId="68A16A54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E7BC82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DB9B6A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1378F8CD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68"/>
        <w:gridCol w:w="3802"/>
        <w:gridCol w:w="3240"/>
        <w:gridCol w:w="3374"/>
      </w:tblGrid>
      <w:tr w:rsidR="00255EB4" w:rsidRPr="00025909" w14:paraId="558500D0" w14:textId="77777777" w:rsidTr="0033216F">
        <w:trPr>
          <w:trHeight w:val="14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2ED939C" w14:textId="77777777" w:rsidR="00255EB4" w:rsidRPr="00555190" w:rsidRDefault="00000000">
            <w:pPr>
              <w:pStyle w:val="a0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4.</w:t>
            </w:r>
          </w:p>
        </w:tc>
        <w:tc>
          <w:tcPr>
            <w:tcW w:w="1238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F4497EC" w14:textId="77777777" w:rsidR="00255EB4" w:rsidRPr="002B5C56" w:rsidRDefault="00000000">
            <w:pPr>
              <w:pStyle w:val="a0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Priedai, palengvinantys tabako gaminių įkvėpimą arba nikotino įsisavinimą (TNRSG 8b straipsnio 2 dalies 4 punktas)</w:t>
            </w:r>
          </w:p>
        </w:tc>
      </w:tr>
      <w:tr w:rsidR="00255EB4" w:rsidRPr="00025909" w14:paraId="1DCC306B" w14:textId="77777777" w:rsidTr="0033216F">
        <w:trPr>
          <w:trHeight w:val="276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A7D21B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23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D83A13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DC72AC" w14:textId="77777777" w:rsidTr="0033216F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A3B42" w14:textId="77777777" w:rsidR="00255EB4" w:rsidRPr="00555190" w:rsidRDefault="00000000">
            <w:pPr>
              <w:pStyle w:val="a0"/>
              <w:ind w:firstLine="36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4.1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02A45" w14:textId="77777777" w:rsidR="00255EB4" w:rsidRPr="00025909" w:rsidRDefault="00000000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Mentolis ir jo analogai, TRPM-8 agonistai, „aušinimo junginiai“, „sintetiniai aušalai“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263F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p-mentan-3 pakaitiniai ir modifikuoti junginiai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2F9B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1BCDD" w14:textId="77777777" w:rsidR="00255EB4" w:rsidRDefault="00000000">
            <w:pPr>
              <w:pStyle w:val="a0"/>
              <w:spacing w:line="276" w:lineRule="auto"/>
              <w:rPr>
                <w:rStyle w:val="a"/>
                <w:color w:val="000000"/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Visos medžiagos ar mišiniai, turintys šaldomąjį ar analgetinį poveikį, laikomi medžiagomis, palengvinančiomis įkvėpimą.</w:t>
            </w:r>
          </w:p>
          <w:p w14:paraId="5C350D88" w14:textId="77777777" w:rsidR="002B5C56" w:rsidRPr="00555190" w:rsidRDefault="002B5C56">
            <w:pPr>
              <w:pStyle w:val="a0"/>
              <w:spacing w:line="276" w:lineRule="auto"/>
              <w:rPr>
                <w:sz w:val="12"/>
                <w:szCs w:val="12"/>
                <w:lang w:val="de-DE"/>
              </w:rPr>
            </w:pPr>
          </w:p>
          <w:p w14:paraId="363741A7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Nuorodos:</w:t>
            </w:r>
          </w:p>
          <w:p w14:paraId="00DE7592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9-osios darbo grupės bendrieji veiksmai dėl tabako kontrolės: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D9.3 Ataskaita apie pagerintos informacijos dėl prioritetinių priedų tarpusavio vertinimą.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RIVM, BfR, ANSES, NIPH, ISS ir 9-osios darbo grupės nepriklausoma peržiūros grupė</w:t>
            </w:r>
          </w:p>
          <w:p w14:paraId="7151039B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Data: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3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2020 m. gruodžio mėn.</w:t>
            </w:r>
          </w:p>
          <w:p w14:paraId="4C043989" w14:textId="77777777" w:rsidR="00255EB4" w:rsidRPr="00025909" w:rsidRDefault="00000000">
            <w:pPr>
              <w:pStyle w:val="a0"/>
              <w:spacing w:line="271" w:lineRule="auto"/>
              <w:rPr>
                <w:rStyle w:val="a"/>
                <w:color w:val="000000"/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Dok. nuor. Nr.: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D9.3</w:t>
            </w:r>
          </w:p>
          <w:p w14:paraId="296CD813" w14:textId="77777777" w:rsidR="002B5C56" w:rsidRPr="00025909" w:rsidRDefault="002B5C56">
            <w:pPr>
              <w:pStyle w:val="a0"/>
              <w:spacing w:line="271" w:lineRule="auto"/>
              <w:rPr>
                <w:sz w:val="10"/>
                <w:szCs w:val="10"/>
              </w:rPr>
            </w:pPr>
          </w:p>
          <w:p w14:paraId="59201542" w14:textId="77777777" w:rsidR="00255EB4" w:rsidRPr="00025909" w:rsidRDefault="00255EB4">
            <w:pPr>
              <w:pStyle w:val="a0"/>
              <w:spacing w:line="266" w:lineRule="auto"/>
              <w:rPr>
                <w:sz w:val="10"/>
                <w:szCs w:val="10"/>
              </w:rPr>
            </w:pPr>
            <w:hyperlink r:id="rId24" w:history="1">
              <w:r>
                <w:rPr>
                  <w:rStyle w:val="a"/>
                  <w:color w:val="000000"/>
                  <w:sz w:val="10"/>
                  <w:u w:val="single"/>
                </w:rPr>
                <w:t xml:space="preserve">https://jaotc.eu/wp-content/uploads/2021/04/D9.3-Report-on-the-peer-review-of-the-enhanced-reporting-information-on-priority-additives.pdf</w:t>
              </w:r>
            </w:hyperlink>
          </w:p>
        </w:tc>
      </w:tr>
      <w:tr w:rsidR="00255EB4" w:rsidRPr="00555190" w14:paraId="1372039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280754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DE8FF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0636B" w14:textId="77777777" w:rsidR="00255EB4" w:rsidRPr="00025909" w:rsidRDefault="00000000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p-mentan-3-karboksamidas, įskaitant p-mentan-3-N-alkilkarboksamidą ir p-mentan-3-N-arilkarboksamidą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82BF1C" w14:textId="77777777" w:rsidR="00255EB4" w:rsidRPr="00025909" w:rsidRDefault="00255EB4"/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A7AB3" w14:textId="77777777" w:rsidR="00255EB4" w:rsidRPr="00025909" w:rsidRDefault="00255EB4"/>
        </w:tc>
      </w:tr>
      <w:tr w:rsidR="00255EB4" w:rsidRPr="00555190" w14:paraId="4C7A95A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00742D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759E4A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662B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p-mentan-3-esteris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45B4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E67A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07511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CC25C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D1EB4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CE90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p-mentan-3-eteris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C475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406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5464E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BE18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C659D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1DD5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p-mentan-3-karboksirūgštys ir jų esteriai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44D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296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DB61F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45F3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92EB4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989CB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Kiti p-mentan-3 pakaitiniai ir modifikuoti junginiai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07F9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14B6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0D7CB4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DDD2C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EC0BA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8742E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p-mentano alkoholiai ir jų esteriai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1E9E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A645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32B335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9D1C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67F5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8FC0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Pavyzdžiai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299FF0" w14:textId="77777777" w:rsidR="00255EB4" w:rsidRPr="00025909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N-etil-p-mentan-3-karboksamidas (WS-3)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99CA4" w14:textId="77777777" w:rsidR="00255EB4" w:rsidRPr="00025909" w:rsidRDefault="00255EB4"/>
        </w:tc>
      </w:tr>
      <w:tr w:rsidR="00255EB4" w:rsidRPr="00555190" w14:paraId="7AB86C0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5D82E0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727EEE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7C22BD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4D81EE" w14:textId="77777777" w:rsidR="00255EB4" w:rsidRPr="00025909" w:rsidRDefault="00000000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2-izopropil-5-metilcikloheksankarboksirūgšties (4-metoksifenil) amidas (WS-12)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E5610" w14:textId="77777777" w:rsidR="00255EB4" w:rsidRPr="00025909" w:rsidRDefault="00255EB4"/>
        </w:tc>
      </w:tr>
      <w:tr w:rsidR="00255EB4" w:rsidRPr="00025909" w14:paraId="7446709F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15BFBC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694BC4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8C6815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81CB38" w14:textId="77777777" w:rsidR="00255EB4" w:rsidRPr="00025909" w:rsidRDefault="00000000" w:rsidP="002B5C56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(1R,2S,5R)-N-((etoksikarbonil)metil)-p-mentan-3-karboksamidas (WS-5)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DD1CC" w14:textId="77777777" w:rsidR="00255EB4" w:rsidRPr="00025909" w:rsidRDefault="00255EB4">
            <w:pPr>
              <w:rPr>
                <w:lang w:val="pt-BR"/>
              </w:rPr>
            </w:pPr>
          </w:p>
        </w:tc>
      </w:tr>
      <w:tr w:rsidR="002B5C56" w:rsidRPr="002B5C56" w14:paraId="0415078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B8B15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F38044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8C9029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835E78" w14:textId="1B678DA9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N-tert-butil-p-mentan-3-karboksamidas (WS-14)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BF8D0" w14:textId="77777777" w:rsidR="002B5C56" w:rsidRPr="002B5C56" w:rsidRDefault="002B5C56" w:rsidP="002B5C56"/>
        </w:tc>
      </w:tr>
      <w:tr w:rsidR="002B5C56" w:rsidRPr="002B5C56" w14:paraId="309E6A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CE6F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A5E5AC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68CB68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50190A" w14:textId="58ED8BA2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2-izopropil-N,2,3-trimetilbutiramidas (WS-23)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80AE" w14:textId="77777777" w:rsidR="002B5C56" w:rsidRPr="002B5C56" w:rsidRDefault="002B5C56" w:rsidP="002B5C56"/>
        </w:tc>
      </w:tr>
      <w:tr w:rsidR="002B5C56" w:rsidRPr="002B5C56" w14:paraId="58BC38F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62E20D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86E10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733D8F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0D4808" w14:textId="33D7F321" w:rsidR="002B5C56" w:rsidRPr="002B5C56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N-(p-mentano-3-karbonil)-D-alanino etilo esteris (CPS- 369, WS-109)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10D68" w14:textId="77777777" w:rsidR="002B5C56" w:rsidRPr="002B5C56" w:rsidRDefault="002B5C56" w:rsidP="002B5C56"/>
        </w:tc>
      </w:tr>
      <w:tr w:rsidR="002B5C56" w:rsidRPr="00555190" w14:paraId="2B6553F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E1DC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E28CD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41A7F7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D56761" w14:textId="6D66691E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N-(4-fluorfenil)-p-mentan-3-karboksamidas (CPS- 124)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BB40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3645E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E3DD5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FDF1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0DAEC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6C330" w14:textId="42940EFA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CPS-125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AD97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17D75B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4C0E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E5B93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00783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1612C" w14:textId="77777777" w:rsidR="002B5C56" w:rsidRPr="00555190" w:rsidRDefault="002B5C56" w:rsidP="002B5C56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N-(4-etoksifenil)-p-mentan-3-karboksamidas (CPS- 128)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9CAF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CC1229D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91E9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B709B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FC14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AAA793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CPS-368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B73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615191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59C3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AAA66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BDAE2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CF02F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Mentillaktatas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237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34184E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701CA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0763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744D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1880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Mentoksipropan-1,2-diolis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CFFE3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2FE607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9458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F83D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12BB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C082F6" w14:textId="77777777" w:rsidR="002B5C56" w:rsidRPr="00555190" w:rsidRDefault="002B5C56" w:rsidP="002B5C56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2-izopropil-5-metilcikloheksankarboksirūgšties 2,3-dihidroksipropilo esteris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CE79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6F8DB9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C81E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463FA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05DEB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3EBB0C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Mentono 1,2-glicerolio ketalis (Frescolat MGA)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A92A7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914303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D48A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856B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1307C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1EA66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Monomentilsukcinatas (Frescolat ML)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284F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D43229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8A1C5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6F4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20138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9AAFF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Mentil-3-hidroksibutiratas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C480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29CC11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928E4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87BF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9054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FC5E5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Mentilacetatas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D135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759769D9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A91F5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245A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AE9B5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9F681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Mentolio etilenglikolio karbonatas (Frescolat MGC)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2788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7DB6F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C4A59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12549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434B6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019D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2,3-dihidroksipropil p-mentan-3-karboksilatas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B1C5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D99292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5A13E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BA5C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8A2D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BD5E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Cis-p-mentan-3,8-diolis (PMD38)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AE75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682F2E6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CC9A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4B539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D2348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A340F0" w14:textId="7BB590C9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Icilinas / aušalas AG-3-5 (3,4-dihidro-3-(2-hidroksifenil)-6-(3-nitrofenil)-(1H)-pirimidin-2-onas)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EFCA6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5F600E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13941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25D19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E6320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AC5EF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2-izopropil-N 2,3-trimetilbutiramidas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837E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196C2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8D38D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C98BC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45A0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FEF812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Izopulegolis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F742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17CDFA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A4D8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1076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AEBF4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EC0F22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1-(di-sec-butil-fosfinoil)-heptanas (W-148, CPS-148)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D623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150949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9CA1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F4F57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78F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662B1C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5-metil-4-(1-pirolidinil)-3-2H-furanonas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0B3D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BF830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60B83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874C7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8DB6F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B1090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Mentolis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54A8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DBF6BC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7103D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AD2D8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B7F5B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99836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(-)-Mentolis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134B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773018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96865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C714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836B9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C27649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(+)-Mentolis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0BB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87F115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0F148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94440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01D20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E30D1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Mentonas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A0E3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0E6175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C82E0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99FD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AE9E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ED91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(–)-Mentonas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3C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F8ADD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1AD07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BCD10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ABEB4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6E1F05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(+)-Mentonas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8D1F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A20872E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4A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B3FD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1FBE1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C3CE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L-karvonas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9BE9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3CA716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EEECF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069A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6A8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76336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Geraniolis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CD1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DFECD1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C77A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36D3E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6B178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72B079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Linalolis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8D34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30B460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0E09C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9AC46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6E8A5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D6E3D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1,8-cineolas (eukaliptolis)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AFD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282076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8A2DB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08C81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F0981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0832C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1,4-cineolas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0D68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B743543" w14:textId="77777777" w:rsidTr="00025909"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61D91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26B3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84D1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613E9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Hidroksicitronelalis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B6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</w:tbl>
    <w:p w14:paraId="642C470B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160"/>
        <w:gridCol w:w="4176"/>
        <w:gridCol w:w="3562"/>
        <w:gridCol w:w="3706"/>
      </w:tblGrid>
      <w:tr w:rsidR="00255EB4" w:rsidRPr="00555190" w14:paraId="528DFC59" w14:textId="77777777" w:rsidTr="00025909">
        <w:trPr>
          <w:trHeight w:val="17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E6D01" w14:textId="77777777" w:rsidR="00255EB4" w:rsidRPr="00555190" w:rsidRDefault="00000000">
            <w:pPr>
              <w:pStyle w:val="a0"/>
              <w:ind w:firstLine="36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4.2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988A70" w14:textId="77777777" w:rsidR="00255EB4" w:rsidRPr="00555190" w:rsidRDefault="00000000">
            <w:pPr>
              <w:pStyle w:val="a0"/>
              <w:spacing w:line="257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Augalų komponentai, įskaitant perdirbtus komponentus, ekstraktus ir aliejus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03EB0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Menta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CBE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E01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D25D0C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16CDC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1374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11FBB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Eukaliptas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F2E8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F6D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031910B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4889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C71C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454B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Ocimum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83BE6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D981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CCCC44D" w14:textId="77777777" w:rsidTr="00025909">
        <w:trPr>
          <w:trHeight w:val="17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95F3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B761D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31067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Thymus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D26CC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415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D1AD22" w14:textId="77777777" w:rsidTr="00025909">
        <w:trPr>
          <w:trHeight w:val="178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9381D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E99E2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41D3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Salvia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C1E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170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687E1D" w14:textId="77777777" w:rsidTr="00025909">
        <w:trPr>
          <w:trHeight w:val="168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BAE0C" w14:textId="77777777" w:rsidR="00255EB4" w:rsidRPr="00555190" w:rsidRDefault="00000000">
            <w:pPr>
              <w:pStyle w:val="a0"/>
              <w:ind w:firstLine="36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4.3</w:t>
            </w:r>
          </w:p>
        </w:tc>
        <w:tc>
          <w:tcPr>
            <w:tcW w:w="6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0BAC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Nikotino druskos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A5B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Nikotino benzoatas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39CAE" w14:textId="77777777" w:rsidR="00255EB4" w:rsidRDefault="00000000">
            <w:pPr>
              <w:pStyle w:val="a0"/>
              <w:spacing w:line="257" w:lineRule="auto"/>
              <w:rPr>
                <w:rStyle w:val="a"/>
                <w:color w:val="000000"/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Įkvėpus nikotino druskos gali greičiau absorbuotis į organizmą ir sukelti mažiau dirginimo nei laisvos formos nikotinas.</w:t>
            </w:r>
          </w:p>
          <w:p w14:paraId="391B6EE1" w14:textId="77777777" w:rsidR="002B5C56" w:rsidRPr="00555190" w:rsidRDefault="002B5C56">
            <w:pPr>
              <w:pStyle w:val="a0"/>
              <w:spacing w:line="257" w:lineRule="auto"/>
              <w:rPr>
                <w:sz w:val="14"/>
                <w:szCs w:val="14"/>
                <w:lang w:val="de-DE"/>
              </w:rPr>
            </w:pPr>
          </w:p>
          <w:p w14:paraId="4ECEA629" w14:textId="77777777" w:rsidR="00255EB4" w:rsidRPr="00555190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Nuorodos:</w:t>
            </w:r>
          </w:p>
          <w:p w14:paraId="68C962C3" w14:textId="77777777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O’Connell Grant ir kt. (2019).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Atsitiktinių imčių, atvirasis, kryžminis klinikinis tyrimas, skirtas JAV suaugusių rūkančiųjų cigarečių ir elektroninių cigarečių su nikotino druskos preparatais farmakokinetiniams profiliams įvertinti.</w:t>
            </w:r>
          </w:p>
          <w:p w14:paraId="10DEB3F3" w14:textId="77777777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„Internal and emergency medicine“ 14(6):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853-861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10.1007/s11739-019-02025-</w:t>
            </w:r>
          </w:p>
          <w:p w14:paraId="4AAA3456" w14:textId="77777777" w:rsidR="00255EB4" w:rsidRPr="00025909" w:rsidRDefault="00000000">
            <w:pPr>
              <w:pStyle w:val="a0"/>
              <w:spacing w:line="269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3.https://www.ncbi.nlm.nih.gov/pubmed/30712148</w:t>
            </w:r>
          </w:p>
          <w:p w14:paraId="0E83BCBB" w14:textId="77777777" w:rsidR="002B5C56" w:rsidRPr="00025909" w:rsidRDefault="002B5C56">
            <w:pPr>
              <w:pStyle w:val="a0"/>
              <w:spacing w:line="269" w:lineRule="auto"/>
              <w:rPr>
                <w:sz w:val="11"/>
                <w:szCs w:val="11"/>
              </w:rPr>
            </w:pPr>
          </w:p>
          <w:p w14:paraId="5CC2EEAA" w14:textId="730DB6FB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Caldwell Brent ir kt. (2012).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Sisteminė nikotino įkvėpus apžvalga: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Ar inhaliacinis būdas turi reikšmės?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„Nicotine &amp; Tobacco Research“ 14(10):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1127-1139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3D4AE59F" w14:textId="77777777" w:rsidR="00255EB4" w:rsidRPr="00025909" w:rsidRDefault="00000000">
            <w:pPr>
              <w:pStyle w:val="a0"/>
              <w:spacing w:line="269" w:lineRule="auto"/>
            </w:pPr>
            <w:r>
              <w:rPr>
                <w:rStyle w:val="a"/>
                <w:color w:val="000000"/>
                <w:sz w:val="11"/>
              </w:rPr>
              <w:t xml:space="preserve">10.1093/ntr/nts009.</w:t>
            </w:r>
            <w:hyperlink r:id="rId25" w:history="1">
              <w:r>
                <w:rPr>
                  <w:rStyle w:val="a"/>
                  <w:color w:val="000000"/>
                  <w:sz w:val="11"/>
                </w:rPr>
                <w:t xml:space="preserve">https://doi.org/10.1093/ntr/nts009</w:t>
              </w:r>
            </w:hyperlink>
          </w:p>
          <w:p w14:paraId="3E649CEB" w14:textId="77777777" w:rsidR="002B5C56" w:rsidRPr="00025909" w:rsidRDefault="002B5C56">
            <w:pPr>
              <w:pStyle w:val="a0"/>
              <w:spacing w:line="269" w:lineRule="auto"/>
              <w:rPr>
                <w:sz w:val="11"/>
                <w:szCs w:val="11"/>
              </w:rPr>
            </w:pPr>
          </w:p>
          <w:p w14:paraId="7D57D3E2" w14:textId="77777777" w:rsidR="00255EB4" w:rsidRPr="00555190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Leventhal A. M. ir kt. (2021).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Elektroninių cigarečių su druska ir laisvo bazinio nikotino poveikis elektroninių cigarečių rūkymo patrauklumui ir jutiminei patirčiai: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Atsitiktinių imčių klinikinis tyrimas.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JAMA Netw Open 4(1): e2032757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10,1001/jamanetworkopen.2020.32757</w:t>
            </w:r>
          </w:p>
        </w:tc>
      </w:tr>
      <w:tr w:rsidR="00255EB4" w:rsidRPr="00555190" w14:paraId="72506690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BADF8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81CF77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F1C8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Nikotino ditartratas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712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28E0E20" w14:textId="77777777" w:rsidTr="00025909">
        <w:trPr>
          <w:trHeight w:val="16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7BA0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EDA167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DAA8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Nikotino laktatas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4C7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E8C864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C08AE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B9DE9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1B8F4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Nikotino levulinatas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5995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8085BEC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5C951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1D0A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BCE0C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Nikotino malatas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C92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161C6F3" w14:textId="77777777" w:rsidTr="00025909">
        <w:trPr>
          <w:trHeight w:val="245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BB27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E93C9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73E8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Nikotino salicilatas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C086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F1A0BD3" w14:textId="0A2AC122" w:rsidR="002B5C56" w:rsidRDefault="002B5C56">
      <w:pPr>
        <w:rPr>
          <w:lang w:val="de-DE"/>
        </w:rPr>
      </w:pPr>
    </w:p>
    <w:p w14:paraId="253FEDA0" w14:textId="77777777" w:rsidR="002B5C56" w:rsidRDefault="002B5C56"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877"/>
        <w:gridCol w:w="3633"/>
        <w:gridCol w:w="3091"/>
        <w:gridCol w:w="3226"/>
      </w:tblGrid>
      <w:tr w:rsidR="00255EB4" w:rsidRPr="00555190" w14:paraId="1A406E72" w14:textId="77777777" w:rsidTr="00025909">
        <w:trPr>
          <w:trHeight w:val="269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5449CA8" w14:textId="77777777" w:rsidR="00255EB4" w:rsidRPr="00555190" w:rsidRDefault="00000000">
            <w:pPr>
              <w:pStyle w:val="a0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5.</w:t>
            </w:r>
          </w:p>
        </w:tc>
        <w:tc>
          <w:tcPr>
            <w:tcW w:w="1182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43AAE60" w14:textId="77777777" w:rsidR="00255EB4" w:rsidRPr="002B5C56" w:rsidRDefault="00000000">
            <w:pPr>
              <w:pStyle w:val="a0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Priedai, turintys nesudegusios formos CMR savybių.</w:t>
            </w: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(TNRSG 10b straipsnio 7 dalies 3 punktas kartu su 8b straipsnio 2 dalies 5 punktu)</w:t>
            </w:r>
          </w:p>
        </w:tc>
      </w:tr>
      <w:tr w:rsidR="00255EB4" w:rsidRPr="00555190" w14:paraId="17E5959F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4D9CF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182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FB25C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F4D2709" w14:textId="77777777" w:rsidTr="00025909">
        <w:trPr>
          <w:trHeight w:val="11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9A311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5.1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E1A6C1" w14:textId="77777777" w:rsidR="00255EB4" w:rsidRPr="00555190" w:rsidRDefault="00000000" w:rsidP="00025909">
            <w:pPr>
              <w:pStyle w:val="a0"/>
              <w:spacing w:line="262" w:lineRule="auto"/>
              <w:ind w:right="144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Cheminės medžiagos, klasifikuojamos pagal 2008 m. gruodžio 16 d. Europos Parlamento ir Tarybos reglamento (EB) Nr. 1272/2008 dėl cheminių medžiagų ir mišinių klasifikavimo, ženklinimo ir pakavimo, iš dalies keičiančio ir panaikinančio direktyvas 67/548/EEB bei 1999/45/EB ir iš dalies keičiančio Reglamentą (EB) Nr. 1907/2006 (OL L 353, 2006 12 31, p. 1), su paskutiniais pakeitimais, padarytais Reglamentu (ES) 2016/1179 (OL L 195, 2016 7 20, p. 11), VI priedo 3 dalį, kaip </w:t>
            </w:r>
            <w:r>
              <w:rPr>
                <w:rStyle w:val="a"/>
                <w:color w:val="000000"/>
                <w:sz w:val="12"/>
                <w:b/>
              </w:rPr>
              <w:t xml:space="preserve">1A, 1B, 2 arba Lact kategorijos CMR medžiagos.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7235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28E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8D5B40" w14:textId="77777777" w:rsidTr="00025909">
        <w:trPr>
          <w:trHeight w:val="5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F78EE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5.2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2F3BA0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Medžiagos, klasifikuojamos pagal Tarptautinės vėžio tyrimų agentūros (</w:t>
            </w:r>
            <w:r>
              <w:rPr>
                <w:rStyle w:val="a"/>
                <w:color w:val="000000"/>
                <w:sz w:val="12"/>
                <w:b/>
              </w:rPr>
              <w:t xml:space="preserve">IARC</w:t>
            </w:r>
            <w:r>
              <w:rPr>
                <w:rStyle w:val="a"/>
                <w:color w:val="000000"/>
                <w:sz w:val="12"/>
              </w:rPr>
              <w:t xml:space="preserve">) klasifikacijų sąrašą dėl kancerogeninio poveikio žmonėms </w:t>
            </w:r>
            <w:r>
              <w:rPr>
                <w:rStyle w:val="a"/>
                <w:color w:val="000000"/>
                <w:sz w:val="12"/>
                <w:b/>
              </w:rPr>
              <w:t xml:space="preserve">1, 2A arba 2B grupėse</w:t>
            </w:r>
            <w:r>
              <w:rPr>
                <w:rStyle w:val="a"/>
                <w:color w:val="000000"/>
                <w:sz w:val="12"/>
              </w:rPr>
              <w:t xml:space="preserve"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F1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564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5B1F717" w14:textId="77777777" w:rsidTr="00025909">
        <w:trPr>
          <w:trHeight w:val="6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29931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5.3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EBB8B4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Medžiagos, kurios pagal Jungtinių Amerikos Valstijų nacionalinę toksikologijos programą (NTP) klasifikuojamos kaip „žinomos“ arba „pagrįstai tikėtinos“ būti žmogaus kancerogenais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9AB4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DA7F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D892253" w14:textId="77777777" w:rsidTr="00025909">
        <w:trPr>
          <w:trHeight w:val="8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0FBF4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5.4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5F1188" w14:textId="06C099AD" w:rsidR="00255EB4" w:rsidRPr="00555190" w:rsidRDefault="00000000" w:rsidP="00025909">
            <w:pPr>
              <w:pStyle w:val="a0"/>
              <w:spacing w:line="259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Medžiagos, kurias pagal </w:t>
            </w:r>
            <w:r>
              <w:rPr>
                <w:rStyle w:val="a"/>
                <w:color w:val="000000"/>
                <w:sz w:val="12"/>
                <w:b/>
              </w:rPr>
              <w:t xml:space="preserve">MAK ir GPGB verčių sąrašą</w:t>
            </w:r>
            <w:r>
              <w:rPr>
                <w:rStyle w:val="a"/>
                <w:color w:val="000000"/>
                <w:sz w:val="12"/>
              </w:rPr>
              <w:t xml:space="preserve"> (paskelbtą Deutsche Forschungsgemeinschaft (DFG)) MAK komisija priskyrė darančioms kancerogeninį poveikį 1, 2, 4 arba 5 kategorijose, teratogeninį poveikį A, B arba C kategorijose ir mutageninį poveikį lytinėms ląstelėms 1, 2, 3A arba 3B kategorijose.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0712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21B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4CB6479" w14:textId="77777777" w:rsidTr="00025909">
        <w:trPr>
          <w:trHeight w:val="4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6D359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5.5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16C749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Medžiagos, kurias Europos maisto saugos tarnyba (EFSA) klasifikuoja kaip kancerogenines, mutagenines ar toksiškas reprodukcijai.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82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3499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891F0C3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A5364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5.1–5.5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BE1EF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Pavyzdžiai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B691F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Izoforonas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A9F6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D3DB72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CE21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4BD918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A0E7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Piridinas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A1E2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4C05EB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9662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3AA60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00BA20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Mircenas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15E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4181FFC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FEEB5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8969C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5400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Chrisenas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550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154D95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8FC38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24D596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C91C6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Benzo(a)antracenas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137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49BD6E8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2315E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00B3D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F560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Benzo(b)fluorantenas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492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841083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9056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161B7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79C1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Titano dioksidas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B9B4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8C09DE5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46DB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351A92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D2DBF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Metilo eugenolis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76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5FCD696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765B4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179924D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260DDC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Safrolis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EAA0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26B10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C0F37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848CD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D47C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Estragolis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8A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3EE4A2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10C64" w14:textId="77777777" w:rsidR="00255EB4" w:rsidRPr="00555190" w:rsidRDefault="00000000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5.6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25256F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Medžiagos, turinčios poveikį</w:t>
            </w:r>
          </w:p>
          <w:p w14:paraId="2B19C34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reprodukcinei sistemai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55E3A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Parabenai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DC8BF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Propilparabenas (para-hidroksibenzenkarboksirūgšties propilesteris)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28C13" w14:textId="77777777" w:rsidR="00255EB4" w:rsidRDefault="00000000">
            <w:pPr>
              <w:pStyle w:val="a0"/>
              <w:spacing w:line="264" w:lineRule="auto"/>
              <w:rPr>
                <w:rStyle w:val="a"/>
                <w:color w:val="000000"/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Kai kurie parabenai pasižymi </w:t>
            </w:r>
            <w:r>
              <w:rPr>
                <w:rStyle w:val="a"/>
                <w:color w:val="000000"/>
                <w:sz w:val="12"/>
                <w:i/>
              </w:rPr>
              <w:t xml:space="preserve">in vivo</w:t>
            </w:r>
            <w:r>
              <w:rPr>
                <w:rStyle w:val="a"/>
                <w:color w:val="000000"/>
                <w:sz w:val="12"/>
              </w:rPr>
              <w:t xml:space="preserve"> reprotoksiniu poveikiu.</w:t>
            </w:r>
          </w:p>
          <w:p w14:paraId="77BB76E7" w14:textId="77777777" w:rsidR="002B5C56" w:rsidRPr="00555190" w:rsidRDefault="002B5C56">
            <w:pPr>
              <w:pStyle w:val="a0"/>
              <w:spacing w:line="264" w:lineRule="auto"/>
              <w:rPr>
                <w:sz w:val="12"/>
                <w:szCs w:val="12"/>
                <w:lang w:val="de-DE"/>
              </w:rPr>
            </w:pPr>
          </w:p>
          <w:p w14:paraId="6FF48CB7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Nuorodos:</w:t>
            </w:r>
          </w:p>
          <w:p w14:paraId="13C74431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VSMK (Vartotojų saugos mokslinis komitetas) (2021).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Nuomonė dėl propilparabeno (CAS Nr. 94-13-3, EB Nr. 202-307-7), 2020 m. spalio 27–28 d. preliminari redakcija, 2021 m. kovo 30–31 d. galutinė redakcija, SCCS/1623/20</w:t>
            </w:r>
          </w:p>
          <w:p w14:paraId="5E8FBB14" w14:textId="77777777" w:rsidR="00255EB4" w:rsidRPr="00025909" w:rsidRDefault="00255EB4">
            <w:pPr>
              <w:pStyle w:val="a0"/>
              <w:spacing w:line="257" w:lineRule="auto"/>
              <w:rPr>
                <w:rStyle w:val="a"/>
                <w:color w:val="000000"/>
                <w:sz w:val="10"/>
                <w:szCs w:val="10"/>
                <w:u w:val="single"/>
              </w:rPr>
            </w:pPr>
            <w:hyperlink r:id="rId26" w:history="1">
              <w:r>
                <w:rPr>
                  <w:rStyle w:val="a"/>
                  <w:color w:val="000000"/>
                  <w:sz w:val="10"/>
                </w:rPr>
                <w:t xml:space="preserve">https://health.ec.europa.eu/document/download/7c416df0-2650-4d7a-</w:t>
              </w:r>
            </w:hyperlink>
            <w:r>
              <w:rPr>
                <w:rStyle w:val="a"/>
                <w:color w:val="000000"/>
                <w:sz w:val="10"/>
                <w:u w:val="single"/>
              </w:rPr>
              <w:t xml:space="preserve">82f7-650081bf250c_en?filename=sccs_o_243.pdf</w:t>
            </w:r>
          </w:p>
          <w:p w14:paraId="00AF111C" w14:textId="77777777" w:rsidR="002B5C56" w:rsidRPr="00025909" w:rsidRDefault="002B5C56">
            <w:pPr>
              <w:pStyle w:val="a0"/>
              <w:spacing w:line="257" w:lineRule="auto"/>
              <w:rPr>
                <w:sz w:val="10"/>
                <w:szCs w:val="10"/>
              </w:rPr>
            </w:pPr>
          </w:p>
          <w:p w14:paraId="4B08DFB5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EFSA (Europos maisto saugos tarnyba) (2004).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Maisto priedų,</w:t>
            </w:r>
          </w:p>
          <w:p w14:paraId="2E7AFCBF" w14:textId="77777777" w:rsidR="00255EB4" w:rsidRPr="00555190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kvapiųjų medžiagų, perdirbimo medžiagų ir su maistu besiliečiančių medžiagų mokslinės grupės (AFC) nuomonė, susijusi su parahidroksibenzoatais (E 214–219).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EFSA žurnalas DOI: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hyperlink r:id="rId27" w:history="1">
              <w:r>
                <w:rPr>
                  <w:rStyle w:val="a"/>
                  <w:color w:val="000000"/>
                  <w:sz w:val="10"/>
                  <w:u w:val="single"/>
                </w:rPr>
                <w:t xml:space="preserve">https://doi.org/10.2903/j.efsa.2004.83</w:t>
              </w:r>
            </w:hyperlink>
          </w:p>
        </w:tc>
      </w:tr>
      <w:tr w:rsidR="00255EB4" w:rsidRPr="00555190" w14:paraId="5EB1C820" w14:textId="77777777" w:rsidTr="00025909">
        <w:trPr>
          <w:trHeight w:val="187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D5EBF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2BCB8AF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9F5DA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9B34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Natrio propilparabenas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F87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EA90414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575A5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33209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A95F8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199CD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Kalio propilparabenas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6215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7F5367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0E63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540986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8AC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92DFC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Butilparabenas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600F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0B82EB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AF6A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889902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6AE98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8E9C7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Natrio butilparabenas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55DB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8DA5AC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E3DD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4C096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47755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E31D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Kalio butilparabenas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A389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E90287E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D8DD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79B86E0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61A32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C502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Izobutilparabenas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BCB3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46A9EE4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6E3B0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EDA1E9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D3FAB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62E80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Natrio izobutilparabenas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2AD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90F427" w14:textId="77777777" w:rsidTr="00025909">
        <w:trPr>
          <w:trHeight w:val="77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5E813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9902CD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160D3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0635F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16B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2CA1B91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F351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1B88044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953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965D4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502D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7EE686F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05C06" w14:textId="77777777" w:rsidR="00255EB4" w:rsidRPr="00555190" w:rsidRDefault="00000000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5.7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271D8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Balkšvasis sasafras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5C673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Sasafro aliejus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F8F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Sudėtyje yra safrolo.</w:t>
            </w:r>
          </w:p>
        </w:tc>
      </w:tr>
      <w:tr w:rsidR="00255EB4" w:rsidRPr="00555190" w14:paraId="6C9A2CBD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94D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B8D40E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F5E4B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Sasafro mediena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399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D61A26F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B350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1BE3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93D2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Sasafro lapai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B156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1E1E06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139C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531EB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35715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Sasafro žievė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DD71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4D72D48C" w14:textId="77777777" w:rsidR="00296790" w:rsidRPr="00555190" w:rsidRDefault="00296790">
      <w:pPr>
        <w:rPr>
          <w:lang w:val="de-DE"/>
        </w:rPr>
      </w:pPr>
    </w:p>
    <w:sectPr w:rsidR="00296790" w:rsidRPr="00555190" w:rsidSect="002B5C56">
      <w:headerReference w:type="first" r:id="rId28"/>
      <w:pgSz w:w="18720" w:h="12240" w:orient="landscape"/>
      <w:pgMar w:top="1586" w:right="1851" w:bottom="1041" w:left="2074" w:header="68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97D29" w14:textId="77777777" w:rsidR="00627665" w:rsidRDefault="00627665">
      <w:r>
        <w:separator/>
      </w:r>
    </w:p>
  </w:endnote>
  <w:endnote w:type="continuationSeparator" w:id="0">
    <w:p w14:paraId="2D8B5A6E" w14:textId="77777777" w:rsidR="00627665" w:rsidRDefault="0062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DEA0" w14:textId="766888E0" w:rsidR="00555190" w:rsidRDefault="00555190" w:rsidP="00555190">
    <w:pPr>
      <w:pStyle w:val="Footer"/>
      <w:jc w:val="center"/>
    </w:pPr>
    <w:bookmarkStart w:id="2" w:name="bookmark4"/>
    <w:r>
      <w:rPr>
        <w:rStyle w:val="21"/>
      </w:rPr>
      <w:t xml:space="preserve">Puslapis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 iš </w:t>
    </w:r>
    <w:r>
      <w:rPr>
        <w:rStyle w:val="21"/>
      </w:rPr>
      <w:t xml:space="preserve"> </w:t>
    </w:r>
    <w:r w:rsidRPr="00555190">
      <w:rPr>
        <w:rStyle w:val="21"/>
        <w:b/>
      </w:rPr>
      <w:fldChar w:fldCharType="begin" w:dirty="true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2</w:t>
    </w:r>
    <w:r w:rsidRPr="00555190">
      <w:rPr>
        <w:rStyle w:val="21"/>
        <w:b/>
      </w:rPr>
      <w:fldChar w:fldCharType="end"/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C012A" w14:textId="724A713D" w:rsidR="00555190" w:rsidRDefault="00555190" w:rsidP="00555190">
    <w:pPr>
      <w:pStyle w:val="Footer"/>
      <w:jc w:val="center"/>
    </w:pPr>
    <w:r>
      <w:rPr>
        <w:rStyle w:val="21"/>
      </w:rPr>
      <w:t xml:space="preserve">Puslapis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 iš </w:t>
    </w:r>
    <w:r>
      <w:rPr>
        <w:rStyle w:val="21"/>
      </w:rPr>
      <w:t xml:space="preserve"> </w:t>
    </w:r>
    <w:r w:rsidRPr="00555190">
      <w:rPr>
        <w:rStyle w:val="21"/>
        <w:b/>
      </w:rPr>
      <w:fldChar w:fldCharType="begin" w:dirty="true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13</w:t>
    </w:r>
    <w:r w:rsidRPr="00555190">
      <w:rPr>
        <w:rStyle w:val="21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E6CA1" w14:textId="77777777" w:rsidR="00627665" w:rsidRDefault="00627665"/>
  </w:footnote>
  <w:footnote w:type="continuationSeparator" w:id="0">
    <w:p w14:paraId="771FFACE" w14:textId="77777777" w:rsidR="00627665" w:rsidRDefault="006276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ED597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0D57D284" w14:textId="01FABE9A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sz w:val="18"/>
        <w:rFonts w:ascii="Calibri" w:hAnsi="Calibri"/>
      </w:rPr>
      <w:t xml:space="preserve">Galutinė versija pagal Patariamąją tarybą dėl sudedamųjų dalių</w:t>
    </w:r>
  </w:p>
  <w:p w14:paraId="38656AD9" w14:textId="0290F01A" w:rsidR="00255EB4" w:rsidRPr="00555190" w:rsidRDefault="00255EB4">
    <w:pPr>
      <w:spacing w:line="1" w:lineRule="exact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8270F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419F2737" w14:textId="77777777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sz w:val="18"/>
        <w:rFonts w:ascii="Calibri" w:hAnsi="Calibri"/>
      </w:rPr>
      <w:t xml:space="preserve">Galutinė versija pagal Patariamąją tarybą dėl sudedamųjų dalių</w:t>
    </w:r>
  </w:p>
  <w:p w14:paraId="11B04EBC" w14:textId="77777777" w:rsidR="00555190" w:rsidRPr="00555190" w:rsidRDefault="00555190" w:rsidP="00555190">
    <w:pPr>
      <w:spacing w:line="1" w:lineRule="exact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dirty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B4"/>
    <w:rsid w:val="00025909"/>
    <w:rsid w:val="001652C2"/>
    <w:rsid w:val="0024331C"/>
    <w:rsid w:val="00255EB4"/>
    <w:rsid w:val="00296790"/>
    <w:rsid w:val="002B5C56"/>
    <w:rsid w:val="0033216F"/>
    <w:rsid w:val="00555190"/>
    <w:rsid w:val="00627665"/>
    <w:rsid w:val="008A46F5"/>
    <w:rsid w:val="00E5705F"/>
    <w:rsid w:val="00F6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D4FB1"/>
  <w15:docId w15:val="{989224BE-25D7-497C-8B6E-E682C3EC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lt-LT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19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Επικεφαλίδα #1_"/>
    <w:basedOn w:val="DefaultParagraphFont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Κεφαλίδα ή υποσέλιδο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Επικεφαλίδα #2_"/>
    <w:basedOn w:val="DefaultParagraphFont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Άλλα_"/>
    <w:basedOn w:val="DefaultParagraphFont"/>
    <w:link w:val="a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41414"/>
      <w:sz w:val="13"/>
      <w:szCs w:val="13"/>
      <w:u w:val="none"/>
    </w:rPr>
  </w:style>
  <w:style w:type="paragraph" w:customStyle="1" w:styleId="10">
    <w:name w:val="Επικεφαλίδα #1"/>
    <w:basedOn w:val="Normal"/>
    <w:link w:val="1"/>
    <w:pPr>
      <w:spacing w:line="257" w:lineRule="auto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0">
    <w:name w:val="Κεφαλίδα ή υποσέλιδο (2)"/>
    <w:basedOn w:val="Normal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Επικεφαλίδα #2"/>
    <w:basedOn w:val="Normal"/>
    <w:link w:val="21"/>
    <w:pPr>
      <w:spacing w:line="257" w:lineRule="auto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a0">
    <w:name w:val="Άλλα"/>
    <w:basedOn w:val="Normal"/>
    <w:link w:val="a"/>
    <w:rPr>
      <w:rFonts w:ascii="Tahoma" w:eastAsia="Tahoma" w:hAnsi="Tahoma" w:cs="Tahoma"/>
      <w:color w:val="141414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19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1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doi.org/10.1586/ers.10.74" TargetMode="External"/><Relationship Id="rId18" Type="http://schemas.openxmlformats.org/officeDocument/2006/relationships/hyperlink" Target="https://www.cdc.gov/tobacco/basic_information/e-cigarettes/severe-lung-disease.html" TargetMode="External"/><Relationship Id="rId26" Type="http://schemas.openxmlformats.org/officeDocument/2006/relationships/hyperlink" Target="https://health.ec.europa.eu/document/download/7c416df0-2650-4d7a-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02/3527600418._mb60014d006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doi.org/10.3109/03602532.2014.990032" TargetMode="External"/><Relationship Id="rId17" Type="http://schemas.openxmlformats.org/officeDocument/2006/relationships/hyperlink" Target="https://www.hse.gov.uk/asthma/asthmagen.pdf" TargetMode="External"/><Relationship Id="rId25" Type="http://schemas.openxmlformats.org/officeDocument/2006/relationships/hyperlink" Target="https://doi.org/10.1093/ntr/nts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x.doi.org/10.3348/jkrs.1998.38.3.453" TargetMode="External"/><Relationship Id="rId20" Type="http://schemas.openxmlformats.org/officeDocument/2006/relationships/hyperlink" Target="https://doi.org/10.1002/3527600418.mb43103d005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doi.org/10.2903/j.efsa.2008.298" TargetMode="External"/><Relationship Id="rId24" Type="http://schemas.openxmlformats.org/officeDocument/2006/relationships/hyperlink" Target="https://jaotc.eu/wp-content/uploads/2021/04/D9.3-Report-on-the-peer-review-of-the-enhanced-reporting-information-on-priority-additives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hieme-connect.com/products/ejournals/abstract/10.1055/s-0029-1244813" TargetMode="External"/><Relationship Id="rId23" Type="http://schemas.openxmlformats.org/officeDocument/2006/relationships/hyperlink" Target="https://doi.org/10.1002/3527600418.mb7490verd0032.https://onlinelibrary.wiley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doi.org/10.2903/j.efsa.2004.83" TargetMode="External"/><Relationship Id="rId19" Type="http://schemas.openxmlformats.org/officeDocument/2006/relationships/hyperlink" Target="https://www.nejm.org/doi/full/10.1056/NEJMoa19164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ealth.ec.europa.eu/document/download/7c416df0-2650-4d7a-82f7-650081bf250c_en?filename=sccs_o_243._pdf" TargetMode="External"/><Relationship Id="rId14" Type="http://schemas.openxmlformats.org/officeDocument/2006/relationships/hyperlink" Target="https://rc.rcjournal.com/content/respcare/58/3/e23.full.pdf" TargetMode="External"/><Relationship Id="rId22" Type="http://schemas.openxmlformats.org/officeDocument/2006/relationships/hyperlink" Target="https://www.bfr.bund.de/cm/343/gesundheitliche-bewertung-von-zusatzstoffen-" TargetMode="External"/><Relationship Id="rId27" Type="http://schemas.openxmlformats.org/officeDocument/2006/relationships/hyperlink" Target="https://doi.org/10.2903/j.efsa.2004.8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3315</Words>
  <Characters>18899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Vejdovszky Katharina</dc:creator>
  <cp:keywords/>
  <cp:lastModifiedBy>Anastasia Stavroulaki</cp:lastModifiedBy>
  <cp:revision>5</cp:revision>
  <dcterms:created xsi:type="dcterms:W3CDTF">2024-11-08T05:06:00Z</dcterms:created>
  <dcterms:modified xsi:type="dcterms:W3CDTF">2024-11-08T09:08:00Z</dcterms:modified>
</cp:coreProperties>
</file>