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9254" w14:textId="30F29B3B" w:rsidR="009735FF" w:rsidRPr="004B7A01" w:rsidRDefault="00E57B82" w:rsidP="002261B3">
      <w:pPr>
        <w:pStyle w:val="Rubrik1"/>
        <w:rPr>
          <w:rFonts w:ascii="Calibri Light" w:hAnsi="Calibri Light" w:cs="Calibri Light"/>
          <w:noProof/>
          <w:color w:val="000000" w:themeColor="text1"/>
          <w:sz w:val="22"/>
        </w:rPr>
      </w:pPr>
      <w:bookmarkStart w:id="0" w:name="_Hlk183781377"/>
      <w:r w:rsidRPr="004634A4">
        <w:rPr>
          <w:lang w:val="en-US"/>
        </w:rPr>
        <w:t xml:space="preserve">Reply from </w:t>
      </w:r>
      <w:r w:rsidR="00046A6B" w:rsidRPr="004634A4">
        <w:rPr>
          <w:lang w:val="en-US"/>
        </w:rPr>
        <w:t xml:space="preserve">Nordic Nicotine Pouches Alliance (NNPA) </w:t>
      </w:r>
      <w:r w:rsidR="00802233">
        <w:rPr>
          <w:lang w:val="en-US"/>
        </w:rPr>
        <w:t xml:space="preserve">regarding the </w:t>
      </w:r>
      <w:r w:rsidR="002261B3" w:rsidRPr="002261B3">
        <w:t xml:space="preserve">Proposal for a Decree on the prohibition of products for oral use containing </w:t>
      </w:r>
      <w:r w:rsidR="002261B3" w:rsidRPr="00802233">
        <w:rPr>
          <w:b/>
          <w:bCs/>
        </w:rPr>
        <w:t>n</w:t>
      </w:r>
      <w:r w:rsidR="00802233">
        <w:rPr>
          <w:b/>
          <w:bCs/>
        </w:rPr>
        <w:t>i</w:t>
      </w:r>
      <w:r w:rsidR="002261B3" w:rsidRPr="00802233">
        <w:rPr>
          <w:b/>
          <w:bCs/>
        </w:rPr>
        <w:t>cotine</w:t>
      </w:r>
    </w:p>
    <w:p w14:paraId="74391B59" w14:textId="2A327E8D" w:rsidR="00A2435D" w:rsidRPr="004B7A01" w:rsidRDefault="009735FF" w:rsidP="00046A6B">
      <w:pPr>
        <w:jc w:val="both"/>
        <w:rPr>
          <w:rFonts w:ascii="Calibri Light" w:hAnsi="Calibri Light" w:cs="Calibri Light"/>
          <w:color w:val="000000" w:themeColor="text1"/>
          <w:sz w:val="22"/>
        </w:rPr>
      </w:pPr>
      <w:r w:rsidRPr="004B7A01">
        <w:rPr>
          <w:rFonts w:ascii="Calibri Light" w:hAnsi="Calibri Light" w:cs="Calibri Light"/>
          <w:noProof/>
          <w:color w:val="000000" w:themeColor="text1"/>
          <w:sz w:val="22"/>
        </w:rPr>
        <w:drawing>
          <wp:inline distT="0" distB="0" distL="0" distR="0" wp14:anchorId="0F70A05D" wp14:editId="6E0C1652">
            <wp:extent cx="2041872" cy="2047607"/>
            <wp:effectExtent l="0" t="0" r="0" b="0"/>
            <wp:docPr id="95727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247" t="15277" r="35943" b="35144"/>
                    <a:stretch/>
                  </pic:blipFill>
                  <pic:spPr bwMode="auto">
                    <a:xfrm>
                      <a:off x="0" y="0"/>
                      <a:ext cx="2052440" cy="2058205"/>
                    </a:xfrm>
                    <a:prstGeom prst="rect">
                      <a:avLst/>
                    </a:prstGeom>
                    <a:noFill/>
                    <a:ln>
                      <a:noFill/>
                    </a:ln>
                    <a:extLst>
                      <a:ext uri="{53640926-AAD7-44D8-BBD7-CCE9431645EC}">
                        <a14:shadowObscured xmlns:a14="http://schemas.microsoft.com/office/drawing/2010/main"/>
                      </a:ext>
                    </a:extLst>
                  </pic:spPr>
                </pic:pic>
              </a:graphicData>
            </a:graphic>
          </wp:inline>
        </w:drawing>
      </w:r>
      <w:r w:rsidR="00A2435D" w:rsidRPr="004B7A01">
        <w:rPr>
          <w:rFonts w:ascii="Calibri Light" w:hAnsi="Calibri Light" w:cs="Calibri Light"/>
          <w:noProof/>
          <w:color w:val="000000" w:themeColor="text1"/>
          <w:sz w:val="22"/>
        </w:rPr>
        <w:drawing>
          <wp:inline distT="0" distB="0" distL="0" distR="0" wp14:anchorId="3D3D32D8" wp14:editId="6348770D">
            <wp:extent cx="3533140" cy="2076857"/>
            <wp:effectExtent l="0" t="0" r="0" b="0"/>
            <wp:docPr id="1630374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74245" name=""/>
                    <pic:cNvPicPr/>
                  </pic:nvPicPr>
                  <pic:blipFill>
                    <a:blip r:embed="rId12"/>
                    <a:stretch>
                      <a:fillRect/>
                    </a:stretch>
                  </pic:blipFill>
                  <pic:spPr>
                    <a:xfrm>
                      <a:off x="0" y="0"/>
                      <a:ext cx="3596747" cy="2114246"/>
                    </a:xfrm>
                    <a:prstGeom prst="rect">
                      <a:avLst/>
                    </a:prstGeom>
                  </pic:spPr>
                </pic:pic>
              </a:graphicData>
            </a:graphic>
          </wp:inline>
        </w:drawing>
      </w:r>
    </w:p>
    <w:p w14:paraId="0926A5C9" w14:textId="1264DDAA" w:rsidR="01D6E5B9" w:rsidRDefault="01D6E5B9" w:rsidP="01D6E5B9">
      <w:pPr>
        <w:pStyle w:val="Rubrik2"/>
        <w:rPr>
          <w:rFonts w:ascii="Arial" w:eastAsiaTheme="minorEastAsia" w:hAnsi="Arial" w:cs="Arial"/>
          <w:color w:val="000000" w:themeColor="text1"/>
          <w:sz w:val="22"/>
          <w:szCs w:val="22"/>
        </w:rPr>
      </w:pPr>
    </w:p>
    <w:p w14:paraId="67B672BE" w14:textId="069FE105" w:rsidR="01D6E5B9" w:rsidRPr="002421A0" w:rsidRDefault="004A1B61" w:rsidP="002421A0">
      <w:pPr>
        <w:pStyle w:val="Rubrik2"/>
        <w:rPr>
          <w:rFonts w:ascii="Arial" w:hAnsi="Arial" w:cs="Arial"/>
        </w:rPr>
      </w:pPr>
      <w:r w:rsidRPr="01D6E5B9">
        <w:rPr>
          <w:rFonts w:ascii="Arial" w:eastAsiaTheme="minorEastAsia" w:hAnsi="Arial" w:cs="Arial"/>
          <w:color w:val="000000" w:themeColor="text1"/>
          <w:sz w:val="22"/>
          <w:szCs w:val="22"/>
        </w:rPr>
        <w:t xml:space="preserve">The Nordic Nicotine Pouches Alliance (NNPA) is a Brussels-based platform for stakeholders advocating for nicotine pouches as an essential part of harm reduction among adult nicotine users within the EU. We promote responsible, effective, and </w:t>
      </w:r>
      <w:r w:rsidR="003428E5" w:rsidRPr="01D6E5B9">
        <w:rPr>
          <w:rFonts w:ascii="Arial" w:eastAsiaTheme="minorEastAsia" w:hAnsi="Arial" w:cs="Arial"/>
          <w:color w:val="000000" w:themeColor="text1"/>
          <w:sz w:val="22"/>
          <w:szCs w:val="22"/>
        </w:rPr>
        <w:t>harmonised</w:t>
      </w:r>
      <w:r w:rsidRPr="01D6E5B9">
        <w:rPr>
          <w:rFonts w:ascii="Arial" w:eastAsiaTheme="minorEastAsia" w:hAnsi="Arial" w:cs="Arial"/>
          <w:color w:val="000000" w:themeColor="text1"/>
          <w:sz w:val="22"/>
          <w:szCs w:val="22"/>
        </w:rPr>
        <w:t xml:space="preserve"> European legislation that establishes clear guidelines for this product category to achieve specific goals, such as banning extreme nicotine levels or reducing usage among minors. Our </w:t>
      </w:r>
      <w:proofErr w:type="gramStart"/>
      <w:r w:rsidRPr="01D6E5B9">
        <w:rPr>
          <w:rFonts w:ascii="Arial" w:eastAsiaTheme="minorEastAsia" w:hAnsi="Arial" w:cs="Arial"/>
          <w:color w:val="000000" w:themeColor="text1"/>
          <w:sz w:val="22"/>
          <w:szCs w:val="22"/>
        </w:rPr>
        <w:t>main focus</w:t>
      </w:r>
      <w:proofErr w:type="gramEnd"/>
      <w:r w:rsidRPr="01D6E5B9">
        <w:rPr>
          <w:rFonts w:ascii="Arial" w:eastAsiaTheme="minorEastAsia" w:hAnsi="Arial" w:cs="Arial"/>
          <w:color w:val="000000" w:themeColor="text1"/>
          <w:sz w:val="22"/>
          <w:szCs w:val="22"/>
        </w:rPr>
        <w:t xml:space="preserve"> is information dissemination, but we continuously work to build support for our position from stakeholders who </w:t>
      </w:r>
      <w:r w:rsidR="00F81339" w:rsidRPr="01D6E5B9">
        <w:rPr>
          <w:rFonts w:ascii="Arial" w:eastAsiaTheme="minorEastAsia" w:hAnsi="Arial" w:cs="Arial"/>
          <w:color w:val="000000" w:themeColor="text1"/>
          <w:sz w:val="22"/>
          <w:szCs w:val="22"/>
        </w:rPr>
        <w:t>are representatives of</w:t>
      </w:r>
      <w:r w:rsidRPr="01D6E5B9">
        <w:rPr>
          <w:rFonts w:ascii="Arial" w:eastAsiaTheme="minorEastAsia" w:hAnsi="Arial" w:cs="Arial"/>
          <w:color w:val="000000" w:themeColor="text1"/>
          <w:sz w:val="22"/>
          <w:szCs w:val="22"/>
        </w:rPr>
        <w:t xml:space="preserve"> a responsible value chain. NNPA is funded by European industry actors</w:t>
      </w:r>
      <w:r w:rsidR="00D23540" w:rsidRPr="01D6E5B9">
        <w:rPr>
          <w:rFonts w:ascii="Arial" w:eastAsiaTheme="minorEastAsia" w:hAnsi="Arial" w:cs="Arial"/>
          <w:color w:val="000000" w:themeColor="text1"/>
          <w:sz w:val="22"/>
          <w:szCs w:val="22"/>
        </w:rPr>
        <w:t>.</w:t>
      </w:r>
    </w:p>
    <w:p w14:paraId="0135CF54" w14:textId="53B49CBA" w:rsidR="009C5D27" w:rsidRPr="004B7A01" w:rsidRDefault="003F70D6" w:rsidP="009C5D27">
      <w:pPr>
        <w:pStyle w:val="Rubrik2"/>
        <w:rPr>
          <w:rFonts w:ascii="Arial" w:hAnsi="Arial" w:cs="Arial"/>
        </w:rPr>
      </w:pPr>
      <w:r w:rsidRPr="004B7A01">
        <w:rPr>
          <w:rFonts w:ascii="Arial" w:hAnsi="Arial" w:cs="Arial"/>
        </w:rPr>
        <w:t>Summary of our position</w:t>
      </w:r>
      <w:r w:rsidR="009C5D27" w:rsidRPr="004B7A01">
        <w:rPr>
          <w:rFonts w:ascii="Arial" w:hAnsi="Arial" w:cs="Arial"/>
        </w:rPr>
        <w:t>:</w:t>
      </w:r>
    </w:p>
    <w:bookmarkEnd w:id="0"/>
    <w:p w14:paraId="41F792CF" w14:textId="58C52DA1" w:rsidR="01D6E5B9" w:rsidRDefault="3D058E1D" w:rsidP="01D6E5B9">
      <w:pPr>
        <w:rPr>
          <w:sz w:val="22"/>
        </w:rPr>
      </w:pPr>
      <w:r w:rsidRPr="01D6E5B9">
        <w:rPr>
          <w:sz w:val="22"/>
        </w:rPr>
        <w:t xml:space="preserve">The </w:t>
      </w:r>
      <w:r w:rsidR="00884ECD" w:rsidRPr="01D6E5B9">
        <w:rPr>
          <w:sz w:val="22"/>
        </w:rPr>
        <w:t xml:space="preserve">NNPA </w:t>
      </w:r>
      <w:r w:rsidR="00E41D07" w:rsidRPr="01D6E5B9">
        <w:rPr>
          <w:sz w:val="22"/>
        </w:rPr>
        <w:t xml:space="preserve">strongly </w:t>
      </w:r>
      <w:r w:rsidR="00884ECD" w:rsidRPr="01D6E5B9">
        <w:rPr>
          <w:sz w:val="22"/>
        </w:rPr>
        <w:t>object</w:t>
      </w:r>
      <w:r w:rsidR="5E70074C" w:rsidRPr="01D6E5B9">
        <w:rPr>
          <w:sz w:val="22"/>
        </w:rPr>
        <w:t>s</w:t>
      </w:r>
      <w:r w:rsidR="00884ECD" w:rsidRPr="01D6E5B9">
        <w:rPr>
          <w:sz w:val="22"/>
        </w:rPr>
        <w:t xml:space="preserve"> to the </w:t>
      </w:r>
      <w:r w:rsidR="00A93D84" w:rsidRPr="01D6E5B9">
        <w:rPr>
          <w:sz w:val="22"/>
        </w:rPr>
        <w:t xml:space="preserve">proposed </w:t>
      </w:r>
      <w:r w:rsidR="004B624B" w:rsidRPr="01D6E5B9">
        <w:rPr>
          <w:sz w:val="22"/>
        </w:rPr>
        <w:t>ban</w:t>
      </w:r>
      <w:r w:rsidR="00884ECD" w:rsidRPr="01D6E5B9">
        <w:rPr>
          <w:sz w:val="22"/>
        </w:rPr>
        <w:t xml:space="preserve"> with the motivation that </w:t>
      </w:r>
      <w:r w:rsidR="00320102" w:rsidRPr="01D6E5B9">
        <w:rPr>
          <w:rFonts w:cs="Arial"/>
          <w:sz w:val="22"/>
          <w:lang w:eastAsia="en-GB"/>
        </w:rPr>
        <w:t>the proposed restrictions</w:t>
      </w:r>
      <w:r w:rsidR="0031705C" w:rsidRPr="01D6E5B9">
        <w:rPr>
          <w:rFonts w:cs="Arial"/>
          <w:sz w:val="22"/>
          <w:lang w:eastAsia="en-GB"/>
        </w:rPr>
        <w:t xml:space="preserve"> will have a significant negative impact on </w:t>
      </w:r>
      <w:r w:rsidR="00963D9A" w:rsidRPr="01D6E5B9">
        <w:rPr>
          <w:rFonts w:cs="Arial"/>
          <w:sz w:val="22"/>
          <w:lang w:eastAsia="en-GB"/>
        </w:rPr>
        <w:t>future public health</w:t>
      </w:r>
      <w:r w:rsidR="00320102" w:rsidRPr="01D6E5B9">
        <w:rPr>
          <w:rFonts w:cs="Arial"/>
          <w:sz w:val="22"/>
          <w:lang w:eastAsia="en-GB"/>
        </w:rPr>
        <w:t xml:space="preserve">. </w:t>
      </w:r>
      <w:r w:rsidR="004B624B" w:rsidRPr="01D6E5B9">
        <w:rPr>
          <w:rFonts w:cs="Arial"/>
          <w:sz w:val="22"/>
          <w:lang w:eastAsia="en-GB"/>
        </w:rPr>
        <w:t>A</w:t>
      </w:r>
      <w:r w:rsidR="00981C37" w:rsidRPr="01D6E5B9">
        <w:rPr>
          <w:rFonts w:cs="Arial"/>
          <w:sz w:val="22"/>
          <w:lang w:eastAsia="en-GB"/>
        </w:rPr>
        <w:t xml:space="preserve"> ban of the </w:t>
      </w:r>
      <w:r w:rsidR="00E40EA8" w:rsidRPr="01D6E5B9">
        <w:rPr>
          <w:rFonts w:cs="Arial"/>
          <w:sz w:val="22"/>
          <w:lang w:eastAsia="en-GB"/>
        </w:rPr>
        <w:t>product</w:t>
      </w:r>
      <w:r w:rsidR="004B624B" w:rsidRPr="01D6E5B9">
        <w:rPr>
          <w:rFonts w:cs="Arial"/>
          <w:sz w:val="22"/>
          <w:lang w:eastAsia="en-GB"/>
        </w:rPr>
        <w:t xml:space="preserve"> category</w:t>
      </w:r>
      <w:r w:rsidR="00635367" w:rsidRPr="01D6E5B9">
        <w:rPr>
          <w:rFonts w:cs="Arial"/>
          <w:sz w:val="22"/>
          <w:lang w:eastAsia="en-GB"/>
        </w:rPr>
        <w:t xml:space="preserve"> cannot be considered </w:t>
      </w:r>
      <w:bookmarkStart w:id="1" w:name="_Hlk193366233"/>
      <w:r w:rsidR="00BF0261" w:rsidRPr="01D6E5B9">
        <w:rPr>
          <w:rFonts w:cs="Arial"/>
          <w:sz w:val="22"/>
          <w:lang w:eastAsia="en-GB"/>
        </w:rPr>
        <w:t>motivated, balanced nor purposeful</w:t>
      </w:r>
      <w:bookmarkEnd w:id="1"/>
      <w:r w:rsidR="00BF0261" w:rsidRPr="01D6E5B9">
        <w:rPr>
          <w:rFonts w:cs="Arial"/>
          <w:sz w:val="22"/>
          <w:lang w:eastAsia="en-GB"/>
        </w:rPr>
        <w:t>.</w:t>
      </w:r>
      <w:r w:rsidR="00CC562E" w:rsidRPr="01D6E5B9">
        <w:rPr>
          <w:sz w:val="22"/>
        </w:rPr>
        <w:t xml:space="preserve"> </w:t>
      </w:r>
    </w:p>
    <w:p w14:paraId="5509CE42" w14:textId="1F745DF8" w:rsidR="01D6E5B9" w:rsidRPr="00086EBA" w:rsidRDefault="00C3073E" w:rsidP="01D6E5B9">
      <w:pPr>
        <w:rPr>
          <w:sz w:val="22"/>
        </w:rPr>
      </w:pPr>
      <w:r w:rsidRPr="01D6E5B9">
        <w:rPr>
          <w:sz w:val="22"/>
        </w:rPr>
        <w:t>We</w:t>
      </w:r>
      <w:r w:rsidR="00CC562E" w:rsidRPr="01D6E5B9">
        <w:rPr>
          <w:rFonts w:cs="Arial"/>
          <w:sz w:val="22"/>
          <w:lang w:eastAsia="en-GB"/>
        </w:rPr>
        <w:t xml:space="preserve"> conclude that the proposal, according to all available statistics and particularly considering </w:t>
      </w:r>
      <w:r w:rsidR="009A56C0" w:rsidRPr="01D6E5B9">
        <w:rPr>
          <w:rFonts w:cs="Arial"/>
          <w:sz w:val="22"/>
          <w:lang w:eastAsia="en-GB"/>
        </w:rPr>
        <w:t>France</w:t>
      </w:r>
      <w:r w:rsidR="00CC562E" w:rsidRPr="01D6E5B9">
        <w:rPr>
          <w:rFonts w:cs="Arial"/>
          <w:sz w:val="22"/>
          <w:lang w:eastAsia="en-GB"/>
        </w:rPr>
        <w:t xml:space="preserve">'s smoking prevalence, would represent a profoundly misguided and counterproductive measure, </w:t>
      </w:r>
      <w:r w:rsidR="00F411C9" w:rsidRPr="01D6E5B9">
        <w:rPr>
          <w:rFonts w:cs="Arial"/>
          <w:sz w:val="22"/>
          <w:lang w:eastAsia="en-GB"/>
        </w:rPr>
        <w:t xml:space="preserve">highly </w:t>
      </w:r>
      <w:r w:rsidR="00CC562E" w:rsidRPr="01D6E5B9">
        <w:rPr>
          <w:rFonts w:cs="Arial"/>
          <w:sz w:val="22"/>
          <w:lang w:eastAsia="en-GB"/>
        </w:rPr>
        <w:t>unlikely to achieve its intended public health objectives and potentially exacerbating the very issues it seeks to address.</w:t>
      </w:r>
    </w:p>
    <w:p w14:paraId="47410693" w14:textId="052B4343" w:rsidR="00884ECD" w:rsidRDefault="00320102" w:rsidP="00884ECD">
      <w:pPr>
        <w:rPr>
          <w:rFonts w:cs="Arial"/>
          <w:sz w:val="22"/>
          <w:lang w:eastAsia="en-GB"/>
        </w:rPr>
      </w:pPr>
      <w:r w:rsidRPr="004B7A01">
        <w:rPr>
          <w:rFonts w:cs="Arial"/>
          <w:sz w:val="22"/>
          <w:lang w:eastAsia="en-GB"/>
        </w:rPr>
        <w:t xml:space="preserve">We also consider that the proposed restrictions </w:t>
      </w:r>
      <w:r w:rsidR="00D73873" w:rsidRPr="004B7A01">
        <w:rPr>
          <w:rFonts w:cs="Arial"/>
          <w:sz w:val="22"/>
          <w:lang w:eastAsia="en-GB"/>
        </w:rPr>
        <w:t>pre-empt</w:t>
      </w:r>
      <w:r w:rsidRPr="004B7A01">
        <w:rPr>
          <w:rFonts w:cs="Arial"/>
          <w:sz w:val="22"/>
          <w:lang w:eastAsia="en-GB"/>
        </w:rPr>
        <w:t xml:space="preserve"> the revision of the Tobacco Products Directive, violate the principle of non-discrimination and the freedom of trade and industry (Article </w:t>
      </w:r>
      <w:r w:rsidR="00D30074">
        <w:rPr>
          <w:rFonts w:cs="Arial"/>
          <w:sz w:val="22"/>
          <w:lang w:eastAsia="en-GB"/>
        </w:rPr>
        <w:t xml:space="preserve">34 </w:t>
      </w:r>
      <w:r w:rsidRPr="004B7A01">
        <w:rPr>
          <w:rFonts w:cs="Arial"/>
          <w:sz w:val="22"/>
          <w:lang w:eastAsia="en-GB"/>
        </w:rPr>
        <w:t>TFEU)</w:t>
      </w:r>
      <w:r w:rsidR="00E41D07" w:rsidRPr="004B7A01">
        <w:rPr>
          <w:rFonts w:cs="Arial"/>
          <w:sz w:val="22"/>
          <w:lang w:eastAsia="en-GB"/>
        </w:rPr>
        <w:t xml:space="preserve"> and</w:t>
      </w:r>
      <w:r w:rsidRPr="004B7A01">
        <w:rPr>
          <w:rFonts w:cs="Arial"/>
          <w:sz w:val="22"/>
          <w:lang w:eastAsia="en-GB"/>
        </w:rPr>
        <w:t xml:space="preserve"> that they without due justification contradict legislation recently introduced in other EU Member States.</w:t>
      </w:r>
      <w:r w:rsidR="007D1A87" w:rsidRPr="004B7A01">
        <w:rPr>
          <w:rFonts w:cs="Arial"/>
          <w:sz w:val="22"/>
          <w:lang w:eastAsia="en-GB"/>
        </w:rPr>
        <w:t xml:space="preserve"> </w:t>
      </w:r>
    </w:p>
    <w:p w14:paraId="344A62DC" w14:textId="77777777" w:rsidR="009A56C0" w:rsidRDefault="009A56C0" w:rsidP="00884ECD">
      <w:pPr>
        <w:rPr>
          <w:rFonts w:cs="Arial"/>
          <w:sz w:val="22"/>
          <w:lang w:eastAsia="en-GB"/>
        </w:rPr>
      </w:pPr>
    </w:p>
    <w:p w14:paraId="36C97F85" w14:textId="4CE99D89" w:rsidR="00A2435D" w:rsidRPr="004B7A01" w:rsidRDefault="00156A4F" w:rsidP="009735FF">
      <w:pPr>
        <w:pStyle w:val="Rubrik1"/>
      </w:pPr>
      <w:bookmarkStart w:id="2" w:name="_Hlk183782893"/>
      <w:r w:rsidRPr="004B7A01">
        <w:lastRenderedPageBreak/>
        <w:t>NNPA</w:t>
      </w:r>
      <w:r w:rsidR="009B04D6" w:rsidRPr="004B7A01">
        <w:t>’</w:t>
      </w:r>
      <w:r w:rsidRPr="004B7A01">
        <w:t>s</w:t>
      </w:r>
      <w:r w:rsidR="007A4C23" w:rsidRPr="004B7A01">
        <w:t xml:space="preserve"> opinion on </w:t>
      </w:r>
      <w:bookmarkEnd w:id="2"/>
      <w:r w:rsidR="007A4C23" w:rsidRPr="004B7A01">
        <w:t xml:space="preserve">the </w:t>
      </w:r>
      <w:r w:rsidR="00AC0F07" w:rsidRPr="004B7A01">
        <w:t xml:space="preserve">proposed </w:t>
      </w:r>
      <w:r w:rsidR="00DE4BB0">
        <w:t>ban</w:t>
      </w:r>
    </w:p>
    <w:p w14:paraId="4D42CE9E" w14:textId="3CF06E36" w:rsidR="01D6E5B9" w:rsidRPr="00086EBA" w:rsidRDefault="009F11B7" w:rsidP="01D6E5B9">
      <w:pPr>
        <w:rPr>
          <w:rFonts w:cs="Arial"/>
          <w:sz w:val="22"/>
          <w:lang w:eastAsia="en-GB"/>
        </w:rPr>
      </w:pPr>
      <w:bookmarkStart w:id="3" w:name="_Hlk183783042"/>
      <w:r w:rsidRPr="00086EBA">
        <w:rPr>
          <w:sz w:val="22"/>
        </w:rPr>
        <w:t xml:space="preserve">The </w:t>
      </w:r>
      <w:r w:rsidR="00FE27EE" w:rsidRPr="00086EBA">
        <w:rPr>
          <w:sz w:val="22"/>
        </w:rPr>
        <w:t xml:space="preserve">French </w:t>
      </w:r>
      <w:r w:rsidRPr="00086EBA">
        <w:rPr>
          <w:sz w:val="22"/>
        </w:rPr>
        <w:t xml:space="preserve">government is </w:t>
      </w:r>
      <w:r w:rsidR="00FE27EE" w:rsidRPr="00086EBA">
        <w:rPr>
          <w:sz w:val="22"/>
        </w:rPr>
        <w:t xml:space="preserve">proposing a ban </w:t>
      </w:r>
      <w:bookmarkEnd w:id="3"/>
      <w:r w:rsidR="00F85BA1" w:rsidRPr="00086EBA">
        <w:rPr>
          <w:sz w:val="22"/>
        </w:rPr>
        <w:t xml:space="preserve">on production, manufacture, transport, import, export, possession, offering, transfer, purchase, distribution, and use of </w:t>
      </w:r>
      <w:r w:rsidR="00DE4BB0" w:rsidRPr="00086EBA">
        <w:rPr>
          <w:sz w:val="22"/>
        </w:rPr>
        <w:t xml:space="preserve">nicotine </w:t>
      </w:r>
      <w:r w:rsidR="00F85BA1" w:rsidRPr="00086EBA">
        <w:rPr>
          <w:sz w:val="22"/>
        </w:rPr>
        <w:t>products for oral use</w:t>
      </w:r>
      <w:r w:rsidR="00110B00" w:rsidRPr="00086EBA">
        <w:rPr>
          <w:sz w:val="22"/>
        </w:rPr>
        <w:t xml:space="preserve"> in France. </w:t>
      </w:r>
      <w:r w:rsidR="007F7223" w:rsidRPr="00086EBA">
        <w:rPr>
          <w:sz w:val="22"/>
        </w:rPr>
        <w:t>This will not only deprive</w:t>
      </w:r>
      <w:r w:rsidR="00733328" w:rsidRPr="00086EBA">
        <w:rPr>
          <w:sz w:val="22"/>
        </w:rPr>
        <w:t xml:space="preserve"> </w:t>
      </w:r>
      <w:r w:rsidR="50B28FB5" w:rsidRPr="00086EBA">
        <w:rPr>
          <w:sz w:val="22"/>
        </w:rPr>
        <w:t>France’s smokers (</w:t>
      </w:r>
      <w:r w:rsidR="004B33B9" w:rsidRPr="00086EBA">
        <w:rPr>
          <w:sz w:val="22"/>
        </w:rPr>
        <w:t>31,1</w:t>
      </w:r>
      <w:r w:rsidR="50B28FB5" w:rsidRPr="00086EBA">
        <w:rPr>
          <w:sz w:val="22"/>
        </w:rPr>
        <w:t xml:space="preserve">% of the adult population, or </w:t>
      </w:r>
      <w:r w:rsidR="004B33B9" w:rsidRPr="00086EBA">
        <w:rPr>
          <w:sz w:val="22"/>
        </w:rPr>
        <w:t xml:space="preserve">23,1 </w:t>
      </w:r>
      <w:r w:rsidR="50B28FB5" w:rsidRPr="00086EBA">
        <w:rPr>
          <w:sz w:val="22"/>
        </w:rPr>
        <w:t xml:space="preserve">% </w:t>
      </w:r>
      <w:proofErr w:type="gramStart"/>
      <w:r w:rsidR="50B28FB5" w:rsidRPr="00086EBA">
        <w:rPr>
          <w:sz w:val="22"/>
        </w:rPr>
        <w:t>on a daily basis</w:t>
      </w:r>
      <w:proofErr w:type="gramEnd"/>
      <w:r w:rsidR="004B33B9" w:rsidRPr="00086EBA">
        <w:rPr>
          <w:sz w:val="22"/>
        </w:rPr>
        <w:t xml:space="preserve"> according to Santé </w:t>
      </w:r>
      <w:proofErr w:type="spellStart"/>
      <w:r w:rsidR="004B33B9" w:rsidRPr="00086EBA">
        <w:rPr>
          <w:sz w:val="22"/>
        </w:rPr>
        <w:t>Publique</w:t>
      </w:r>
      <w:proofErr w:type="spellEnd"/>
      <w:r w:rsidR="004B33B9" w:rsidRPr="00086EBA">
        <w:rPr>
          <w:sz w:val="22"/>
        </w:rPr>
        <w:t xml:space="preserve"> France, the national public health agency of France</w:t>
      </w:r>
      <w:r w:rsidR="50B28FB5" w:rsidRPr="00086EBA">
        <w:rPr>
          <w:sz w:val="22"/>
        </w:rPr>
        <w:t xml:space="preserve">) </w:t>
      </w:r>
      <w:r w:rsidR="0082040E" w:rsidRPr="00086EBA">
        <w:rPr>
          <w:sz w:val="22"/>
        </w:rPr>
        <w:t xml:space="preserve">a </w:t>
      </w:r>
      <w:r w:rsidR="00733328" w:rsidRPr="00086EBA">
        <w:rPr>
          <w:sz w:val="22"/>
        </w:rPr>
        <w:t xml:space="preserve">significantly </w:t>
      </w:r>
      <w:r w:rsidR="004849D8" w:rsidRPr="00086EBA">
        <w:rPr>
          <w:sz w:val="22"/>
        </w:rPr>
        <w:t>lower</w:t>
      </w:r>
      <w:r w:rsidR="004849D8">
        <w:rPr>
          <w:sz w:val="22"/>
        </w:rPr>
        <w:t xml:space="preserve"> risk</w:t>
      </w:r>
      <w:r w:rsidR="0082040E" w:rsidRPr="00086EBA">
        <w:rPr>
          <w:sz w:val="22"/>
        </w:rPr>
        <w:t xml:space="preserve"> </w:t>
      </w:r>
      <w:proofErr w:type="gramStart"/>
      <w:r w:rsidR="004849D8" w:rsidRPr="00086EBA">
        <w:rPr>
          <w:sz w:val="22"/>
        </w:rPr>
        <w:t>alternative,</w:t>
      </w:r>
      <w:r w:rsidR="5BC3CBDD" w:rsidRPr="00086EBA">
        <w:rPr>
          <w:rFonts w:cs="Arial"/>
          <w:sz w:val="22"/>
          <w:lang w:eastAsia="en-GB"/>
        </w:rPr>
        <w:t xml:space="preserve"> but</w:t>
      </w:r>
      <w:proofErr w:type="gramEnd"/>
      <w:r w:rsidR="0082040E" w:rsidRPr="00086EBA">
        <w:rPr>
          <w:rFonts w:cs="Arial"/>
          <w:sz w:val="22"/>
          <w:lang w:eastAsia="en-GB"/>
        </w:rPr>
        <w:t xml:space="preserve"> will also </w:t>
      </w:r>
      <w:r w:rsidR="0021488C" w:rsidRPr="00086EBA">
        <w:rPr>
          <w:rFonts w:cs="Arial"/>
          <w:sz w:val="22"/>
          <w:lang w:eastAsia="en-GB"/>
        </w:rPr>
        <w:t xml:space="preserve">limit the </w:t>
      </w:r>
      <w:r w:rsidR="00C73547" w:rsidRPr="00086EBA">
        <w:rPr>
          <w:rFonts w:cs="Arial"/>
          <w:sz w:val="22"/>
          <w:lang w:eastAsia="en-GB"/>
        </w:rPr>
        <w:t xml:space="preserve">private consumption of a regulated and legal product for </w:t>
      </w:r>
      <w:r w:rsidR="00761DA0" w:rsidRPr="00086EBA">
        <w:rPr>
          <w:rFonts w:cs="Arial"/>
          <w:sz w:val="22"/>
          <w:lang w:eastAsia="en-GB"/>
        </w:rPr>
        <w:t>1,4 million</w:t>
      </w:r>
      <w:r w:rsidR="00C73547" w:rsidRPr="00086EBA">
        <w:rPr>
          <w:rFonts w:cs="Arial"/>
          <w:sz w:val="22"/>
          <w:lang w:eastAsia="en-GB"/>
        </w:rPr>
        <w:t xml:space="preserve"> </w:t>
      </w:r>
      <w:r w:rsidR="00A41531" w:rsidRPr="00086EBA">
        <w:rPr>
          <w:rFonts w:cs="Arial"/>
          <w:sz w:val="22"/>
          <w:lang w:eastAsia="en-GB"/>
        </w:rPr>
        <w:t xml:space="preserve">EU citizens </w:t>
      </w:r>
      <w:r w:rsidR="009D34CE" w:rsidRPr="00086EBA">
        <w:rPr>
          <w:rFonts w:cs="Arial"/>
          <w:sz w:val="22"/>
          <w:lang w:eastAsia="en-GB"/>
        </w:rPr>
        <w:t xml:space="preserve">when </w:t>
      </w:r>
      <w:r w:rsidR="00A41531" w:rsidRPr="00086EBA">
        <w:rPr>
          <w:rFonts w:cs="Arial"/>
          <w:sz w:val="22"/>
          <w:lang w:eastAsia="en-GB"/>
        </w:rPr>
        <w:t xml:space="preserve">visiting France. </w:t>
      </w:r>
    </w:p>
    <w:p w14:paraId="74DD7A7A" w14:textId="566FC538" w:rsidR="01D6E5B9" w:rsidRDefault="00487E38" w:rsidP="01D6E5B9">
      <w:pPr>
        <w:rPr>
          <w:rFonts w:cs="Arial"/>
          <w:sz w:val="22"/>
          <w:lang w:eastAsia="en-GB"/>
        </w:rPr>
      </w:pPr>
      <w:r w:rsidRPr="00086EBA">
        <w:rPr>
          <w:rFonts w:cs="Arial"/>
          <w:sz w:val="22"/>
          <w:lang w:eastAsia="en-GB"/>
        </w:rPr>
        <w:t xml:space="preserve">It is highly inconsistent to argue that banning nicotine pouches would be beneficial for public health when a significant portion of the population in France continues to </w:t>
      </w:r>
      <w:r w:rsidR="00570107" w:rsidRPr="00086EBA">
        <w:rPr>
          <w:rFonts w:cs="Arial"/>
          <w:sz w:val="22"/>
          <w:lang w:eastAsia="en-GB"/>
        </w:rPr>
        <w:t xml:space="preserve">use </w:t>
      </w:r>
      <w:r w:rsidR="00281077" w:rsidRPr="00086EBA">
        <w:rPr>
          <w:rFonts w:cs="Arial"/>
          <w:sz w:val="22"/>
          <w:lang w:eastAsia="en-GB"/>
        </w:rPr>
        <w:t>nicotine from higher risk source</w:t>
      </w:r>
      <w:r w:rsidR="00804C6E">
        <w:rPr>
          <w:rFonts w:cs="Arial"/>
          <w:sz w:val="22"/>
          <w:lang w:eastAsia="en-GB"/>
        </w:rPr>
        <w:t>s</w:t>
      </w:r>
      <w:r w:rsidRPr="00086EBA">
        <w:rPr>
          <w:rFonts w:cs="Arial"/>
          <w:sz w:val="22"/>
          <w:lang w:eastAsia="en-GB"/>
        </w:rPr>
        <w:t xml:space="preserve">. </w:t>
      </w:r>
      <w:r w:rsidR="00281077" w:rsidRPr="01D6E5B9">
        <w:rPr>
          <w:rFonts w:cs="Arial"/>
          <w:sz w:val="22"/>
          <w:lang w:eastAsia="en-GB"/>
        </w:rPr>
        <w:t xml:space="preserve">While not </w:t>
      </w:r>
      <w:r w:rsidR="00046215" w:rsidRPr="01D6E5B9">
        <w:rPr>
          <w:rFonts w:cs="Arial"/>
          <w:sz w:val="22"/>
          <w:lang w:eastAsia="en-GB"/>
        </w:rPr>
        <w:t>risk-</w:t>
      </w:r>
      <w:r w:rsidR="00281077" w:rsidRPr="01D6E5B9">
        <w:rPr>
          <w:rFonts w:cs="Arial"/>
          <w:sz w:val="22"/>
          <w:lang w:eastAsia="en-GB"/>
        </w:rPr>
        <w:t xml:space="preserve">free, </w:t>
      </w:r>
      <w:r w:rsidR="007D25F1" w:rsidRPr="01D6E5B9">
        <w:rPr>
          <w:rFonts w:cs="Arial"/>
          <w:sz w:val="22"/>
          <w:lang w:eastAsia="en-GB"/>
        </w:rPr>
        <w:t xml:space="preserve">scientific evidence consistently demonstrates that </w:t>
      </w:r>
      <w:r w:rsidR="00281077" w:rsidRPr="01D6E5B9">
        <w:rPr>
          <w:rFonts w:cs="Arial"/>
          <w:sz w:val="22"/>
          <w:lang w:eastAsia="en-GB"/>
        </w:rPr>
        <w:t xml:space="preserve">the placing of nicotine pouches on the market does not </w:t>
      </w:r>
      <w:r w:rsidR="4CD5C80D" w:rsidRPr="01D6E5B9">
        <w:rPr>
          <w:rFonts w:cs="Arial"/>
          <w:sz w:val="22"/>
          <w:lang w:eastAsia="en-GB"/>
        </w:rPr>
        <w:t xml:space="preserve">pose </w:t>
      </w:r>
      <w:r w:rsidR="00281077" w:rsidRPr="01D6E5B9">
        <w:rPr>
          <w:rFonts w:cs="Arial"/>
          <w:sz w:val="22"/>
          <w:lang w:eastAsia="en-GB"/>
        </w:rPr>
        <w:t>any significant risk to public health</w:t>
      </w:r>
      <w:r w:rsidR="00281077" w:rsidRPr="01D6E5B9">
        <w:rPr>
          <w:rStyle w:val="Fotnotsreferens"/>
          <w:rFonts w:cs="Arial"/>
          <w:sz w:val="22"/>
          <w:lang w:eastAsia="en-GB"/>
        </w:rPr>
        <w:footnoteReference w:id="2"/>
      </w:r>
      <w:r w:rsidR="00281077" w:rsidRPr="01D6E5B9">
        <w:rPr>
          <w:rStyle w:val="Fotnotsreferens"/>
          <w:rFonts w:cs="Arial"/>
          <w:sz w:val="22"/>
          <w:lang w:eastAsia="en-GB"/>
        </w:rPr>
        <w:footnoteReference w:id="3"/>
      </w:r>
      <w:r w:rsidR="00281077" w:rsidRPr="01D6E5B9">
        <w:rPr>
          <w:rStyle w:val="Fotnotsreferens"/>
          <w:rFonts w:cs="Arial"/>
          <w:sz w:val="22"/>
          <w:lang w:eastAsia="en-GB"/>
        </w:rPr>
        <w:footnoteReference w:id="4"/>
      </w:r>
      <w:r w:rsidR="00281077" w:rsidRPr="01D6E5B9">
        <w:rPr>
          <w:rFonts w:cs="Arial"/>
          <w:sz w:val="22"/>
          <w:lang w:eastAsia="en-GB"/>
        </w:rPr>
        <w:t xml:space="preserve"> On the contrary, statistics from countries </w:t>
      </w:r>
      <w:r w:rsidR="42E3C55C" w:rsidRPr="01D6E5B9">
        <w:rPr>
          <w:rFonts w:cs="Arial"/>
          <w:sz w:val="22"/>
          <w:lang w:eastAsia="en-GB"/>
        </w:rPr>
        <w:t>where</w:t>
      </w:r>
      <w:r w:rsidR="00281077" w:rsidRPr="01D6E5B9">
        <w:rPr>
          <w:rFonts w:cs="Arial"/>
          <w:sz w:val="22"/>
          <w:lang w:eastAsia="en-GB"/>
        </w:rPr>
        <w:t xml:space="preserve"> affordable nicotine pouches </w:t>
      </w:r>
      <w:r w:rsidR="77EAA50C" w:rsidRPr="01D6E5B9">
        <w:rPr>
          <w:rFonts w:cs="Arial"/>
          <w:sz w:val="22"/>
          <w:lang w:eastAsia="en-GB"/>
        </w:rPr>
        <w:t xml:space="preserve">are available </w:t>
      </w:r>
      <w:r w:rsidR="00281077" w:rsidRPr="01D6E5B9">
        <w:rPr>
          <w:rFonts w:cs="Arial"/>
          <w:sz w:val="22"/>
          <w:lang w:eastAsia="en-GB"/>
        </w:rPr>
        <w:t xml:space="preserve">indicate that their presence provides a viable and attractive alternative for adult smokers and that the benefits on a societal level are massive. </w:t>
      </w:r>
    </w:p>
    <w:p w14:paraId="36B241DD" w14:textId="471CF909" w:rsidR="01D6E5B9" w:rsidRPr="00086EBA" w:rsidRDefault="007D25F1" w:rsidP="01D6E5B9">
      <w:pPr>
        <w:rPr>
          <w:rFonts w:cs="Arial"/>
          <w:sz w:val="22"/>
          <w:lang w:eastAsia="en-GB"/>
        </w:rPr>
      </w:pPr>
      <w:r w:rsidRPr="00086EBA">
        <w:rPr>
          <w:rFonts w:cs="Arial"/>
          <w:sz w:val="22"/>
          <w:lang w:eastAsia="en-GB"/>
        </w:rPr>
        <w:t>N</w:t>
      </w:r>
      <w:r w:rsidR="00487E38" w:rsidRPr="00086EBA">
        <w:rPr>
          <w:rFonts w:cs="Arial"/>
          <w:sz w:val="22"/>
          <w:lang w:eastAsia="en-GB"/>
        </w:rPr>
        <w:t>icotine pouches are among the least harmful nicotine products available, as they eliminate the risks associated with combustion. Prohibiting the least risky alternative is not only counterproductive from a harm reduction perspective but also undermines fundamental principles of public health policy, which should be based on relative risk assessment. Furthermore, such a ban would violate internal market regulations within the European Union, creating unnecessary barriers to trade and distorting competition between nicotine products. It also infringes on the rights of EU citizens by restricting their ability to choose a demonstrably less harmful alternative, contradicting the EU’s broader commitment to both consumer choice and evidence-based policymaking.</w:t>
      </w:r>
    </w:p>
    <w:p w14:paraId="25A95358" w14:textId="21B87ED6" w:rsidR="01D6E5B9" w:rsidRDefault="0013158D" w:rsidP="01D6E5B9">
      <w:pPr>
        <w:rPr>
          <w:rFonts w:cs="Arial"/>
          <w:sz w:val="22"/>
          <w:lang w:eastAsia="en-GB"/>
        </w:rPr>
      </w:pPr>
      <w:r w:rsidRPr="01D6E5B9">
        <w:rPr>
          <w:rFonts w:cs="Arial"/>
          <w:sz w:val="22"/>
          <w:lang w:eastAsia="en-GB"/>
        </w:rPr>
        <w:t>While NNPA shares the concern for tobacco related harm, the one main factor deciding risk connected to nicotine use</w:t>
      </w:r>
      <w:r w:rsidR="002B6710">
        <w:rPr>
          <w:rFonts w:cs="Arial"/>
          <w:sz w:val="22"/>
          <w:lang w:eastAsia="en-GB"/>
        </w:rPr>
        <w:t>,</w:t>
      </w:r>
      <w:r w:rsidRPr="01D6E5B9">
        <w:rPr>
          <w:rFonts w:cs="Arial"/>
          <w:sz w:val="22"/>
          <w:lang w:eastAsia="en-GB"/>
        </w:rPr>
        <w:t xml:space="preserve"> is how it is consumed</w:t>
      </w:r>
      <w:r w:rsidR="006D33A0">
        <w:rPr>
          <w:rFonts w:cs="Arial"/>
          <w:sz w:val="22"/>
          <w:lang w:eastAsia="en-GB"/>
        </w:rPr>
        <w:t>.</w:t>
      </w:r>
      <w:r w:rsidRPr="01D6E5B9">
        <w:rPr>
          <w:rFonts w:cs="Arial"/>
          <w:sz w:val="22"/>
          <w:lang w:eastAsia="en-GB"/>
        </w:rPr>
        <w:t xml:space="preserve"> </w:t>
      </w:r>
      <w:r w:rsidR="006D33A0">
        <w:rPr>
          <w:rFonts w:cs="Arial"/>
          <w:sz w:val="22"/>
          <w:lang w:eastAsia="en-GB"/>
        </w:rPr>
        <w:t>T</w:t>
      </w:r>
      <w:r w:rsidRPr="01D6E5B9">
        <w:rPr>
          <w:rFonts w:cs="Arial"/>
          <w:sz w:val="22"/>
          <w:lang w:eastAsia="en-GB"/>
        </w:rPr>
        <w:t xml:space="preserve">he relative risk of nicotine pouches compared to cigarettes is unanimously recognized as significantly lower. </w:t>
      </w:r>
    </w:p>
    <w:p w14:paraId="34DF1992" w14:textId="736F30C0" w:rsidR="01D6E5B9" w:rsidRDefault="0013158D" w:rsidP="01D6E5B9">
      <w:pPr>
        <w:rPr>
          <w:rFonts w:cs="Arial"/>
          <w:sz w:val="22"/>
          <w:lang w:eastAsia="en-GB"/>
        </w:rPr>
      </w:pPr>
      <w:r w:rsidRPr="01D6E5B9">
        <w:rPr>
          <w:rFonts w:cs="Arial"/>
          <w:sz w:val="22"/>
          <w:lang w:eastAsia="en-GB"/>
        </w:rPr>
        <w:t>Nicotine pouches have emerged as an effective alternative for consumers seeking to quit smoking. To achieve EU targets on smoking prevalence going from over 20% to below 5% in a situation with over 80 million smokers in the EU, it is essential for policymakers to acknowledge that many smokers are willing to transition away from cigarettes but not necessarily to quit nicotine. Traditional approaches to tobacco control that demand complete nicotine abstinence have proven ineffective for a significant part of the smoking population. Therefore, policymakers should embrace reduced-risk alternatives reach</w:t>
      </w:r>
      <w:r w:rsidR="009D4078">
        <w:rPr>
          <w:rFonts w:cs="Arial"/>
          <w:sz w:val="22"/>
          <w:lang w:eastAsia="en-GB"/>
        </w:rPr>
        <w:t>ing</w:t>
      </w:r>
      <w:r w:rsidRPr="01D6E5B9">
        <w:rPr>
          <w:rFonts w:cs="Arial"/>
          <w:sz w:val="22"/>
          <w:lang w:eastAsia="en-GB"/>
        </w:rPr>
        <w:t xml:space="preserve"> all smokers, </w:t>
      </w:r>
      <w:proofErr w:type="gramStart"/>
      <w:r w:rsidRPr="01D6E5B9">
        <w:rPr>
          <w:rFonts w:cs="Arial"/>
          <w:sz w:val="22"/>
          <w:lang w:eastAsia="en-GB"/>
        </w:rPr>
        <w:t>taking into account</w:t>
      </w:r>
      <w:proofErr w:type="gramEnd"/>
      <w:r w:rsidRPr="01D6E5B9">
        <w:rPr>
          <w:rFonts w:cs="Arial"/>
          <w:sz w:val="22"/>
          <w:lang w:eastAsia="en-GB"/>
        </w:rPr>
        <w:t xml:space="preserve"> </w:t>
      </w:r>
      <w:r w:rsidR="000A0200">
        <w:rPr>
          <w:rFonts w:cs="Arial"/>
          <w:sz w:val="22"/>
          <w:lang w:eastAsia="en-GB"/>
        </w:rPr>
        <w:t xml:space="preserve">all </w:t>
      </w:r>
      <w:r w:rsidRPr="01D6E5B9">
        <w:rPr>
          <w:rFonts w:cs="Arial"/>
          <w:sz w:val="22"/>
          <w:lang w:eastAsia="en-GB"/>
        </w:rPr>
        <w:t>factors</w:t>
      </w:r>
      <w:r w:rsidR="00086EBA">
        <w:rPr>
          <w:rFonts w:cs="Arial"/>
          <w:sz w:val="22"/>
          <w:lang w:eastAsia="en-GB"/>
        </w:rPr>
        <w:t>,</w:t>
      </w:r>
      <w:r w:rsidRPr="01D6E5B9">
        <w:rPr>
          <w:rFonts w:cs="Arial"/>
          <w:sz w:val="22"/>
          <w:lang w:eastAsia="en-GB"/>
        </w:rPr>
        <w:t xml:space="preserve"> </w:t>
      </w:r>
      <w:r w:rsidR="00EC0FD1" w:rsidRPr="00086EBA">
        <w:rPr>
          <w:rFonts w:cs="Arial"/>
          <w:sz w:val="22"/>
          <w:lang w:eastAsia="en-GB"/>
        </w:rPr>
        <w:t>in particular risk.</w:t>
      </w:r>
      <w:r w:rsidR="00EC0FD1" w:rsidRPr="01D6E5B9">
        <w:rPr>
          <w:rFonts w:cs="Arial"/>
          <w:sz w:val="22"/>
          <w:lang w:eastAsia="en-GB"/>
        </w:rPr>
        <w:t xml:space="preserve"> </w:t>
      </w:r>
    </w:p>
    <w:p w14:paraId="702336FF" w14:textId="4A739BD1" w:rsidR="01D6E5B9" w:rsidRDefault="00977098" w:rsidP="01D6E5B9">
      <w:pPr>
        <w:rPr>
          <w:rFonts w:cs="Arial"/>
          <w:sz w:val="22"/>
          <w:lang w:eastAsia="en-GB"/>
        </w:rPr>
      </w:pPr>
      <w:r w:rsidRPr="01D6E5B9">
        <w:rPr>
          <w:rFonts w:cs="Arial"/>
          <w:sz w:val="22"/>
          <w:lang w:eastAsia="en-GB"/>
        </w:rPr>
        <w:t xml:space="preserve">According to EU statistics, Sweden has around the same percentage of nicotine users as the average in the </w:t>
      </w:r>
      <w:r w:rsidR="00DB796C">
        <w:rPr>
          <w:rFonts w:cs="Arial"/>
          <w:sz w:val="22"/>
          <w:lang w:eastAsia="en-GB"/>
        </w:rPr>
        <w:t>U</w:t>
      </w:r>
      <w:r w:rsidRPr="01D6E5B9">
        <w:rPr>
          <w:rFonts w:cs="Arial"/>
          <w:sz w:val="22"/>
          <w:lang w:eastAsia="en-GB"/>
        </w:rPr>
        <w:t>nion, but all indicators of tobacco-related harm including lung cancer, Chronic Obstructive Pulmonary Disease (COPD</w:t>
      </w:r>
      <w:r w:rsidR="6538C9C6" w:rsidRPr="01D6E5B9">
        <w:rPr>
          <w:rFonts w:cs="Arial"/>
          <w:sz w:val="22"/>
          <w:lang w:eastAsia="en-GB"/>
        </w:rPr>
        <w:t>)</w:t>
      </w:r>
      <w:r w:rsidRPr="01D6E5B9">
        <w:rPr>
          <w:rFonts w:cs="Arial"/>
          <w:sz w:val="22"/>
          <w:lang w:eastAsia="en-GB"/>
        </w:rPr>
        <w:t xml:space="preserve"> and general mortality rates related to </w:t>
      </w:r>
      <w:r w:rsidRPr="01D6E5B9">
        <w:rPr>
          <w:rFonts w:cs="Arial"/>
          <w:sz w:val="22"/>
          <w:lang w:eastAsia="en-GB"/>
        </w:rPr>
        <w:lastRenderedPageBreak/>
        <w:t xml:space="preserve">tobacco </w:t>
      </w:r>
      <w:proofErr w:type="gramStart"/>
      <w:r w:rsidRPr="01D6E5B9">
        <w:rPr>
          <w:rFonts w:cs="Arial"/>
          <w:sz w:val="22"/>
          <w:lang w:eastAsia="en-GB"/>
        </w:rPr>
        <w:t>use</w:t>
      </w:r>
      <w:proofErr w:type="gramEnd"/>
      <w:r w:rsidRPr="01D6E5B9">
        <w:rPr>
          <w:rFonts w:cs="Arial"/>
          <w:sz w:val="22"/>
          <w:lang w:eastAsia="en-GB"/>
        </w:rPr>
        <w:t xml:space="preserve"> are significantly lower than in all other Member States (typically 40-50 percent lower). </w:t>
      </w:r>
    </w:p>
    <w:p w14:paraId="1B0803E5" w14:textId="5853D171" w:rsidR="01D6E5B9" w:rsidRDefault="00977098" w:rsidP="01D6E5B9">
      <w:pPr>
        <w:rPr>
          <w:rFonts w:cs="Arial"/>
          <w:sz w:val="22"/>
          <w:lang w:eastAsia="en-GB"/>
        </w:rPr>
      </w:pPr>
      <w:r w:rsidRPr="01D6E5B9">
        <w:rPr>
          <w:rFonts w:cs="Arial"/>
          <w:sz w:val="22"/>
          <w:lang w:eastAsia="en-GB"/>
        </w:rPr>
        <w:t>The risks related to nicotine pouch use are very low (</w:t>
      </w:r>
      <w:r w:rsidR="2C634B44" w:rsidRPr="01D6E5B9">
        <w:rPr>
          <w:rFonts w:cs="Arial"/>
          <w:sz w:val="22"/>
          <w:lang w:eastAsia="en-GB"/>
        </w:rPr>
        <w:t xml:space="preserve">the </w:t>
      </w:r>
      <w:r w:rsidRPr="01D6E5B9">
        <w:rPr>
          <w:rFonts w:cs="Arial"/>
          <w:sz w:val="22"/>
          <w:lang w:eastAsia="en-GB"/>
        </w:rPr>
        <w:t xml:space="preserve">risk profile is </w:t>
      </w:r>
      <w:proofErr w:type="gramStart"/>
      <w:r w:rsidRPr="01D6E5B9">
        <w:rPr>
          <w:rFonts w:cs="Arial"/>
          <w:sz w:val="22"/>
          <w:lang w:eastAsia="en-GB"/>
        </w:rPr>
        <w:t>similar to</w:t>
      </w:r>
      <w:proofErr w:type="gramEnd"/>
      <w:r w:rsidRPr="01D6E5B9">
        <w:rPr>
          <w:rFonts w:cs="Arial"/>
          <w:sz w:val="22"/>
          <w:lang w:eastAsia="en-GB"/>
        </w:rPr>
        <w:t xml:space="preserve"> products used in Nicotine Replacement Therapy i.e. patches, gums etc.) and even if complete abstinence from nicotine is the healthiest choice, the benefits of encouraging smokers to switch to nicotine pouches are undeniable and far outweigh potential drawbacks, even if measured on the total population. </w:t>
      </w:r>
    </w:p>
    <w:p w14:paraId="3D6DE99B" w14:textId="7C87B224" w:rsidR="01D6E5B9" w:rsidRDefault="00977098" w:rsidP="01D6E5B9">
      <w:pPr>
        <w:rPr>
          <w:rFonts w:cs="Arial"/>
          <w:sz w:val="22"/>
          <w:lang w:eastAsia="en-GB"/>
        </w:rPr>
      </w:pPr>
      <w:r w:rsidRPr="01D6E5B9">
        <w:rPr>
          <w:rFonts w:cs="Arial"/>
          <w:sz w:val="22"/>
          <w:lang w:eastAsia="en-GB"/>
        </w:rPr>
        <w:t>Nicotine pouches do not contain tobacco, they are not burned, heated or in any other way chemically altered when used. As such</w:t>
      </w:r>
      <w:r w:rsidR="006C0160">
        <w:rPr>
          <w:rFonts w:cs="Arial"/>
          <w:sz w:val="22"/>
          <w:lang w:eastAsia="en-GB"/>
        </w:rPr>
        <w:t>,</w:t>
      </w:r>
      <w:r w:rsidRPr="01D6E5B9">
        <w:rPr>
          <w:rFonts w:cs="Arial"/>
          <w:sz w:val="22"/>
          <w:lang w:eastAsia="en-GB"/>
        </w:rPr>
        <w:t xml:space="preserve"> the risk is on the completely opposite side of the risk spectrum compared to smoking cigarettes. Tobacco smoke contains more than 7000 chemicals out of which at least 250 are known to be harmful and more than 70 identified as carcinogenic. Nicotine pouches typically contain 10-15 distinct compounds which are food grade and as opposed to combustion byproducts fully identified, non-carcinogenic and intended as well as approved for consumption. </w:t>
      </w:r>
    </w:p>
    <w:p w14:paraId="49006E4A" w14:textId="3E6822C9" w:rsidR="01D6E5B9" w:rsidRDefault="009A443D" w:rsidP="01D6E5B9">
      <w:pPr>
        <w:rPr>
          <w:rFonts w:cs="Arial"/>
          <w:sz w:val="22"/>
          <w:lang w:eastAsia="en-GB"/>
        </w:rPr>
      </w:pPr>
      <w:r w:rsidRPr="01D6E5B9">
        <w:rPr>
          <w:rFonts w:cs="Arial"/>
          <w:sz w:val="22"/>
          <w:lang w:eastAsia="en-GB"/>
        </w:rPr>
        <w:t xml:space="preserve">The main three risks connected to smoking cigarettes are cancer, pulmonary disease and cardiovascular risk. These are well-established facts within the scientific and medical communities including the European Commission’s Knowledge for Policy resource and the World Health Organization (WHO) who both identify these as the primary consequences of smoking cigarettes. </w:t>
      </w:r>
    </w:p>
    <w:p w14:paraId="3F620E29" w14:textId="77777777" w:rsidR="009A443D" w:rsidRPr="004B7A01" w:rsidRDefault="009A443D" w:rsidP="009A443D">
      <w:pPr>
        <w:rPr>
          <w:rFonts w:cs="Arial"/>
          <w:b/>
          <w:bCs/>
          <w:sz w:val="22"/>
          <w:lang w:eastAsia="en-GB"/>
        </w:rPr>
      </w:pPr>
      <w:r w:rsidRPr="004B7A01">
        <w:rPr>
          <w:rFonts w:cs="Arial"/>
          <w:b/>
          <w:bCs/>
          <w:sz w:val="22"/>
          <w:lang w:eastAsia="en-GB"/>
        </w:rPr>
        <w:t xml:space="preserve">Since nicotine pouches do not contain carcinogenic substances and are not chemically altered when used, the risk in the context of cancer would be negligible. </w:t>
      </w:r>
    </w:p>
    <w:p w14:paraId="1E7352FA" w14:textId="57ED18E5" w:rsidR="01D6E5B9" w:rsidRDefault="009A443D" w:rsidP="01D6E5B9">
      <w:pPr>
        <w:rPr>
          <w:rFonts w:cs="Arial"/>
          <w:b/>
          <w:bCs/>
          <w:sz w:val="22"/>
          <w:lang w:eastAsia="en-GB"/>
        </w:rPr>
      </w:pPr>
      <w:r w:rsidRPr="01D6E5B9">
        <w:rPr>
          <w:rFonts w:cs="Arial"/>
          <w:b/>
          <w:bCs/>
          <w:sz w:val="22"/>
          <w:lang w:eastAsia="en-GB"/>
        </w:rPr>
        <w:t>Since nicotine pouches do not emit any byproducts of combustion and the lungs are not exposed</w:t>
      </w:r>
      <w:r w:rsidR="00865537">
        <w:rPr>
          <w:rFonts w:cs="Arial"/>
          <w:b/>
          <w:bCs/>
          <w:sz w:val="22"/>
          <w:lang w:eastAsia="en-GB"/>
        </w:rPr>
        <w:t>,</w:t>
      </w:r>
      <w:r w:rsidRPr="01D6E5B9">
        <w:rPr>
          <w:rFonts w:cs="Arial"/>
          <w:b/>
          <w:bCs/>
          <w:sz w:val="22"/>
          <w:lang w:eastAsia="en-GB"/>
        </w:rPr>
        <w:t xml:space="preserve"> the risk for pulmonary disease would also be negligible. </w:t>
      </w:r>
    </w:p>
    <w:p w14:paraId="5D1C01B5" w14:textId="77777777" w:rsidR="009A443D" w:rsidRDefault="009A443D" w:rsidP="01D6E5B9">
      <w:pPr>
        <w:rPr>
          <w:rFonts w:cs="Arial"/>
          <w:b/>
          <w:bCs/>
          <w:sz w:val="22"/>
          <w:lang w:eastAsia="en-GB"/>
        </w:rPr>
      </w:pPr>
      <w:r w:rsidRPr="01D6E5B9">
        <w:rPr>
          <w:rFonts w:cs="Arial"/>
          <w:sz w:val="22"/>
          <w:lang w:eastAsia="en-GB"/>
        </w:rPr>
        <w:t xml:space="preserve">While both products contain nicotine that can contribute to elevated blood pressure, increased heart rate and vascular constriction, </w:t>
      </w:r>
      <w:r w:rsidRPr="01D6E5B9">
        <w:rPr>
          <w:rFonts w:cs="Arial"/>
          <w:b/>
          <w:bCs/>
          <w:sz w:val="22"/>
          <w:lang w:eastAsia="en-GB"/>
        </w:rPr>
        <w:t xml:space="preserve">the main risk of cardiovascular disease of smoking cigarettes does not derive from the nicotine content but rather from byproducts of combustion </w:t>
      </w:r>
      <w:r w:rsidRPr="01D6E5B9">
        <w:rPr>
          <w:rFonts w:cs="Arial"/>
          <w:sz w:val="22"/>
          <w:lang w:eastAsia="en-GB"/>
        </w:rPr>
        <w:t xml:space="preserve">i.e. carbon monoxide and oxidizing chemicals that significantly increases the risk of atherosclerosis, blood clot formation and chronic inflammation. </w:t>
      </w:r>
      <w:r w:rsidRPr="01D6E5B9">
        <w:rPr>
          <w:rFonts w:cs="Arial"/>
          <w:b/>
          <w:bCs/>
          <w:sz w:val="22"/>
          <w:lang w:eastAsia="en-GB"/>
        </w:rPr>
        <w:t>While nicotine pouches may carry a minimal cardiovascular risk relative to non-use, they are far safer for the cardiovascular system than smoking.</w:t>
      </w:r>
    </w:p>
    <w:p w14:paraId="0332E857" w14:textId="3DA11319" w:rsidR="00A66EB7" w:rsidRDefault="007D12E9" w:rsidP="007D12E9">
      <w:pPr>
        <w:rPr>
          <w:rFonts w:cs="Arial"/>
          <w:sz w:val="22"/>
          <w:lang w:eastAsia="en-GB"/>
        </w:rPr>
      </w:pPr>
      <w:r w:rsidRPr="00D809EB">
        <w:rPr>
          <w:rFonts w:cs="Arial"/>
          <w:sz w:val="22"/>
          <w:lang w:eastAsia="en-GB"/>
        </w:rPr>
        <w:t xml:space="preserve">If the aim is to discourage youth from purchasing </w:t>
      </w:r>
      <w:r w:rsidR="001C05C2">
        <w:rPr>
          <w:rFonts w:cs="Arial"/>
          <w:sz w:val="22"/>
          <w:lang w:eastAsia="en-GB"/>
        </w:rPr>
        <w:t>nicotine pouches</w:t>
      </w:r>
      <w:r w:rsidRPr="00D809EB">
        <w:rPr>
          <w:rFonts w:cs="Arial"/>
          <w:sz w:val="22"/>
          <w:lang w:eastAsia="en-GB"/>
        </w:rPr>
        <w:t xml:space="preserve"> and to prevent nicotine addiction, several more proportionate measures could be considered</w:t>
      </w:r>
      <w:r w:rsidR="00A66EB7">
        <w:rPr>
          <w:rFonts w:cs="Arial"/>
          <w:sz w:val="22"/>
          <w:lang w:eastAsia="en-GB"/>
        </w:rPr>
        <w:t xml:space="preserve">, especially in the context of France where there is currently no regulatory framework in place to oversee nicotine pouches. </w:t>
      </w:r>
    </w:p>
    <w:p w14:paraId="4277476B" w14:textId="6D4B6B01" w:rsidR="007D12E9" w:rsidRPr="00D809EB" w:rsidRDefault="00A66EB7" w:rsidP="007D12E9">
      <w:pPr>
        <w:rPr>
          <w:rFonts w:cs="Arial"/>
          <w:sz w:val="22"/>
          <w:lang w:eastAsia="en-GB"/>
        </w:rPr>
      </w:pPr>
      <w:r>
        <w:rPr>
          <w:rFonts w:cs="Arial"/>
          <w:sz w:val="22"/>
          <w:lang w:eastAsia="en-GB"/>
        </w:rPr>
        <w:t>In this regard, a</w:t>
      </w:r>
      <w:r w:rsidRPr="00A66EB7">
        <w:rPr>
          <w:rFonts w:cs="Arial"/>
          <w:sz w:val="22"/>
          <w:lang w:eastAsia="en-GB"/>
        </w:rPr>
        <w:t xml:space="preserve"> stricter regulatory framework for this category of products would be more appropriate, as it would allow them to deliver their full potential in terms of societal benefits.</w:t>
      </w:r>
    </w:p>
    <w:p w14:paraId="79D00F84" w14:textId="5A606821" w:rsidR="01D6E5B9" w:rsidRDefault="007D12E9" w:rsidP="01D6E5B9">
      <w:pPr>
        <w:rPr>
          <w:rFonts w:cs="Arial"/>
          <w:sz w:val="22"/>
          <w:lang w:eastAsia="en-GB"/>
        </w:rPr>
      </w:pPr>
      <w:r w:rsidRPr="01D6E5B9">
        <w:rPr>
          <w:rFonts w:cs="Arial"/>
          <w:sz w:val="22"/>
          <w:lang w:eastAsia="en-GB"/>
        </w:rPr>
        <w:t>These measures include aligning nicotine pouch regulations with those of vaping products—for example, prohibiting sales to minors, mandating health warnings on packaging</w:t>
      </w:r>
      <w:r w:rsidR="00D2767D" w:rsidRPr="01D6E5B9">
        <w:rPr>
          <w:rFonts w:cs="Arial"/>
          <w:sz w:val="22"/>
          <w:lang w:eastAsia="en-GB"/>
        </w:rPr>
        <w:t xml:space="preserve"> and </w:t>
      </w:r>
      <w:r w:rsidR="00D2767D" w:rsidRPr="01D6E5B9">
        <w:rPr>
          <w:rFonts w:cs="Arial"/>
          <w:sz w:val="22"/>
          <w:lang w:eastAsia="en-GB"/>
        </w:rPr>
        <w:lastRenderedPageBreak/>
        <w:t>introducing a purposeful nicotine content cap to limit extreme products with potentially harmful levels of nicotine</w:t>
      </w:r>
      <w:r w:rsidR="00BB1B30">
        <w:rPr>
          <w:rStyle w:val="Fotnotsreferens"/>
          <w:rFonts w:cs="Arial"/>
          <w:sz w:val="22"/>
          <w:lang w:eastAsia="en-GB"/>
        </w:rPr>
        <w:footnoteReference w:id="5"/>
      </w:r>
      <w:r w:rsidRPr="01D6E5B9">
        <w:rPr>
          <w:rFonts w:cs="Arial"/>
          <w:sz w:val="22"/>
          <w:lang w:eastAsia="en-GB"/>
        </w:rPr>
        <w:t>.</w:t>
      </w:r>
      <w:r w:rsidR="00582E54" w:rsidRPr="01D6E5B9">
        <w:rPr>
          <w:rFonts w:cs="Arial"/>
          <w:sz w:val="22"/>
          <w:lang w:eastAsia="en-GB"/>
        </w:rPr>
        <w:t xml:space="preserve"> </w:t>
      </w:r>
      <w:r w:rsidRPr="01D6E5B9">
        <w:rPr>
          <w:rFonts w:cs="Arial"/>
          <w:sz w:val="22"/>
          <w:lang w:eastAsia="en-GB"/>
        </w:rPr>
        <w:t xml:space="preserve"> </w:t>
      </w:r>
    </w:p>
    <w:p w14:paraId="747245BD" w14:textId="5D22ED17" w:rsidR="007D12E9" w:rsidRPr="00D809EB" w:rsidRDefault="007D12E9" w:rsidP="007D12E9">
      <w:pPr>
        <w:rPr>
          <w:rFonts w:cs="Arial"/>
          <w:sz w:val="22"/>
          <w:lang w:eastAsia="en-GB"/>
        </w:rPr>
      </w:pPr>
      <w:r w:rsidRPr="00D809EB">
        <w:rPr>
          <w:rFonts w:cs="Arial"/>
          <w:sz w:val="22"/>
          <w:lang w:eastAsia="en-GB"/>
        </w:rPr>
        <w:t xml:space="preserve">Another proportionate approach </w:t>
      </w:r>
      <w:r w:rsidR="00EC5E58">
        <w:rPr>
          <w:rFonts w:cs="Arial"/>
          <w:sz w:val="22"/>
          <w:lang w:eastAsia="en-GB"/>
        </w:rPr>
        <w:t xml:space="preserve">for France </w:t>
      </w:r>
      <w:r w:rsidRPr="00D809EB">
        <w:rPr>
          <w:rFonts w:cs="Arial"/>
          <w:sz w:val="22"/>
          <w:lang w:eastAsia="en-GB"/>
        </w:rPr>
        <w:t>could be</w:t>
      </w:r>
      <w:r w:rsidR="00A66EB7">
        <w:rPr>
          <w:rFonts w:cs="Arial"/>
          <w:sz w:val="22"/>
          <w:lang w:eastAsia="en-GB"/>
        </w:rPr>
        <w:t xml:space="preserve"> strictly regulating their distribution by </w:t>
      </w:r>
      <w:r w:rsidRPr="00D809EB">
        <w:rPr>
          <w:rFonts w:cs="Arial"/>
          <w:sz w:val="22"/>
          <w:lang w:eastAsia="en-GB"/>
        </w:rPr>
        <w:t>entrusting sales exclusively to the tobacconists' monopoly, which already has experience controlling the age of purchasers.</w:t>
      </w:r>
    </w:p>
    <w:p w14:paraId="5EEA4C7C" w14:textId="0BB9187C" w:rsidR="007D12E9" w:rsidRPr="00D809EB" w:rsidRDefault="007D12E9" w:rsidP="007D12E9">
      <w:pPr>
        <w:rPr>
          <w:rFonts w:cs="Arial"/>
          <w:sz w:val="22"/>
          <w:lang w:eastAsia="en-GB"/>
        </w:rPr>
      </w:pPr>
      <w:r w:rsidRPr="00D809EB">
        <w:rPr>
          <w:rFonts w:cs="Arial"/>
          <w:sz w:val="22"/>
          <w:lang w:eastAsia="en-GB"/>
        </w:rPr>
        <w:t xml:space="preserve">Additional effective measures could also include introducing child-proof secure packaging, </w:t>
      </w:r>
      <w:r w:rsidR="00E13C05">
        <w:rPr>
          <w:rFonts w:cs="Arial"/>
          <w:sz w:val="22"/>
          <w:lang w:eastAsia="en-GB"/>
        </w:rPr>
        <w:t>regulating</w:t>
      </w:r>
      <w:r w:rsidRPr="00D809EB">
        <w:rPr>
          <w:rFonts w:cs="Arial"/>
          <w:sz w:val="22"/>
          <w:lang w:eastAsia="en-GB"/>
        </w:rPr>
        <w:t xml:space="preserve"> </w:t>
      </w:r>
      <w:proofErr w:type="spellStart"/>
      <w:r w:rsidRPr="00D809EB">
        <w:rPr>
          <w:rFonts w:cs="Arial"/>
          <w:sz w:val="22"/>
          <w:lang w:eastAsia="en-GB"/>
        </w:rPr>
        <w:t>flavor</w:t>
      </w:r>
      <w:proofErr w:type="spellEnd"/>
      <w:r w:rsidR="00E13C05">
        <w:rPr>
          <w:rFonts w:cs="Arial"/>
          <w:sz w:val="22"/>
          <w:lang w:eastAsia="en-GB"/>
        </w:rPr>
        <w:t xml:space="preserve"> descriptor</w:t>
      </w:r>
      <w:r w:rsidRPr="00D809EB">
        <w:rPr>
          <w:rFonts w:cs="Arial"/>
          <w:sz w:val="22"/>
          <w:lang w:eastAsia="en-GB"/>
        </w:rPr>
        <w:t xml:space="preserve">s, and banning online and distance sales. </w:t>
      </w:r>
    </w:p>
    <w:p w14:paraId="46099976" w14:textId="1C3310D7" w:rsidR="01D6E5B9" w:rsidRDefault="00A66EB7" w:rsidP="01D6E5B9">
      <w:pPr>
        <w:rPr>
          <w:rFonts w:cs="Arial"/>
          <w:b/>
          <w:bCs/>
          <w:sz w:val="22"/>
          <w:lang w:eastAsia="en-GB"/>
        </w:rPr>
      </w:pPr>
      <w:r>
        <w:rPr>
          <w:rFonts w:cs="Arial"/>
          <w:b/>
          <w:bCs/>
          <w:sz w:val="22"/>
          <w:lang w:eastAsia="en-GB"/>
        </w:rPr>
        <w:t>From another perspective, r</w:t>
      </w:r>
      <w:r w:rsidR="007D12E9" w:rsidRPr="01D6E5B9">
        <w:rPr>
          <w:rFonts w:cs="Arial"/>
          <w:b/>
          <w:bCs/>
          <w:sz w:val="22"/>
          <w:lang w:eastAsia="en-GB"/>
        </w:rPr>
        <w:t xml:space="preserve">egulating the </w:t>
      </w:r>
      <w:r w:rsidR="00DD4CEC">
        <w:rPr>
          <w:rFonts w:cs="Arial"/>
          <w:b/>
          <w:bCs/>
          <w:sz w:val="22"/>
          <w:lang w:eastAsia="en-GB"/>
        </w:rPr>
        <w:t>nicotine pouch</w:t>
      </w:r>
      <w:r w:rsidR="007D12E9" w:rsidRPr="01D6E5B9">
        <w:rPr>
          <w:rFonts w:cs="Arial"/>
          <w:b/>
          <w:bCs/>
          <w:sz w:val="22"/>
          <w:lang w:eastAsia="en-GB"/>
        </w:rPr>
        <w:t xml:space="preserve"> category instead of imposing a total ban would cause significantly less disruption to trade between EU Member States.</w:t>
      </w:r>
    </w:p>
    <w:p w14:paraId="6D986449" w14:textId="105BA02E" w:rsidR="01D6E5B9" w:rsidRDefault="00515208" w:rsidP="01D6E5B9">
      <w:pPr>
        <w:rPr>
          <w:rFonts w:cs="Arial"/>
          <w:sz w:val="22"/>
          <w:lang w:eastAsia="en-GB"/>
        </w:rPr>
      </w:pPr>
      <w:bookmarkStart w:id="4" w:name="_Hlk183783874"/>
      <w:r w:rsidRPr="01D6E5B9">
        <w:rPr>
          <w:rFonts w:cs="Arial"/>
          <w:sz w:val="22"/>
          <w:lang w:eastAsia="en-GB"/>
        </w:rPr>
        <w:t>It is also worth quoting the unfavourable opinion issued a few weeks ago by the French Council of State on the draft decree, which was based on the lack of necessity and proportionality of the restrictive measures proposed in the decree</w:t>
      </w:r>
      <w:r w:rsidR="00B278AF" w:rsidRPr="01D6E5B9">
        <w:rPr>
          <w:rFonts w:cs="Arial"/>
          <w:sz w:val="22"/>
          <w:lang w:eastAsia="en-GB"/>
        </w:rPr>
        <w:t xml:space="preserve">. </w:t>
      </w:r>
      <w:r w:rsidRPr="01D6E5B9">
        <w:rPr>
          <w:rFonts w:cs="Arial"/>
          <w:sz w:val="22"/>
          <w:lang w:eastAsia="en-GB"/>
        </w:rPr>
        <w:t xml:space="preserve">In particular, in its </w:t>
      </w:r>
      <w:r w:rsidR="00AD2FED" w:rsidRPr="01D6E5B9">
        <w:rPr>
          <w:rFonts w:cs="Arial"/>
          <w:sz w:val="22"/>
          <w:lang w:eastAsia="en-GB"/>
        </w:rPr>
        <w:t>unfavourable</w:t>
      </w:r>
      <w:r w:rsidRPr="01D6E5B9">
        <w:rPr>
          <w:rFonts w:cs="Arial"/>
          <w:sz w:val="22"/>
          <w:lang w:eastAsia="en-GB"/>
        </w:rPr>
        <w:t xml:space="preserve"> opinion</w:t>
      </w:r>
      <w:r w:rsidR="00AD2FED" w:rsidRPr="01D6E5B9">
        <w:rPr>
          <w:rFonts w:cs="Arial"/>
          <w:sz w:val="22"/>
          <w:lang w:eastAsia="en-GB"/>
        </w:rPr>
        <w:t>,</w:t>
      </w:r>
      <w:r w:rsidRPr="01D6E5B9">
        <w:rPr>
          <w:rFonts w:cs="Arial"/>
          <w:sz w:val="22"/>
          <w:lang w:eastAsia="en-GB"/>
        </w:rPr>
        <w:t xml:space="preserve"> the Council of State emphasizes that “</w:t>
      </w:r>
      <w:r w:rsidRPr="01D6E5B9">
        <w:rPr>
          <w:rFonts w:cs="Arial"/>
          <w:i/>
          <w:iCs/>
          <w:sz w:val="22"/>
          <w:lang w:eastAsia="en-GB"/>
        </w:rPr>
        <w:t>while the Public Health Code allows the regulatory authority to impose stricter restrictions on the production, marketing, or consumption of substances than those applicable to all substances listed as poisonous—of which nicotine pouches are a part—any additional restrictions must be introduced only if they are deemed necessary and proportionate</w:t>
      </w:r>
      <w:r w:rsidRPr="01D6E5B9">
        <w:rPr>
          <w:rFonts w:cs="Arial"/>
          <w:sz w:val="22"/>
          <w:lang w:eastAsia="en-GB"/>
        </w:rPr>
        <w:t>”.</w:t>
      </w:r>
    </w:p>
    <w:p w14:paraId="5F1139D2" w14:textId="396F95B6" w:rsidR="01D6E5B9" w:rsidRPr="00C25687" w:rsidRDefault="00515208" w:rsidP="01D6E5B9">
      <w:pPr>
        <w:rPr>
          <w:rFonts w:cs="Arial"/>
          <w:sz w:val="22"/>
          <w:highlight w:val="yellow"/>
          <w:lang w:eastAsia="en-GB"/>
        </w:rPr>
      </w:pPr>
      <w:r w:rsidRPr="01D6E5B9">
        <w:rPr>
          <w:rFonts w:cs="Arial"/>
          <w:sz w:val="22"/>
          <w:lang w:eastAsia="en-GB"/>
        </w:rPr>
        <w:t>It therefore concludes that it is “</w:t>
      </w:r>
      <w:r w:rsidRPr="01D6E5B9">
        <w:rPr>
          <w:rFonts w:cs="Arial"/>
          <w:i/>
          <w:iCs/>
          <w:sz w:val="22"/>
          <w:lang w:eastAsia="en-GB"/>
        </w:rPr>
        <w:t xml:space="preserve">not in a position to assess the necessity of such a set of measures that are more restrictive than those currently applied to nicotine—and even less so their proportionality—due to the </w:t>
      </w:r>
      <w:r w:rsidRPr="01D6E5B9">
        <w:rPr>
          <w:rFonts w:cs="Arial"/>
          <w:b/>
          <w:bCs/>
          <w:i/>
          <w:iCs/>
          <w:sz w:val="22"/>
          <w:lang w:eastAsia="en-GB"/>
        </w:rPr>
        <w:t>lack of elements provided by the Government to justify their necessity and proportionality</w:t>
      </w:r>
      <w:r w:rsidRPr="01D6E5B9">
        <w:rPr>
          <w:rFonts w:cs="Arial"/>
          <w:sz w:val="22"/>
          <w:lang w:eastAsia="en-GB"/>
        </w:rPr>
        <w:t>”.</w:t>
      </w:r>
      <w:r w:rsidR="00D41D05" w:rsidRPr="01D6E5B9">
        <w:rPr>
          <w:rFonts w:cs="Arial"/>
          <w:sz w:val="22"/>
          <w:lang w:eastAsia="en-GB"/>
        </w:rPr>
        <w:t xml:space="preserve"> (our emphasis)</w:t>
      </w:r>
    </w:p>
    <w:p w14:paraId="461E33FE" w14:textId="1301B342" w:rsidR="00045BA4" w:rsidRPr="00C25687" w:rsidRDefault="00556206" w:rsidP="01D6E5B9">
      <w:pPr>
        <w:rPr>
          <w:rFonts w:cs="Arial"/>
          <w:sz w:val="22"/>
          <w:lang w:eastAsia="en-GB"/>
        </w:rPr>
      </w:pPr>
      <w:r w:rsidRPr="00C25687">
        <w:rPr>
          <w:rFonts w:cs="Arial"/>
          <w:sz w:val="22"/>
          <w:lang w:eastAsia="en-GB"/>
        </w:rPr>
        <w:t>We</w:t>
      </w:r>
      <w:r w:rsidR="000745AE" w:rsidRPr="00C25687">
        <w:rPr>
          <w:rFonts w:cs="Arial"/>
          <w:sz w:val="22"/>
          <w:lang w:eastAsia="en-GB"/>
        </w:rPr>
        <w:t xml:space="preserve"> </w:t>
      </w:r>
      <w:r w:rsidR="00D41D05" w:rsidRPr="00C25687">
        <w:rPr>
          <w:rFonts w:cs="Arial"/>
          <w:sz w:val="22"/>
          <w:lang w:eastAsia="en-GB"/>
        </w:rPr>
        <w:t xml:space="preserve">thus </w:t>
      </w:r>
      <w:r w:rsidR="000745AE" w:rsidRPr="00C25687">
        <w:rPr>
          <w:rFonts w:cs="Arial"/>
          <w:sz w:val="22"/>
          <w:lang w:eastAsia="en-GB"/>
        </w:rPr>
        <w:t>find the proposed restrictions</w:t>
      </w:r>
      <w:r w:rsidR="00517FB5" w:rsidRPr="00C25687">
        <w:rPr>
          <w:rFonts w:cs="Arial"/>
          <w:sz w:val="22"/>
          <w:lang w:eastAsia="en-GB"/>
        </w:rPr>
        <w:t xml:space="preserve">, due to the lack of </w:t>
      </w:r>
      <w:r w:rsidR="00FF25A6" w:rsidRPr="00C25687">
        <w:rPr>
          <w:rFonts w:cs="Arial"/>
          <w:sz w:val="22"/>
          <w:lang w:eastAsia="en-GB"/>
        </w:rPr>
        <w:t>positive effects</w:t>
      </w:r>
      <w:r w:rsidR="00EC3370" w:rsidRPr="00C25687">
        <w:rPr>
          <w:rFonts w:cs="Arial"/>
          <w:sz w:val="22"/>
          <w:lang w:eastAsia="en-GB"/>
        </w:rPr>
        <w:t xml:space="preserve"> on public health,</w:t>
      </w:r>
      <w:r w:rsidR="000745AE" w:rsidRPr="00C25687">
        <w:rPr>
          <w:rFonts w:cs="Arial"/>
          <w:sz w:val="22"/>
          <w:lang w:eastAsia="en-GB"/>
        </w:rPr>
        <w:t xml:space="preserve"> to be unjustified and in violation of the principle of free movement of goods. </w:t>
      </w:r>
      <w:r w:rsidR="00FB2802" w:rsidRPr="00C25687">
        <w:rPr>
          <w:rFonts w:cs="Arial"/>
          <w:sz w:val="22"/>
          <w:lang w:eastAsia="en-GB"/>
        </w:rPr>
        <w:t xml:space="preserve">A ban </w:t>
      </w:r>
      <w:r w:rsidR="00D6794B" w:rsidRPr="00C25687">
        <w:rPr>
          <w:rFonts w:cs="Arial"/>
          <w:sz w:val="22"/>
          <w:lang w:eastAsia="en-GB"/>
        </w:rPr>
        <w:t xml:space="preserve">on </w:t>
      </w:r>
      <w:r w:rsidR="000A0574" w:rsidRPr="00C25687">
        <w:rPr>
          <w:rFonts w:cs="Arial"/>
          <w:sz w:val="22"/>
          <w:lang w:eastAsia="en-GB"/>
        </w:rPr>
        <w:t xml:space="preserve">a </w:t>
      </w:r>
      <w:r w:rsidR="00B7044D" w:rsidRPr="00C25687">
        <w:rPr>
          <w:rFonts w:cs="Arial"/>
          <w:sz w:val="22"/>
          <w:lang w:eastAsia="en-GB"/>
        </w:rPr>
        <w:t xml:space="preserve">product with significantly lower </w:t>
      </w:r>
      <w:r w:rsidR="00D41D05" w:rsidRPr="00C25687">
        <w:rPr>
          <w:rFonts w:cs="Arial"/>
          <w:sz w:val="22"/>
          <w:lang w:eastAsia="en-GB"/>
        </w:rPr>
        <w:t xml:space="preserve">risk </w:t>
      </w:r>
      <w:r w:rsidR="00FB2802" w:rsidRPr="00C25687">
        <w:rPr>
          <w:rFonts w:cs="Arial"/>
          <w:sz w:val="22"/>
          <w:lang w:eastAsia="en-GB"/>
        </w:rPr>
        <w:t>cannot be considered motivated, balanced nor purposeful</w:t>
      </w:r>
      <w:r w:rsidR="6333B590" w:rsidRPr="00C25687">
        <w:rPr>
          <w:rFonts w:cs="Arial"/>
          <w:sz w:val="22"/>
          <w:lang w:eastAsia="en-GB"/>
        </w:rPr>
        <w:t>.</w:t>
      </w:r>
    </w:p>
    <w:p w14:paraId="44EF456E" w14:textId="15496BB4" w:rsidR="01D6E5B9" w:rsidRDefault="000745AE" w:rsidP="01D6E5B9">
      <w:pPr>
        <w:rPr>
          <w:rFonts w:cs="Arial"/>
          <w:sz w:val="22"/>
          <w:lang w:eastAsia="en-GB"/>
        </w:rPr>
      </w:pPr>
      <w:r w:rsidRPr="00C25687">
        <w:rPr>
          <w:rFonts w:cs="Arial"/>
          <w:sz w:val="22"/>
          <w:lang w:eastAsia="en-GB"/>
        </w:rPr>
        <w:t>Nicotine pouches are consumed daily by around 1.4 million citizens across 25 EU Member States. The overwhelming majority of these consumers are adults that have switched from smoking traditional tobacco cigarettes as pouches offer a</w:t>
      </w:r>
      <w:r w:rsidR="00C25687">
        <w:rPr>
          <w:rFonts w:cs="Arial"/>
          <w:sz w:val="22"/>
          <w:lang w:eastAsia="en-GB"/>
        </w:rPr>
        <w:t xml:space="preserve"> </w:t>
      </w:r>
      <w:r w:rsidRPr="00C25687">
        <w:rPr>
          <w:rFonts w:cs="Arial"/>
          <w:sz w:val="22"/>
          <w:lang w:eastAsia="en-GB"/>
        </w:rPr>
        <w:t xml:space="preserve">less risky </w:t>
      </w:r>
      <w:r w:rsidR="2C501D58" w:rsidRPr="00C25687">
        <w:rPr>
          <w:rFonts w:cs="Arial"/>
          <w:sz w:val="22"/>
          <w:lang w:eastAsia="en-GB"/>
        </w:rPr>
        <w:t xml:space="preserve">alternative </w:t>
      </w:r>
      <w:r w:rsidRPr="00C25687">
        <w:rPr>
          <w:rFonts w:cs="Arial"/>
          <w:sz w:val="22"/>
          <w:lang w:eastAsia="en-GB"/>
        </w:rPr>
        <w:t xml:space="preserve">of consuming nicotine. </w:t>
      </w:r>
      <w:bookmarkEnd w:id="4"/>
      <w:r w:rsidRPr="00C25687">
        <w:rPr>
          <w:rFonts w:cs="Arial"/>
          <w:sz w:val="22"/>
          <w:lang w:eastAsia="en-GB"/>
        </w:rPr>
        <w:t>It’s to be noted that</w:t>
      </w:r>
      <w:r w:rsidRPr="00C25687">
        <w:t xml:space="preserve"> </w:t>
      </w:r>
      <w:r w:rsidRPr="00C25687">
        <w:rPr>
          <w:rFonts w:cs="Arial"/>
          <w:sz w:val="22"/>
          <w:lang w:eastAsia="en-GB"/>
        </w:rPr>
        <w:t xml:space="preserve">Czech Republic, Slovakia, Hungary, </w:t>
      </w:r>
      <w:r w:rsidR="003D43A9" w:rsidRPr="00C25687">
        <w:rPr>
          <w:rFonts w:cs="Arial"/>
          <w:sz w:val="22"/>
          <w:lang w:eastAsia="en-GB"/>
        </w:rPr>
        <w:t xml:space="preserve">Finland, Italy, Lithuania, </w:t>
      </w:r>
      <w:r w:rsidRPr="00C25687">
        <w:rPr>
          <w:rFonts w:cs="Arial"/>
          <w:sz w:val="22"/>
          <w:lang w:eastAsia="en-GB"/>
        </w:rPr>
        <w:t>Romania, and Sweden have introduced regulation for nicotine pouches</w:t>
      </w:r>
      <w:r w:rsidR="001E007C" w:rsidRPr="00C25687">
        <w:rPr>
          <w:rFonts w:cs="Arial"/>
          <w:sz w:val="22"/>
          <w:lang w:eastAsia="en-GB"/>
        </w:rPr>
        <w:t xml:space="preserve">. </w:t>
      </w:r>
      <w:r w:rsidRPr="00C25687">
        <w:rPr>
          <w:rFonts w:cs="Arial"/>
          <w:sz w:val="22"/>
          <w:lang w:eastAsia="en-GB"/>
        </w:rPr>
        <w:t xml:space="preserve">The proposed </w:t>
      </w:r>
      <w:r w:rsidR="001E007C" w:rsidRPr="00C25687">
        <w:rPr>
          <w:rFonts w:cs="Arial"/>
          <w:sz w:val="22"/>
          <w:lang w:eastAsia="en-GB"/>
        </w:rPr>
        <w:t>ban on oral nicotine product</w:t>
      </w:r>
      <w:r w:rsidR="003D43A9" w:rsidRPr="00C25687">
        <w:rPr>
          <w:rFonts w:cs="Arial"/>
          <w:sz w:val="22"/>
          <w:lang w:eastAsia="en-GB"/>
        </w:rPr>
        <w:t>s</w:t>
      </w:r>
      <w:r w:rsidRPr="00C25687">
        <w:rPr>
          <w:rFonts w:cs="Arial"/>
          <w:sz w:val="22"/>
          <w:lang w:eastAsia="en-GB"/>
        </w:rPr>
        <w:t xml:space="preserve"> is far more restrictive and discards the success of appropriate regulation </w:t>
      </w:r>
      <w:r w:rsidR="003D43A9" w:rsidRPr="00C25687">
        <w:rPr>
          <w:rFonts w:cs="Arial"/>
          <w:sz w:val="22"/>
          <w:lang w:eastAsia="en-GB"/>
        </w:rPr>
        <w:t xml:space="preserve">for example </w:t>
      </w:r>
      <w:r w:rsidRPr="00C25687">
        <w:rPr>
          <w:rFonts w:cs="Arial"/>
          <w:sz w:val="22"/>
          <w:lang w:eastAsia="en-GB"/>
        </w:rPr>
        <w:t>in Sweden which has led to the lowest smoking rate in</w:t>
      </w:r>
      <w:r w:rsidR="20045767" w:rsidRPr="00C25687">
        <w:rPr>
          <w:rFonts w:cs="Arial"/>
          <w:sz w:val="22"/>
          <w:lang w:eastAsia="en-GB"/>
        </w:rPr>
        <w:t xml:space="preserve"> </w:t>
      </w:r>
      <w:r w:rsidRPr="00C25687">
        <w:rPr>
          <w:rFonts w:cs="Arial"/>
          <w:sz w:val="22"/>
          <w:lang w:eastAsia="en-GB"/>
        </w:rPr>
        <w:t>the EU (5.3% 2024) and the lowest levels of smoking-related disease and death</w:t>
      </w:r>
      <w:r w:rsidRPr="00C25687">
        <w:rPr>
          <w:rStyle w:val="Fotnotsreferens"/>
          <w:rFonts w:cs="Arial"/>
          <w:sz w:val="22"/>
          <w:lang w:eastAsia="en-GB"/>
        </w:rPr>
        <w:footnoteReference w:id="6"/>
      </w:r>
      <w:r w:rsidRPr="00C25687">
        <w:rPr>
          <w:rFonts w:cs="Arial"/>
          <w:sz w:val="22"/>
          <w:lang w:eastAsia="en-GB"/>
        </w:rPr>
        <w:t>, in large part due to availability of reduced-risk products such as the use of nicotine pouches. To further highlight the relevance of the data the Swedish Public Health Authority (</w:t>
      </w:r>
      <w:proofErr w:type="spellStart"/>
      <w:r w:rsidRPr="00C25687">
        <w:rPr>
          <w:rFonts w:cs="Arial"/>
          <w:sz w:val="22"/>
          <w:lang w:eastAsia="en-GB"/>
        </w:rPr>
        <w:t>Folkhälsomyndigheten</w:t>
      </w:r>
      <w:proofErr w:type="spellEnd"/>
      <w:r w:rsidRPr="00C25687">
        <w:rPr>
          <w:rFonts w:cs="Arial"/>
          <w:sz w:val="22"/>
          <w:lang w:eastAsia="en-GB"/>
        </w:rPr>
        <w:t>) reports that daily smoking incidence among the 16–29-year-old bracket presently is 2.3%, representing a reduction of nearly 40%</w:t>
      </w:r>
      <w:r w:rsidRPr="00C25687">
        <w:t xml:space="preserve"> </w:t>
      </w:r>
      <w:r w:rsidRPr="00C25687">
        <w:rPr>
          <w:rFonts w:cs="Arial"/>
          <w:sz w:val="22"/>
          <w:lang w:eastAsia="en-GB"/>
        </w:rPr>
        <w:t xml:space="preserve">between 2022 and 2024 which is a clear indication </w:t>
      </w:r>
      <w:r w:rsidRPr="00C25687">
        <w:rPr>
          <w:rFonts w:cs="Arial"/>
          <w:sz w:val="22"/>
          <w:lang w:eastAsia="en-GB"/>
        </w:rPr>
        <w:lastRenderedPageBreak/>
        <w:t>that the presence of nicotine pouches does not contribute to the recruitment of young adult smokers.</w:t>
      </w:r>
      <w:r w:rsidRPr="01D6E5B9">
        <w:rPr>
          <w:rFonts w:cs="Arial"/>
          <w:sz w:val="22"/>
          <w:lang w:eastAsia="en-GB"/>
        </w:rPr>
        <w:t xml:space="preserve"> </w:t>
      </w:r>
    </w:p>
    <w:p w14:paraId="02CC7261" w14:textId="29A9A60B" w:rsidR="01D6E5B9" w:rsidRDefault="001501E9" w:rsidP="01D6E5B9">
      <w:pPr>
        <w:rPr>
          <w:rFonts w:cstheme="majorBidi"/>
          <w:sz w:val="32"/>
          <w:szCs w:val="32"/>
          <w:lang w:eastAsia="en-GB"/>
        </w:rPr>
      </w:pPr>
      <w:r w:rsidRPr="01D6E5B9">
        <w:rPr>
          <w:rFonts w:cstheme="majorBidi"/>
          <w:sz w:val="32"/>
          <w:szCs w:val="32"/>
          <w:lang w:eastAsia="en-GB"/>
        </w:rPr>
        <w:t>Conclusions</w:t>
      </w:r>
    </w:p>
    <w:p w14:paraId="42E0805D" w14:textId="6C53BB66" w:rsidR="01D6E5B9" w:rsidRDefault="00F16F84" w:rsidP="01D6E5B9">
      <w:pPr>
        <w:rPr>
          <w:rFonts w:cs="Arial"/>
          <w:sz w:val="22"/>
          <w:lang w:eastAsia="en-GB"/>
        </w:rPr>
      </w:pPr>
      <w:r w:rsidRPr="01D6E5B9">
        <w:rPr>
          <w:rFonts w:cs="Arial"/>
          <w:sz w:val="22"/>
          <w:lang w:eastAsia="en-GB"/>
        </w:rPr>
        <w:t xml:space="preserve">With the above in mind as basis for our motivation, we conclude that the proposal, according to all available statistics and particularly considering </w:t>
      </w:r>
      <w:r w:rsidR="00E96DBE" w:rsidRPr="01D6E5B9">
        <w:rPr>
          <w:rFonts w:cs="Arial"/>
          <w:sz w:val="22"/>
          <w:lang w:eastAsia="en-GB"/>
        </w:rPr>
        <w:t>Frances’s</w:t>
      </w:r>
      <w:r w:rsidRPr="01D6E5B9">
        <w:rPr>
          <w:rFonts w:cs="Arial"/>
          <w:sz w:val="22"/>
          <w:lang w:eastAsia="en-GB"/>
        </w:rPr>
        <w:t xml:space="preserve"> smoking prevalence, would represent a profoundly misguided and counterproductive measure, unlikely to achieve its intended public health objectives and potentially</w:t>
      </w:r>
      <w:r w:rsidR="00B65F7B" w:rsidRPr="01D6E5B9">
        <w:rPr>
          <w:rFonts w:cs="Arial"/>
          <w:sz w:val="22"/>
          <w:lang w:eastAsia="en-GB"/>
        </w:rPr>
        <w:t xml:space="preserve"> or even likely</w:t>
      </w:r>
      <w:r w:rsidRPr="01D6E5B9">
        <w:rPr>
          <w:rFonts w:cs="Arial"/>
          <w:sz w:val="22"/>
          <w:lang w:eastAsia="en-GB"/>
        </w:rPr>
        <w:t xml:space="preserve"> exacerbating the very issues it seeks to address.</w:t>
      </w:r>
    </w:p>
    <w:p w14:paraId="2A017A00" w14:textId="63493C3A" w:rsidR="01D6E5B9" w:rsidRDefault="00D65144" w:rsidP="01D6E5B9">
      <w:pPr>
        <w:rPr>
          <w:rFonts w:cs="Arial"/>
          <w:sz w:val="22"/>
          <w:lang w:eastAsia="en-GB"/>
        </w:rPr>
      </w:pPr>
      <w:r w:rsidRPr="01D6E5B9">
        <w:rPr>
          <w:rFonts w:cs="Arial"/>
          <w:sz w:val="22"/>
          <w:lang w:eastAsia="en-GB"/>
        </w:rPr>
        <w:t xml:space="preserve">The </w:t>
      </w:r>
      <w:r w:rsidR="00122663" w:rsidRPr="01D6E5B9">
        <w:rPr>
          <w:rFonts w:cs="Arial"/>
          <w:sz w:val="22"/>
          <w:lang w:eastAsia="en-GB"/>
        </w:rPr>
        <w:t xml:space="preserve">justification </w:t>
      </w:r>
      <w:r w:rsidR="003A5BCE" w:rsidRPr="01D6E5B9">
        <w:rPr>
          <w:rFonts w:cs="Arial"/>
          <w:sz w:val="22"/>
          <w:lang w:eastAsia="en-GB"/>
        </w:rPr>
        <w:t>criteria</w:t>
      </w:r>
      <w:r w:rsidR="00122663" w:rsidRPr="01D6E5B9">
        <w:rPr>
          <w:rFonts w:cs="Arial"/>
          <w:sz w:val="22"/>
          <w:lang w:eastAsia="en-GB"/>
        </w:rPr>
        <w:t xml:space="preserve"> cannot be met for the </w:t>
      </w:r>
      <w:r w:rsidR="00783B0C" w:rsidRPr="01D6E5B9">
        <w:rPr>
          <w:rFonts w:cs="Arial"/>
          <w:sz w:val="22"/>
          <w:lang w:eastAsia="en-GB"/>
        </w:rPr>
        <w:t>proposed restrictions</w:t>
      </w:r>
      <w:r w:rsidR="008E4FDB" w:rsidRPr="01D6E5B9">
        <w:rPr>
          <w:rFonts w:cs="Arial"/>
          <w:sz w:val="22"/>
          <w:lang w:eastAsia="en-GB"/>
        </w:rPr>
        <w:t xml:space="preserve"> and that the draft Law will restrict the free movement of goods (Article 34 TFEU</w:t>
      </w:r>
      <w:r w:rsidR="00B63AE2" w:rsidRPr="01D6E5B9">
        <w:rPr>
          <w:rFonts w:cs="Arial"/>
          <w:sz w:val="22"/>
          <w:lang w:eastAsia="en-GB"/>
        </w:rPr>
        <w:t>)</w:t>
      </w:r>
    </w:p>
    <w:p w14:paraId="29B19863" w14:textId="4CC47073" w:rsidR="00DF3946" w:rsidRPr="004B7A01" w:rsidRDefault="00DF3946" w:rsidP="00105152">
      <w:pPr>
        <w:pStyle w:val="Liststycke"/>
        <w:numPr>
          <w:ilvl w:val="0"/>
          <w:numId w:val="7"/>
        </w:numPr>
        <w:rPr>
          <w:rFonts w:cs="Arial"/>
          <w:i/>
          <w:iCs/>
          <w:sz w:val="22"/>
          <w:lang w:eastAsia="en-GB"/>
        </w:rPr>
      </w:pPr>
      <w:bookmarkStart w:id="5" w:name="_Hlk183784389"/>
      <w:r w:rsidRPr="004B7A01">
        <w:rPr>
          <w:rFonts w:cs="Arial"/>
          <w:i/>
          <w:iCs/>
          <w:sz w:val="22"/>
          <w:lang w:eastAsia="en-GB"/>
        </w:rPr>
        <w:t xml:space="preserve">There </w:t>
      </w:r>
      <w:r w:rsidR="0072167E" w:rsidRPr="004B7A01">
        <w:rPr>
          <w:rFonts w:cs="Arial"/>
          <w:i/>
          <w:iCs/>
          <w:sz w:val="22"/>
          <w:lang w:eastAsia="en-GB"/>
        </w:rPr>
        <w:t>are</w:t>
      </w:r>
      <w:r w:rsidRPr="004B7A01">
        <w:rPr>
          <w:rFonts w:cs="Arial"/>
          <w:i/>
          <w:iCs/>
          <w:sz w:val="22"/>
          <w:lang w:eastAsia="en-GB"/>
        </w:rPr>
        <w:t xml:space="preserve"> no public health risk</w:t>
      </w:r>
      <w:r w:rsidR="0072167E" w:rsidRPr="004B7A01">
        <w:rPr>
          <w:rFonts w:cs="Arial"/>
          <w:i/>
          <w:iCs/>
          <w:sz w:val="22"/>
          <w:lang w:eastAsia="en-GB"/>
        </w:rPr>
        <w:t>s</w:t>
      </w:r>
      <w:r w:rsidRPr="004B7A01">
        <w:rPr>
          <w:rFonts w:cs="Arial"/>
          <w:i/>
          <w:iCs/>
          <w:sz w:val="22"/>
          <w:lang w:eastAsia="en-GB"/>
        </w:rPr>
        <w:t xml:space="preserve"> that could justify restrictions on the free movement of nicotine pouches. On the contrary, such restrictions are likely to have the opposite effect by reducing access to reduced risk alternatives </w:t>
      </w:r>
      <w:r w:rsidR="00D60AAE" w:rsidRPr="004B7A01">
        <w:rPr>
          <w:rFonts w:cs="Arial"/>
          <w:i/>
          <w:iCs/>
          <w:sz w:val="22"/>
          <w:lang w:eastAsia="en-GB"/>
        </w:rPr>
        <w:t xml:space="preserve">that are </w:t>
      </w:r>
      <w:r w:rsidR="0072167E" w:rsidRPr="004B7A01">
        <w:rPr>
          <w:rFonts w:cs="Arial"/>
          <w:i/>
          <w:iCs/>
          <w:sz w:val="22"/>
          <w:lang w:eastAsia="en-GB"/>
        </w:rPr>
        <w:t>beneficial to smokers</w:t>
      </w:r>
      <w:r w:rsidR="00D60AAE" w:rsidRPr="004B7A01">
        <w:rPr>
          <w:rFonts w:cs="Arial"/>
          <w:i/>
          <w:iCs/>
          <w:sz w:val="22"/>
          <w:lang w:eastAsia="en-GB"/>
        </w:rPr>
        <w:t>,</w:t>
      </w:r>
      <w:r w:rsidR="0072167E" w:rsidRPr="004B7A01">
        <w:rPr>
          <w:rFonts w:cs="Arial"/>
          <w:i/>
          <w:iCs/>
          <w:sz w:val="22"/>
          <w:lang w:eastAsia="en-GB"/>
        </w:rPr>
        <w:t xml:space="preserve"> as recognized by </w:t>
      </w:r>
      <w:proofErr w:type="spellStart"/>
      <w:r w:rsidR="0072167E" w:rsidRPr="004B7A01">
        <w:rPr>
          <w:rFonts w:cs="Arial"/>
          <w:i/>
          <w:iCs/>
          <w:sz w:val="22"/>
          <w:lang w:eastAsia="en-GB"/>
        </w:rPr>
        <w:t>Bf</w:t>
      </w:r>
      <w:r w:rsidR="00C25687">
        <w:rPr>
          <w:rFonts w:cs="Arial"/>
          <w:i/>
          <w:iCs/>
          <w:sz w:val="22"/>
          <w:lang w:eastAsia="en-GB"/>
        </w:rPr>
        <w:t>R</w:t>
      </w:r>
      <w:proofErr w:type="spellEnd"/>
      <w:r w:rsidR="0072167E" w:rsidRPr="004B7A01">
        <w:rPr>
          <w:rFonts w:cs="Arial"/>
          <w:i/>
          <w:iCs/>
          <w:sz w:val="22"/>
          <w:lang w:eastAsia="en-GB"/>
        </w:rPr>
        <w:t>, COT and RIVM</w:t>
      </w:r>
      <w:bookmarkEnd w:id="5"/>
      <w:r w:rsidR="0072167E" w:rsidRPr="004B7A01">
        <w:rPr>
          <w:rFonts w:cs="Arial"/>
          <w:i/>
          <w:iCs/>
          <w:sz w:val="22"/>
          <w:lang w:eastAsia="en-GB"/>
        </w:rPr>
        <w:t xml:space="preserve"> (footnote </w:t>
      </w:r>
      <w:r w:rsidR="00C25687">
        <w:rPr>
          <w:rFonts w:cs="Arial"/>
          <w:i/>
          <w:iCs/>
          <w:sz w:val="22"/>
          <w:lang w:eastAsia="en-GB"/>
        </w:rPr>
        <w:t xml:space="preserve">3, </w:t>
      </w:r>
      <w:r w:rsidR="00276EE7" w:rsidRPr="004B7A01">
        <w:rPr>
          <w:rFonts w:cs="Arial"/>
          <w:i/>
          <w:iCs/>
          <w:sz w:val="22"/>
          <w:lang w:eastAsia="en-GB"/>
        </w:rPr>
        <w:t>4</w:t>
      </w:r>
      <w:r w:rsidR="00C25687">
        <w:rPr>
          <w:rFonts w:cs="Arial"/>
          <w:i/>
          <w:iCs/>
          <w:sz w:val="22"/>
          <w:lang w:eastAsia="en-GB"/>
        </w:rPr>
        <w:t xml:space="preserve"> </w:t>
      </w:r>
      <w:r w:rsidR="00276EE7" w:rsidRPr="004B7A01">
        <w:rPr>
          <w:rFonts w:cs="Arial"/>
          <w:i/>
          <w:iCs/>
          <w:sz w:val="22"/>
          <w:lang w:eastAsia="en-GB"/>
        </w:rPr>
        <w:t>and</w:t>
      </w:r>
      <w:r w:rsidR="0004343A" w:rsidRPr="004B7A01">
        <w:rPr>
          <w:rFonts w:cs="Arial"/>
          <w:i/>
          <w:iCs/>
          <w:sz w:val="22"/>
          <w:lang w:eastAsia="en-GB"/>
        </w:rPr>
        <w:t xml:space="preserve"> </w:t>
      </w:r>
      <w:r w:rsidR="00C25687">
        <w:rPr>
          <w:rFonts w:cs="Arial"/>
          <w:i/>
          <w:iCs/>
          <w:sz w:val="22"/>
          <w:lang w:eastAsia="en-GB"/>
        </w:rPr>
        <w:t>5</w:t>
      </w:r>
      <w:r w:rsidR="0072167E" w:rsidRPr="004B7A01">
        <w:rPr>
          <w:rFonts w:cs="Arial"/>
          <w:i/>
          <w:iCs/>
          <w:sz w:val="22"/>
          <w:lang w:eastAsia="en-GB"/>
        </w:rPr>
        <w:t>)</w:t>
      </w:r>
    </w:p>
    <w:p w14:paraId="68009DF3" w14:textId="77777777" w:rsidR="0072167E" w:rsidRPr="004B7A01" w:rsidRDefault="0072167E" w:rsidP="001772B8">
      <w:pPr>
        <w:pStyle w:val="Liststycke"/>
        <w:rPr>
          <w:rFonts w:cs="Arial"/>
          <w:i/>
          <w:iCs/>
          <w:sz w:val="22"/>
          <w:lang w:eastAsia="en-GB"/>
        </w:rPr>
      </w:pPr>
    </w:p>
    <w:p w14:paraId="355D1F91" w14:textId="3B31D976" w:rsidR="0072167E" w:rsidRPr="004B7A01" w:rsidRDefault="0076071B" w:rsidP="0072167E">
      <w:pPr>
        <w:pStyle w:val="Liststycke"/>
        <w:numPr>
          <w:ilvl w:val="0"/>
          <w:numId w:val="7"/>
        </w:numPr>
        <w:rPr>
          <w:rFonts w:cs="Arial"/>
          <w:i/>
          <w:iCs/>
          <w:sz w:val="22"/>
          <w:lang w:eastAsia="en-GB"/>
        </w:rPr>
      </w:pPr>
      <w:bookmarkStart w:id="6" w:name="_Hlk183784661"/>
      <w:r w:rsidRPr="004B7A01">
        <w:rPr>
          <w:rFonts w:cs="Arial"/>
          <w:i/>
          <w:iCs/>
          <w:sz w:val="22"/>
          <w:lang w:eastAsia="en-GB"/>
        </w:rPr>
        <w:t xml:space="preserve">The ban </w:t>
      </w:r>
      <w:r w:rsidR="00DE7592" w:rsidRPr="004B7A01">
        <w:rPr>
          <w:rFonts w:cs="Arial"/>
          <w:i/>
          <w:iCs/>
          <w:sz w:val="22"/>
          <w:lang w:eastAsia="en-GB"/>
        </w:rPr>
        <w:t xml:space="preserve">is not proportionate </w:t>
      </w:r>
      <w:r w:rsidR="00CC3D13" w:rsidRPr="004B7A01">
        <w:rPr>
          <w:rFonts w:cs="Arial"/>
          <w:i/>
          <w:iCs/>
          <w:sz w:val="22"/>
          <w:lang w:eastAsia="en-GB"/>
        </w:rPr>
        <w:t xml:space="preserve">since </w:t>
      </w:r>
      <w:r w:rsidR="00C81FBB" w:rsidRPr="004B7A01">
        <w:rPr>
          <w:rFonts w:cs="Arial"/>
          <w:i/>
          <w:iCs/>
          <w:sz w:val="22"/>
          <w:lang w:eastAsia="en-GB"/>
        </w:rPr>
        <w:t xml:space="preserve">there is no </w:t>
      </w:r>
      <w:r w:rsidR="00A66C1C" w:rsidRPr="004B7A01">
        <w:rPr>
          <w:rFonts w:cs="Arial"/>
          <w:i/>
          <w:iCs/>
          <w:sz w:val="22"/>
          <w:lang w:eastAsia="en-GB"/>
        </w:rPr>
        <w:t>scientific evidence or even statistical indicat</w:t>
      </w:r>
      <w:r w:rsidR="00820D80" w:rsidRPr="004B7A01">
        <w:rPr>
          <w:rFonts w:cs="Arial"/>
          <w:i/>
          <w:iCs/>
          <w:sz w:val="22"/>
          <w:lang w:eastAsia="en-GB"/>
        </w:rPr>
        <w:t>ions</w:t>
      </w:r>
      <w:r w:rsidR="00A66C1C" w:rsidRPr="004B7A01">
        <w:rPr>
          <w:rFonts w:cs="Arial"/>
          <w:i/>
          <w:iCs/>
          <w:sz w:val="22"/>
          <w:lang w:eastAsia="en-GB"/>
        </w:rPr>
        <w:t xml:space="preserve"> that </w:t>
      </w:r>
      <w:r w:rsidR="00227F7E" w:rsidRPr="004B7A01">
        <w:rPr>
          <w:rFonts w:cs="Arial"/>
          <w:i/>
          <w:iCs/>
          <w:sz w:val="22"/>
          <w:lang w:eastAsia="en-GB"/>
        </w:rPr>
        <w:t xml:space="preserve">suggest that </w:t>
      </w:r>
      <w:r w:rsidR="00820D80" w:rsidRPr="004B7A01">
        <w:rPr>
          <w:rFonts w:cs="Arial"/>
          <w:i/>
          <w:iCs/>
          <w:sz w:val="22"/>
          <w:lang w:eastAsia="en-GB"/>
        </w:rPr>
        <w:t xml:space="preserve">nicotine users </w:t>
      </w:r>
      <w:r w:rsidR="0048591C" w:rsidRPr="004B7A01">
        <w:rPr>
          <w:rFonts w:cs="Arial"/>
          <w:i/>
          <w:iCs/>
          <w:sz w:val="22"/>
          <w:lang w:eastAsia="en-GB"/>
        </w:rPr>
        <w:t>would be exposed to higher risk by placing nicotine pouches on the market.</w:t>
      </w:r>
      <w:r w:rsidR="00436305" w:rsidRPr="004B7A01">
        <w:rPr>
          <w:rFonts w:cs="Arial"/>
          <w:i/>
          <w:iCs/>
          <w:sz w:val="22"/>
          <w:lang w:eastAsia="en-GB"/>
        </w:rPr>
        <w:t xml:space="preserve"> The</w:t>
      </w:r>
      <w:r w:rsidR="008202DA" w:rsidRPr="004B7A01">
        <w:rPr>
          <w:rFonts w:cs="Arial"/>
          <w:i/>
          <w:iCs/>
          <w:sz w:val="22"/>
          <w:lang w:eastAsia="en-GB"/>
        </w:rPr>
        <w:t xml:space="preserve"> Member States that clearly excel at </w:t>
      </w:r>
      <w:r w:rsidR="00076BA6" w:rsidRPr="004B7A01">
        <w:rPr>
          <w:rFonts w:cs="Arial"/>
          <w:i/>
          <w:iCs/>
          <w:sz w:val="22"/>
          <w:lang w:eastAsia="en-GB"/>
        </w:rPr>
        <w:t xml:space="preserve">reducing </w:t>
      </w:r>
      <w:r w:rsidR="008202DA" w:rsidRPr="004B7A01">
        <w:rPr>
          <w:rFonts w:cs="Arial"/>
          <w:i/>
          <w:iCs/>
          <w:sz w:val="22"/>
          <w:lang w:eastAsia="en-GB"/>
        </w:rPr>
        <w:t xml:space="preserve">tobacco harm </w:t>
      </w:r>
      <w:r w:rsidR="00C12B56" w:rsidRPr="004B7A01">
        <w:rPr>
          <w:rFonts w:cs="Arial"/>
          <w:i/>
          <w:iCs/>
          <w:sz w:val="22"/>
          <w:lang w:eastAsia="en-GB"/>
        </w:rPr>
        <w:t>have</w:t>
      </w:r>
      <w:r w:rsidR="00A0040C" w:rsidRPr="004B7A01">
        <w:rPr>
          <w:rFonts w:cs="Arial"/>
          <w:i/>
          <w:iCs/>
          <w:sz w:val="22"/>
          <w:lang w:eastAsia="en-GB"/>
        </w:rPr>
        <w:t xml:space="preserve"> </w:t>
      </w:r>
      <w:r w:rsidR="007015CC" w:rsidRPr="004B7A01">
        <w:rPr>
          <w:rFonts w:cs="Arial"/>
          <w:i/>
          <w:iCs/>
          <w:sz w:val="22"/>
          <w:lang w:eastAsia="en-GB"/>
        </w:rPr>
        <w:t>nicotine pouches</w:t>
      </w:r>
      <w:r w:rsidR="00A0040C" w:rsidRPr="004B7A01">
        <w:rPr>
          <w:rFonts w:cs="Arial"/>
          <w:i/>
          <w:iCs/>
          <w:sz w:val="22"/>
          <w:lang w:eastAsia="en-GB"/>
        </w:rPr>
        <w:t xml:space="preserve"> </w:t>
      </w:r>
      <w:r w:rsidR="00F97C23" w:rsidRPr="004B7A01">
        <w:rPr>
          <w:rFonts w:cs="Arial"/>
          <w:i/>
          <w:iCs/>
          <w:sz w:val="22"/>
          <w:lang w:eastAsia="en-GB"/>
        </w:rPr>
        <w:t>available on the market showing that</w:t>
      </w:r>
      <w:r w:rsidR="00B27E9D" w:rsidRPr="004B7A01">
        <w:rPr>
          <w:rFonts w:cs="Arial"/>
          <w:i/>
          <w:iCs/>
          <w:sz w:val="22"/>
          <w:lang w:eastAsia="en-GB"/>
        </w:rPr>
        <w:t xml:space="preserve"> </w:t>
      </w:r>
      <w:r w:rsidR="005F5B38">
        <w:rPr>
          <w:rFonts w:cs="Arial"/>
          <w:i/>
          <w:iCs/>
          <w:sz w:val="22"/>
          <w:lang w:eastAsia="en-GB"/>
        </w:rPr>
        <w:t>France</w:t>
      </w:r>
      <w:r w:rsidR="009B26B9" w:rsidRPr="004B7A01">
        <w:rPr>
          <w:rFonts w:cs="Arial"/>
          <w:i/>
          <w:iCs/>
          <w:sz w:val="22"/>
          <w:lang w:eastAsia="en-GB"/>
        </w:rPr>
        <w:t xml:space="preserve"> could achieve </w:t>
      </w:r>
      <w:r w:rsidR="001266A0" w:rsidRPr="004B7A01">
        <w:rPr>
          <w:rFonts w:cs="Arial"/>
          <w:i/>
          <w:iCs/>
          <w:sz w:val="22"/>
          <w:lang w:eastAsia="en-GB"/>
        </w:rPr>
        <w:t xml:space="preserve">even more ambitious </w:t>
      </w:r>
      <w:r w:rsidR="00A2055D" w:rsidRPr="004B7A01">
        <w:rPr>
          <w:rFonts w:cs="Arial"/>
          <w:i/>
          <w:iCs/>
          <w:sz w:val="22"/>
          <w:lang w:eastAsia="en-GB"/>
        </w:rPr>
        <w:t xml:space="preserve">health objectives without </w:t>
      </w:r>
      <w:r w:rsidR="00C10BBB" w:rsidRPr="004B7A01">
        <w:rPr>
          <w:rFonts w:cs="Arial"/>
          <w:i/>
          <w:iCs/>
          <w:sz w:val="22"/>
          <w:lang w:eastAsia="en-GB"/>
        </w:rPr>
        <w:t xml:space="preserve">this </w:t>
      </w:r>
      <w:r w:rsidR="005275CF" w:rsidRPr="004B7A01">
        <w:rPr>
          <w:rFonts w:cs="Arial"/>
          <w:i/>
          <w:iCs/>
          <w:sz w:val="22"/>
          <w:lang w:eastAsia="en-GB"/>
        </w:rPr>
        <w:t>u</w:t>
      </w:r>
      <w:r w:rsidR="00F64C9F" w:rsidRPr="004B7A01">
        <w:rPr>
          <w:rFonts w:cs="Arial"/>
          <w:i/>
          <w:iCs/>
          <w:sz w:val="22"/>
          <w:lang w:eastAsia="en-GB"/>
        </w:rPr>
        <w:t>nwarranted</w:t>
      </w:r>
      <w:r w:rsidR="00B04AB0" w:rsidRPr="004B7A01">
        <w:rPr>
          <w:rFonts w:cs="Arial"/>
          <w:i/>
          <w:iCs/>
          <w:sz w:val="22"/>
          <w:lang w:eastAsia="en-GB"/>
        </w:rPr>
        <w:t>,</w:t>
      </w:r>
      <w:r w:rsidR="00F64C9F" w:rsidRPr="004B7A01">
        <w:rPr>
          <w:rFonts w:cs="Arial"/>
          <w:i/>
          <w:iCs/>
          <w:sz w:val="22"/>
          <w:lang w:eastAsia="en-GB"/>
        </w:rPr>
        <w:t xml:space="preserve"> </w:t>
      </w:r>
      <w:r w:rsidR="001A2770" w:rsidRPr="004B7A01">
        <w:rPr>
          <w:rFonts w:cs="Arial"/>
          <w:i/>
          <w:iCs/>
          <w:sz w:val="22"/>
          <w:lang w:eastAsia="en-GB"/>
        </w:rPr>
        <w:t xml:space="preserve">arbitrary </w:t>
      </w:r>
      <w:r w:rsidR="00B04AB0" w:rsidRPr="004B7A01">
        <w:rPr>
          <w:rFonts w:cs="Arial"/>
          <w:i/>
          <w:iCs/>
          <w:sz w:val="22"/>
          <w:lang w:eastAsia="en-GB"/>
        </w:rPr>
        <w:t xml:space="preserve">and disproportionate </w:t>
      </w:r>
      <w:r w:rsidR="005F5B38">
        <w:rPr>
          <w:rFonts w:cs="Arial"/>
          <w:i/>
          <w:iCs/>
          <w:sz w:val="22"/>
          <w:lang w:eastAsia="en-GB"/>
        </w:rPr>
        <w:t>ban.</w:t>
      </w:r>
    </w:p>
    <w:bookmarkEnd w:id="6"/>
    <w:p w14:paraId="5090DF4F" w14:textId="77777777" w:rsidR="0072167E" w:rsidRPr="004B7A01" w:rsidRDefault="0072167E" w:rsidP="001772B8">
      <w:pPr>
        <w:pStyle w:val="Liststycke"/>
        <w:rPr>
          <w:rFonts w:cs="Arial"/>
          <w:i/>
          <w:iCs/>
          <w:sz w:val="22"/>
          <w:lang w:eastAsia="en-GB"/>
        </w:rPr>
      </w:pPr>
    </w:p>
    <w:p w14:paraId="3E15B463" w14:textId="0B9866CC" w:rsidR="00FC7E7C" w:rsidRPr="00FA040E" w:rsidRDefault="001630B3" w:rsidP="00FA040E">
      <w:pPr>
        <w:pStyle w:val="Liststycke"/>
        <w:numPr>
          <w:ilvl w:val="0"/>
          <w:numId w:val="7"/>
        </w:numPr>
        <w:rPr>
          <w:rFonts w:cs="Arial"/>
          <w:sz w:val="22"/>
          <w:lang w:eastAsia="en-GB"/>
        </w:rPr>
      </w:pPr>
      <w:r w:rsidRPr="004B7A01">
        <w:rPr>
          <w:rFonts w:cs="Arial"/>
          <w:i/>
          <w:iCs/>
          <w:sz w:val="22"/>
          <w:lang w:eastAsia="en-GB"/>
        </w:rPr>
        <w:t xml:space="preserve">It is obvious to us that </w:t>
      </w:r>
      <w:r w:rsidR="00BB44A3" w:rsidRPr="004B7A01">
        <w:rPr>
          <w:rFonts w:cs="Arial"/>
          <w:i/>
          <w:iCs/>
          <w:sz w:val="22"/>
          <w:lang w:eastAsia="en-GB"/>
        </w:rPr>
        <w:t xml:space="preserve">there are </w:t>
      </w:r>
      <w:r w:rsidR="00CC0AF4" w:rsidRPr="00C25687">
        <w:rPr>
          <w:rFonts w:cs="Arial"/>
          <w:i/>
          <w:iCs/>
          <w:sz w:val="22"/>
          <w:lang w:eastAsia="en-GB"/>
        </w:rPr>
        <w:t>alternative</w:t>
      </w:r>
      <w:r w:rsidR="00C25687">
        <w:rPr>
          <w:rFonts w:cs="Arial"/>
          <w:i/>
          <w:iCs/>
          <w:sz w:val="22"/>
          <w:lang w:eastAsia="en-GB"/>
        </w:rPr>
        <w:t>,</w:t>
      </w:r>
      <w:r w:rsidR="00CC0AF4" w:rsidRPr="00C25687">
        <w:rPr>
          <w:rFonts w:cs="Arial"/>
          <w:i/>
          <w:iCs/>
          <w:sz w:val="22"/>
          <w:lang w:eastAsia="en-GB"/>
        </w:rPr>
        <w:t xml:space="preserve"> </w:t>
      </w:r>
      <w:r w:rsidR="00C03DA4" w:rsidRPr="00C25687">
        <w:rPr>
          <w:rFonts w:cs="Arial"/>
          <w:i/>
          <w:iCs/>
          <w:sz w:val="22"/>
          <w:lang w:eastAsia="en-GB"/>
        </w:rPr>
        <w:t>more purposeful</w:t>
      </w:r>
      <w:r w:rsidR="00BB44A3" w:rsidRPr="00C25687">
        <w:rPr>
          <w:rFonts w:cs="Arial"/>
          <w:i/>
          <w:iCs/>
          <w:sz w:val="22"/>
          <w:lang w:eastAsia="en-GB"/>
        </w:rPr>
        <w:t xml:space="preserve"> measures</w:t>
      </w:r>
      <w:r w:rsidR="00F45E82" w:rsidRPr="00C25687">
        <w:rPr>
          <w:rFonts w:cs="Arial"/>
          <w:i/>
          <w:iCs/>
          <w:sz w:val="22"/>
          <w:lang w:eastAsia="en-GB"/>
        </w:rPr>
        <w:t xml:space="preserve"> that can </w:t>
      </w:r>
      <w:r w:rsidR="005A0A3F" w:rsidRPr="00C25687">
        <w:rPr>
          <w:rFonts w:cs="Arial"/>
          <w:i/>
          <w:iCs/>
          <w:sz w:val="22"/>
          <w:lang w:eastAsia="en-GB"/>
        </w:rPr>
        <w:t>be used to tackle real and prese</w:t>
      </w:r>
      <w:r w:rsidR="005A0A3F" w:rsidRPr="004B7A01">
        <w:rPr>
          <w:rFonts w:cs="Arial"/>
          <w:i/>
          <w:iCs/>
          <w:sz w:val="22"/>
          <w:lang w:eastAsia="en-GB"/>
        </w:rPr>
        <w:t>nt issues</w:t>
      </w:r>
      <w:r w:rsidR="004D04DB" w:rsidRPr="004B7A01">
        <w:rPr>
          <w:rFonts w:cs="Arial"/>
          <w:i/>
          <w:iCs/>
          <w:sz w:val="22"/>
          <w:lang w:eastAsia="en-GB"/>
        </w:rPr>
        <w:t xml:space="preserve"> related to tobacco</w:t>
      </w:r>
      <w:r w:rsidR="002077FF" w:rsidRPr="004B7A01">
        <w:rPr>
          <w:rFonts w:cs="Arial"/>
          <w:i/>
          <w:iCs/>
          <w:sz w:val="22"/>
          <w:lang w:eastAsia="en-GB"/>
        </w:rPr>
        <w:t xml:space="preserve"> </w:t>
      </w:r>
      <w:r w:rsidR="000A7927" w:rsidRPr="004B7A01">
        <w:rPr>
          <w:rFonts w:cs="Arial"/>
          <w:i/>
          <w:iCs/>
          <w:sz w:val="22"/>
          <w:lang w:eastAsia="en-GB"/>
        </w:rPr>
        <w:t>harm</w:t>
      </w:r>
      <w:r w:rsidR="004D04DB" w:rsidRPr="004B7A01">
        <w:rPr>
          <w:rFonts w:cs="Arial"/>
          <w:i/>
          <w:iCs/>
          <w:sz w:val="22"/>
          <w:lang w:eastAsia="en-GB"/>
        </w:rPr>
        <w:t>,</w:t>
      </w:r>
      <w:r w:rsidR="005A0A3F" w:rsidRPr="004B7A01">
        <w:rPr>
          <w:rFonts w:cs="Arial"/>
          <w:i/>
          <w:iCs/>
          <w:sz w:val="22"/>
          <w:lang w:eastAsia="en-GB"/>
        </w:rPr>
        <w:t xml:space="preserve"> </w:t>
      </w:r>
      <w:r w:rsidR="003D4BD9" w:rsidRPr="004B7A01">
        <w:rPr>
          <w:rFonts w:cs="Arial"/>
          <w:i/>
          <w:iCs/>
          <w:sz w:val="22"/>
          <w:lang w:eastAsia="en-GB"/>
        </w:rPr>
        <w:t xml:space="preserve">instead of </w:t>
      </w:r>
      <w:r w:rsidR="009B0357" w:rsidRPr="004B7A01">
        <w:rPr>
          <w:rFonts w:cs="Arial"/>
          <w:i/>
          <w:iCs/>
          <w:sz w:val="22"/>
          <w:lang w:eastAsia="en-GB"/>
        </w:rPr>
        <w:t>a</w:t>
      </w:r>
      <w:r w:rsidR="00B06E7F">
        <w:rPr>
          <w:rFonts w:cs="Arial"/>
          <w:i/>
          <w:iCs/>
          <w:sz w:val="22"/>
          <w:lang w:eastAsia="en-GB"/>
        </w:rPr>
        <w:t xml:space="preserve"> ban</w:t>
      </w:r>
      <w:r w:rsidR="0068083F" w:rsidRPr="004B7A01">
        <w:rPr>
          <w:rFonts w:cs="Arial"/>
          <w:i/>
          <w:iCs/>
          <w:sz w:val="22"/>
          <w:lang w:eastAsia="en-GB"/>
        </w:rPr>
        <w:t xml:space="preserve">, that by any definition will miss the target of </w:t>
      </w:r>
      <w:bookmarkStart w:id="7" w:name="_Hlk181035095"/>
      <w:r w:rsidR="0079513C" w:rsidRPr="004B7A01">
        <w:rPr>
          <w:rFonts w:cs="Arial"/>
          <w:i/>
          <w:iCs/>
          <w:sz w:val="22"/>
          <w:lang w:eastAsia="en-GB"/>
        </w:rPr>
        <w:t>improving the protection of public health.</w:t>
      </w:r>
      <w:r w:rsidR="0079513C" w:rsidRPr="004B7A01">
        <w:rPr>
          <w:rFonts w:ascii="Segoe UI" w:hAnsi="Segoe UI" w:cs="Segoe UI"/>
          <w:color w:val="0D0D0D"/>
          <w:shd w:val="clear" w:color="auto" w:fill="FFFFFF"/>
        </w:rPr>
        <w:t xml:space="preserve"> </w:t>
      </w:r>
      <w:r w:rsidR="0079513C" w:rsidRPr="004B7A01">
        <w:rPr>
          <w:rFonts w:cs="Arial"/>
          <w:i/>
          <w:iCs/>
          <w:sz w:val="22"/>
          <w:lang w:eastAsia="en-GB"/>
        </w:rPr>
        <w:t xml:space="preserve">Policies should focus on incentivizing and facilitating </w:t>
      </w:r>
      <w:r w:rsidR="006D5F85" w:rsidRPr="004B7A01">
        <w:rPr>
          <w:rFonts w:cs="Arial"/>
          <w:i/>
          <w:iCs/>
          <w:sz w:val="22"/>
          <w:lang w:eastAsia="en-GB"/>
        </w:rPr>
        <w:t xml:space="preserve">smokers </w:t>
      </w:r>
      <w:r w:rsidR="0079513C" w:rsidRPr="004B7A01">
        <w:rPr>
          <w:rFonts w:cs="Arial"/>
          <w:i/>
          <w:iCs/>
          <w:sz w:val="22"/>
          <w:lang w:eastAsia="en-GB"/>
        </w:rPr>
        <w:t>switch</w:t>
      </w:r>
      <w:r w:rsidR="006D5F85" w:rsidRPr="004B7A01">
        <w:rPr>
          <w:rFonts w:cs="Arial"/>
          <w:i/>
          <w:iCs/>
          <w:sz w:val="22"/>
          <w:lang w:eastAsia="en-GB"/>
        </w:rPr>
        <w:t xml:space="preserve">ing to </w:t>
      </w:r>
      <w:r w:rsidR="00D0017B" w:rsidRPr="004B7A01">
        <w:rPr>
          <w:rFonts w:cs="Arial"/>
          <w:i/>
          <w:iCs/>
          <w:sz w:val="22"/>
          <w:lang w:eastAsia="en-GB"/>
        </w:rPr>
        <w:t>nicotine pouches</w:t>
      </w:r>
      <w:r w:rsidR="0079513C" w:rsidRPr="004B7A01">
        <w:rPr>
          <w:rFonts w:cs="Arial"/>
          <w:i/>
          <w:iCs/>
          <w:sz w:val="22"/>
          <w:lang w:eastAsia="en-GB"/>
        </w:rPr>
        <w:t xml:space="preserve"> rather than restricting access, as this would maximize public health benefits and provide a clear pathway for smokers to adopt less harmful alternatives, potentially saving countless lives and reducing healthcare burdens.</w:t>
      </w:r>
    </w:p>
    <w:p w14:paraId="4FED26D0" w14:textId="77777777" w:rsidR="00FA040E" w:rsidRPr="00FA040E" w:rsidRDefault="00FA040E" w:rsidP="00FA040E">
      <w:pPr>
        <w:pStyle w:val="Liststycke"/>
        <w:rPr>
          <w:rFonts w:cs="Arial"/>
          <w:sz w:val="22"/>
          <w:lang w:eastAsia="en-GB"/>
        </w:rPr>
      </w:pPr>
    </w:p>
    <w:p w14:paraId="20E0798C" w14:textId="271ACA1D" w:rsidR="00E41D07" w:rsidRPr="00D809EB" w:rsidRDefault="003B136C" w:rsidP="01D6E5B9">
      <w:pPr>
        <w:pStyle w:val="Liststycke"/>
        <w:numPr>
          <w:ilvl w:val="0"/>
          <w:numId w:val="7"/>
        </w:numPr>
        <w:rPr>
          <w:rFonts w:cs="Arial"/>
          <w:i/>
          <w:iCs/>
          <w:sz w:val="22"/>
          <w:lang w:eastAsia="en-GB"/>
        </w:rPr>
      </w:pPr>
      <w:bookmarkStart w:id="8" w:name="_Hlk183785082"/>
      <w:r w:rsidRPr="01D6E5B9">
        <w:rPr>
          <w:rFonts w:cs="Arial"/>
          <w:i/>
          <w:iCs/>
          <w:sz w:val="22"/>
          <w:lang w:eastAsia="en-GB"/>
        </w:rPr>
        <w:t>We</w:t>
      </w:r>
      <w:r w:rsidR="00F6116C" w:rsidRPr="01D6E5B9">
        <w:rPr>
          <w:rFonts w:cs="Arial"/>
          <w:i/>
          <w:iCs/>
          <w:sz w:val="22"/>
          <w:lang w:eastAsia="en-GB"/>
        </w:rPr>
        <w:t xml:space="preserve"> </w:t>
      </w:r>
      <w:r w:rsidRPr="01D6E5B9">
        <w:rPr>
          <w:rFonts w:cs="Arial"/>
          <w:i/>
          <w:iCs/>
          <w:sz w:val="22"/>
          <w:lang w:eastAsia="en-GB"/>
        </w:rPr>
        <w:t>consider th</w:t>
      </w:r>
      <w:r w:rsidR="00F6116C" w:rsidRPr="01D6E5B9">
        <w:rPr>
          <w:rFonts w:cs="Arial"/>
          <w:i/>
          <w:iCs/>
          <w:sz w:val="22"/>
          <w:lang w:eastAsia="en-GB"/>
        </w:rPr>
        <w:t xml:space="preserve">at the proposed restrictions </w:t>
      </w:r>
      <w:r w:rsidR="008D3D6D" w:rsidRPr="01D6E5B9">
        <w:rPr>
          <w:rFonts w:cs="Arial"/>
          <w:i/>
          <w:iCs/>
          <w:sz w:val="22"/>
          <w:lang w:eastAsia="en-GB"/>
        </w:rPr>
        <w:t>pre-empt</w:t>
      </w:r>
      <w:r w:rsidR="00E06773" w:rsidRPr="01D6E5B9">
        <w:rPr>
          <w:rFonts w:cs="Arial"/>
          <w:i/>
          <w:iCs/>
          <w:sz w:val="22"/>
          <w:lang w:eastAsia="en-GB"/>
        </w:rPr>
        <w:t xml:space="preserve"> the revision of the </w:t>
      </w:r>
      <w:r w:rsidR="00FA77E2" w:rsidRPr="01D6E5B9">
        <w:rPr>
          <w:rFonts w:cs="Arial"/>
          <w:i/>
          <w:iCs/>
          <w:sz w:val="22"/>
          <w:lang w:eastAsia="en-GB"/>
        </w:rPr>
        <w:t xml:space="preserve">Tobacco Products Directive, </w:t>
      </w:r>
      <w:r w:rsidR="00F6116C" w:rsidRPr="01D6E5B9">
        <w:rPr>
          <w:rFonts w:cs="Arial"/>
          <w:i/>
          <w:iCs/>
          <w:sz w:val="22"/>
          <w:lang w:eastAsia="en-GB"/>
        </w:rPr>
        <w:t>violate the principle of non-discrimination and the freedom of trade and industry (</w:t>
      </w:r>
      <w:r w:rsidR="00D30074">
        <w:rPr>
          <w:rFonts w:cs="Arial"/>
          <w:i/>
          <w:iCs/>
          <w:sz w:val="22"/>
          <w:lang w:eastAsia="en-GB"/>
        </w:rPr>
        <w:t>Article 34 TFEU</w:t>
      </w:r>
      <w:r w:rsidR="00F6116C" w:rsidRPr="01D6E5B9">
        <w:rPr>
          <w:rFonts w:cs="Arial"/>
          <w:i/>
          <w:iCs/>
          <w:sz w:val="22"/>
          <w:lang w:eastAsia="en-GB"/>
        </w:rPr>
        <w:t>)</w:t>
      </w:r>
      <w:r w:rsidR="006350BA" w:rsidRPr="01D6E5B9">
        <w:rPr>
          <w:rFonts w:cs="Arial"/>
          <w:i/>
          <w:iCs/>
          <w:sz w:val="22"/>
          <w:lang w:eastAsia="en-GB"/>
        </w:rPr>
        <w:t xml:space="preserve">, </w:t>
      </w:r>
      <w:r w:rsidR="00D23540" w:rsidRPr="01D6E5B9">
        <w:rPr>
          <w:rFonts w:cs="Arial"/>
          <w:i/>
          <w:iCs/>
          <w:sz w:val="22"/>
          <w:lang w:eastAsia="en-GB"/>
        </w:rPr>
        <w:t xml:space="preserve">and </w:t>
      </w:r>
      <w:r w:rsidR="006350BA" w:rsidRPr="01D6E5B9">
        <w:rPr>
          <w:rFonts w:cs="Arial"/>
          <w:i/>
          <w:iCs/>
          <w:sz w:val="22"/>
          <w:lang w:eastAsia="en-GB"/>
        </w:rPr>
        <w:t xml:space="preserve">that they without due justification contradict legislation recently introduced in other EU Member </w:t>
      </w:r>
      <w:r w:rsidR="00EC56F6" w:rsidRPr="01D6E5B9">
        <w:rPr>
          <w:rFonts w:cs="Arial"/>
          <w:i/>
          <w:iCs/>
          <w:sz w:val="22"/>
          <w:lang w:eastAsia="en-GB"/>
        </w:rPr>
        <w:t>States.</w:t>
      </w:r>
      <w:bookmarkEnd w:id="7"/>
      <w:bookmarkEnd w:id="8"/>
    </w:p>
    <w:p w14:paraId="2660F277" w14:textId="7FA8768A" w:rsidR="01D6E5B9" w:rsidRDefault="01D6E5B9" w:rsidP="01D6E5B9">
      <w:pPr>
        <w:pStyle w:val="Liststycke"/>
        <w:rPr>
          <w:rFonts w:cs="Arial"/>
          <w:i/>
          <w:iCs/>
          <w:sz w:val="22"/>
          <w:lang w:eastAsia="en-GB"/>
        </w:rPr>
      </w:pPr>
    </w:p>
    <w:p w14:paraId="79E35DD4" w14:textId="7336536E" w:rsidR="006D12FB" w:rsidRPr="004B7A01" w:rsidRDefault="006D12FB" w:rsidP="01D6E5B9">
      <w:pPr>
        <w:rPr>
          <w:rFonts w:cs="Arial"/>
          <w:b/>
          <w:bCs/>
          <w:sz w:val="22"/>
          <w:lang w:eastAsia="en-GB"/>
        </w:rPr>
      </w:pPr>
      <w:r w:rsidRPr="01D6E5B9">
        <w:rPr>
          <w:rFonts w:cs="Arial"/>
          <w:b/>
          <w:bCs/>
          <w:sz w:val="22"/>
          <w:lang w:eastAsia="en-GB"/>
        </w:rPr>
        <w:t xml:space="preserve">In conclusion, we strongly oppose the proposed restrictions and urge the </w:t>
      </w:r>
      <w:r w:rsidR="00944264">
        <w:rPr>
          <w:rFonts w:cs="Arial"/>
          <w:b/>
          <w:bCs/>
          <w:sz w:val="22"/>
          <w:lang w:eastAsia="en-GB"/>
        </w:rPr>
        <w:t>C</w:t>
      </w:r>
      <w:r w:rsidR="00FA040E" w:rsidRPr="01D6E5B9">
        <w:rPr>
          <w:rFonts w:cs="Arial"/>
          <w:b/>
          <w:bCs/>
          <w:sz w:val="22"/>
          <w:lang w:eastAsia="en-GB"/>
        </w:rPr>
        <w:t xml:space="preserve">ommission </w:t>
      </w:r>
      <w:r w:rsidRPr="01D6E5B9">
        <w:rPr>
          <w:rFonts w:cs="Arial"/>
          <w:b/>
          <w:bCs/>
          <w:sz w:val="22"/>
          <w:lang w:eastAsia="en-GB"/>
        </w:rPr>
        <w:t xml:space="preserve">to </w:t>
      </w:r>
      <w:r w:rsidR="00617283" w:rsidRPr="01D6E5B9">
        <w:rPr>
          <w:rFonts w:cs="Arial"/>
          <w:b/>
          <w:bCs/>
          <w:sz w:val="22"/>
          <w:lang w:eastAsia="en-GB"/>
        </w:rPr>
        <w:t>give a detailed opinion requesti</w:t>
      </w:r>
      <w:r w:rsidR="00941A0D" w:rsidRPr="01D6E5B9">
        <w:rPr>
          <w:rFonts w:cs="Arial"/>
          <w:b/>
          <w:bCs/>
          <w:sz w:val="22"/>
          <w:lang w:eastAsia="en-GB"/>
        </w:rPr>
        <w:t>ng</w:t>
      </w:r>
      <w:r w:rsidRPr="01D6E5B9">
        <w:rPr>
          <w:rFonts w:cs="Arial"/>
          <w:b/>
          <w:bCs/>
          <w:sz w:val="22"/>
          <w:lang w:eastAsia="en-GB"/>
        </w:rPr>
        <w:t xml:space="preserve"> robust evidence, a thorough and objective impact assessment, and consideration</w:t>
      </w:r>
      <w:r w:rsidR="00941A0D" w:rsidRPr="01D6E5B9">
        <w:rPr>
          <w:rFonts w:cs="Arial"/>
          <w:b/>
          <w:bCs/>
          <w:sz w:val="22"/>
          <w:lang w:eastAsia="en-GB"/>
        </w:rPr>
        <w:t xml:space="preserve"> to</w:t>
      </w:r>
      <w:r w:rsidRPr="01D6E5B9">
        <w:rPr>
          <w:rFonts w:cs="Arial"/>
          <w:b/>
          <w:bCs/>
          <w:sz w:val="22"/>
          <w:lang w:eastAsia="en-GB"/>
        </w:rPr>
        <w:t xml:space="preserve"> the latest research demonstrating the significant public health benefits of harm reduction strategies, including the use of nicotine pouches as a safer alternative for smokers</w:t>
      </w:r>
    </w:p>
    <w:p w14:paraId="05FE93B8" w14:textId="3138423F" w:rsidR="01D6E5B9" w:rsidRDefault="01D6E5B9" w:rsidP="01D6E5B9">
      <w:pPr>
        <w:rPr>
          <w:rFonts w:cs="Arial"/>
          <w:b/>
          <w:bCs/>
          <w:sz w:val="22"/>
          <w:lang w:eastAsia="en-GB"/>
        </w:rPr>
      </w:pPr>
    </w:p>
    <w:p w14:paraId="6FF866C7" w14:textId="3BC7C528" w:rsidR="00737337" w:rsidRPr="004B7A01" w:rsidRDefault="00737337" w:rsidP="01D6E5B9">
      <w:pPr>
        <w:rPr>
          <w:rFonts w:cs="Arial"/>
          <w:sz w:val="22"/>
          <w:lang w:eastAsia="en-GB"/>
        </w:rPr>
      </w:pPr>
      <w:r w:rsidRPr="01D6E5B9">
        <w:rPr>
          <w:rFonts w:cs="Arial"/>
          <w:sz w:val="22"/>
          <w:lang w:eastAsia="en-GB"/>
        </w:rPr>
        <w:t>För NNPA, Robert Casinge</w:t>
      </w:r>
    </w:p>
    <w:p w14:paraId="411CCE70" w14:textId="4E729C4C" w:rsidR="01D6E5B9" w:rsidRDefault="01D6E5B9" w:rsidP="01D6E5B9">
      <w:pPr>
        <w:rPr>
          <w:rFonts w:cs="Arial"/>
          <w:sz w:val="22"/>
          <w:lang w:eastAsia="en-GB"/>
        </w:rPr>
      </w:pPr>
    </w:p>
    <w:p w14:paraId="26889BF9" w14:textId="123F4E0A" w:rsidR="005001C5" w:rsidRPr="004B7A01" w:rsidRDefault="00737337" w:rsidP="00737337">
      <w:pPr>
        <w:rPr>
          <w:rFonts w:cs="Arial"/>
          <w:sz w:val="22"/>
        </w:rPr>
      </w:pPr>
      <w:r w:rsidRPr="004B7A01">
        <w:rPr>
          <w:rFonts w:cs="Arial"/>
          <w:sz w:val="22"/>
          <w:lang w:eastAsia="en-GB"/>
        </w:rPr>
        <w:t>Senior partner, regulatory affairs</w:t>
      </w:r>
      <w:r w:rsidR="00220949" w:rsidRPr="004B7A01">
        <w:rPr>
          <w:rFonts w:cs="Arial"/>
          <w:sz w:val="22"/>
        </w:rPr>
        <w:t xml:space="preserve"> </w:t>
      </w:r>
      <w:r w:rsidR="0055425C" w:rsidRPr="004B7A01">
        <w:rPr>
          <w:rFonts w:cs="Arial"/>
          <w:sz w:val="22"/>
        </w:rPr>
        <w:tab/>
      </w:r>
      <w:r w:rsidR="00220949" w:rsidRPr="004B7A01">
        <w:rPr>
          <w:rFonts w:cs="Arial"/>
          <w:sz w:val="22"/>
        </w:rPr>
        <w:t>Brussels 202</w:t>
      </w:r>
      <w:r w:rsidR="00A1403E">
        <w:rPr>
          <w:rFonts w:cs="Arial"/>
          <w:sz w:val="22"/>
        </w:rPr>
        <w:t>5-03-20</w:t>
      </w:r>
    </w:p>
    <w:sectPr w:rsidR="005001C5" w:rsidRPr="004B7A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A0A8" w14:textId="77777777" w:rsidR="004420C1" w:rsidRDefault="004420C1" w:rsidP="008E4FDB">
      <w:pPr>
        <w:spacing w:before="0" w:after="0"/>
      </w:pPr>
      <w:r>
        <w:separator/>
      </w:r>
    </w:p>
  </w:endnote>
  <w:endnote w:type="continuationSeparator" w:id="0">
    <w:p w14:paraId="5C74373A" w14:textId="77777777" w:rsidR="004420C1" w:rsidRDefault="004420C1" w:rsidP="008E4FDB">
      <w:pPr>
        <w:spacing w:before="0" w:after="0"/>
      </w:pPr>
      <w:r>
        <w:continuationSeparator/>
      </w:r>
    </w:p>
  </w:endnote>
  <w:endnote w:type="continuationNotice" w:id="1">
    <w:p w14:paraId="13B1D24A" w14:textId="77777777" w:rsidR="004420C1" w:rsidRDefault="004420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B9B3" w14:textId="77777777" w:rsidR="004420C1" w:rsidRDefault="004420C1" w:rsidP="008E4FDB">
      <w:pPr>
        <w:spacing w:before="0" w:after="0"/>
      </w:pPr>
      <w:r>
        <w:separator/>
      </w:r>
    </w:p>
  </w:footnote>
  <w:footnote w:type="continuationSeparator" w:id="0">
    <w:p w14:paraId="0CB8C6DA" w14:textId="77777777" w:rsidR="004420C1" w:rsidRDefault="004420C1" w:rsidP="008E4FDB">
      <w:pPr>
        <w:spacing w:before="0" w:after="0"/>
      </w:pPr>
      <w:r>
        <w:continuationSeparator/>
      </w:r>
    </w:p>
  </w:footnote>
  <w:footnote w:type="continuationNotice" w:id="1">
    <w:p w14:paraId="590AC651" w14:textId="77777777" w:rsidR="004420C1" w:rsidRDefault="004420C1">
      <w:pPr>
        <w:spacing w:before="0" w:after="0"/>
      </w:pPr>
    </w:p>
  </w:footnote>
  <w:footnote w:id="2">
    <w:p w14:paraId="19BDB2E0" w14:textId="77777777" w:rsidR="00281077" w:rsidRPr="00086EBA" w:rsidRDefault="00281077" w:rsidP="00281077">
      <w:pPr>
        <w:pStyle w:val="Fotnotstext"/>
        <w:rPr>
          <w:rStyle w:val="Hyperlnk"/>
          <w:rFonts w:cs="Arial"/>
          <w:sz w:val="12"/>
          <w:szCs w:val="12"/>
        </w:rPr>
      </w:pPr>
      <w:r w:rsidRPr="00086EBA">
        <w:rPr>
          <w:rStyle w:val="Hyperlnk"/>
          <w:rFonts w:cs="Arial"/>
          <w:sz w:val="12"/>
          <w:szCs w:val="12"/>
        </w:rPr>
        <w:footnoteRef/>
      </w:r>
      <w:r w:rsidRPr="00086EBA">
        <w:rPr>
          <w:rStyle w:val="Hyperlnk"/>
          <w:rFonts w:cs="Arial"/>
          <w:sz w:val="12"/>
          <w:szCs w:val="12"/>
        </w:rPr>
        <w:t xml:space="preserve"> </w:t>
      </w:r>
      <w:hyperlink r:id="rId1" w:history="1">
        <w:r w:rsidRPr="001772B8">
          <w:rPr>
            <w:rStyle w:val="Hyperlnk"/>
            <w:rFonts w:cs="Arial"/>
            <w:sz w:val="12"/>
            <w:szCs w:val="12"/>
          </w:rPr>
          <w:t>https://www.bfr.bund.de/cm/349/health-risk-assessment-of-nicotine-pouches.pdf</w:t>
        </w:r>
      </w:hyperlink>
    </w:p>
  </w:footnote>
  <w:footnote w:id="3">
    <w:p w14:paraId="1D840C86" w14:textId="77777777" w:rsidR="00281077" w:rsidRPr="001772B8" w:rsidRDefault="00281077" w:rsidP="00281077">
      <w:pPr>
        <w:pStyle w:val="Fotnotstext"/>
        <w:rPr>
          <w:rFonts w:ascii="Montserrat" w:hAnsi="Montserrat"/>
          <w:sz w:val="12"/>
          <w:szCs w:val="12"/>
          <w:lang w:val="en-US"/>
        </w:rPr>
      </w:pPr>
      <w:r w:rsidRPr="00086EBA">
        <w:rPr>
          <w:rStyle w:val="Hyperlnk"/>
          <w:rFonts w:cs="Arial"/>
          <w:sz w:val="12"/>
          <w:szCs w:val="12"/>
        </w:rPr>
        <w:footnoteRef/>
      </w:r>
      <w:r w:rsidRPr="00086EBA">
        <w:rPr>
          <w:rStyle w:val="Hyperlnk"/>
          <w:rFonts w:cs="Arial"/>
          <w:sz w:val="12"/>
          <w:szCs w:val="12"/>
        </w:rPr>
        <w:t xml:space="preserve"> </w:t>
      </w:r>
      <w:hyperlink r:id="rId2" w:history="1">
        <w:r w:rsidRPr="001772B8">
          <w:rPr>
            <w:rStyle w:val="Hyperlnk"/>
            <w:rFonts w:cs="Arial"/>
            <w:sz w:val="12"/>
            <w:szCs w:val="12"/>
            <w:lang w:val="en-US"/>
          </w:rPr>
          <w:t>https://cot.food.gov.uk/sites/default/files/2023-04/Publishable%20%20COT%20Oral%20nicotine%20pouches%20-%20final%20v1-0%20Acc%20V.pdf</w:t>
        </w:r>
      </w:hyperlink>
      <w:r w:rsidRPr="001772B8">
        <w:rPr>
          <w:sz w:val="12"/>
          <w:szCs w:val="12"/>
          <w:lang w:val="en-US"/>
        </w:rPr>
        <w:t xml:space="preserve"> </w:t>
      </w:r>
    </w:p>
  </w:footnote>
  <w:footnote w:id="4">
    <w:p w14:paraId="6DE13FA7" w14:textId="77777777" w:rsidR="00281077" w:rsidRPr="001772B8" w:rsidRDefault="00281077" w:rsidP="00281077">
      <w:pPr>
        <w:pStyle w:val="Fotnotstext"/>
        <w:rPr>
          <w:lang w:val="en-US"/>
        </w:rPr>
      </w:pPr>
      <w:r w:rsidRPr="00086EBA">
        <w:rPr>
          <w:rStyle w:val="Hyperlnk"/>
          <w:rFonts w:cs="Arial"/>
          <w:sz w:val="12"/>
          <w:szCs w:val="12"/>
        </w:rPr>
        <w:footnoteRef/>
      </w:r>
      <w:r w:rsidRPr="00086EBA">
        <w:rPr>
          <w:rStyle w:val="Hyperlnk"/>
          <w:rFonts w:cs="Arial"/>
          <w:sz w:val="12"/>
          <w:szCs w:val="12"/>
        </w:rPr>
        <w:t xml:space="preserve"> </w:t>
      </w:r>
      <w:hyperlink r:id="rId3" w:history="1">
        <w:r w:rsidRPr="00086EBA">
          <w:rPr>
            <w:rStyle w:val="Hyperlnk"/>
            <w:rFonts w:cs="Arial"/>
            <w:sz w:val="12"/>
            <w:szCs w:val="12"/>
          </w:rPr>
          <w:t>https://www.rivm.nl/publicaties/nicotineproducten-zonder-tabak-voor-recreatief-gebruik</w:t>
        </w:r>
      </w:hyperlink>
    </w:p>
  </w:footnote>
  <w:footnote w:id="5">
    <w:p w14:paraId="102BCE46" w14:textId="7DC37610" w:rsidR="00BB1B30" w:rsidRPr="00BB1B30" w:rsidRDefault="00BB1B30">
      <w:pPr>
        <w:pStyle w:val="Fotnotstext"/>
      </w:pPr>
      <w:r w:rsidRPr="00C25687">
        <w:rPr>
          <w:rStyle w:val="Hyperlnk"/>
          <w:rFonts w:cs="Arial"/>
          <w:sz w:val="12"/>
          <w:szCs w:val="12"/>
        </w:rPr>
        <w:footnoteRef/>
      </w:r>
      <w:r w:rsidRPr="00C25687">
        <w:rPr>
          <w:rStyle w:val="Hyperlnk"/>
          <w:rFonts w:cs="Arial"/>
          <w:sz w:val="12"/>
          <w:szCs w:val="12"/>
        </w:rPr>
        <w:t xml:space="preserve"> In terms of the nicotine content per pouch, the conclusions that were reached by the German Federal Institute for Risk Assessment (</w:t>
      </w:r>
      <w:proofErr w:type="spellStart"/>
      <w:r w:rsidRPr="00C25687">
        <w:rPr>
          <w:rStyle w:val="Hyperlnk"/>
          <w:rFonts w:cs="Arial"/>
          <w:sz w:val="12"/>
          <w:szCs w:val="12"/>
        </w:rPr>
        <w:t>BfR</w:t>
      </w:r>
      <w:proofErr w:type="spellEnd"/>
      <w:r w:rsidRPr="00C25687">
        <w:rPr>
          <w:rStyle w:val="Hyperlnk"/>
          <w:rFonts w:cs="Arial"/>
          <w:sz w:val="12"/>
          <w:szCs w:val="12"/>
        </w:rPr>
        <w:t xml:space="preserve">) in its recent report “Health Assessment of Nicotine Pouches” (October 7, 2022) are scientifically well argued. According to </w:t>
      </w:r>
      <w:hyperlink r:id="rId4" w:history="1">
        <w:r w:rsidRPr="00C25687">
          <w:rPr>
            <w:rStyle w:val="Hyperlnk"/>
            <w:rFonts w:cs="Arial"/>
            <w:sz w:val="12"/>
            <w:szCs w:val="12"/>
          </w:rPr>
          <w:t>technical specifications outlined by the Swedish Institute for Standards (SIS)</w:t>
        </w:r>
      </w:hyperlink>
      <w:r w:rsidRPr="00C25687">
        <w:rPr>
          <w:rStyle w:val="Hyperlnk"/>
          <w:rFonts w:cs="Arial"/>
          <w:sz w:val="12"/>
          <w:szCs w:val="12"/>
        </w:rPr>
        <w:t>, it is recommended that nicotine pouches should not exceed 20 milligrams of nicotine per consumable. In response to these standards, several countries have implemented limits, capping nicotine concentration at, or close to 20 milligrams per consumable or per gram of product weight</w:t>
      </w:r>
      <w:r w:rsidR="00867344" w:rsidRPr="00C25687">
        <w:rPr>
          <w:rStyle w:val="Hyperlnk"/>
          <w:rFonts w:cs="Arial"/>
          <w:sz w:val="12"/>
          <w:szCs w:val="12"/>
        </w:rPr>
        <w:t>: Iceland (20mg/gram), Latvia (20 mg/gram), Slovakia (20 mg/pouch), Finland (16,6 mg/gram).</w:t>
      </w:r>
    </w:p>
  </w:footnote>
  <w:footnote w:id="6">
    <w:p w14:paraId="6E038E80" w14:textId="77777777" w:rsidR="000745AE" w:rsidRPr="001772B8" w:rsidRDefault="000745AE" w:rsidP="000745AE">
      <w:pPr>
        <w:pStyle w:val="Fotnotstext"/>
        <w:rPr>
          <w:lang w:val="en-US"/>
        </w:rPr>
      </w:pPr>
      <w:r w:rsidRPr="00C25687">
        <w:rPr>
          <w:rStyle w:val="Hyperlnk"/>
          <w:rFonts w:cs="Arial"/>
          <w:sz w:val="12"/>
          <w:szCs w:val="12"/>
        </w:rPr>
        <w:footnoteRef/>
      </w:r>
      <w:r w:rsidRPr="00C25687">
        <w:rPr>
          <w:rStyle w:val="Hyperlnk"/>
          <w:rFonts w:cs="Arial"/>
          <w:sz w:val="12"/>
          <w:szCs w:val="12"/>
        </w:rPr>
        <w:t xml:space="preserve"> Global Burden of Disease, survey: </w:t>
      </w:r>
      <w:hyperlink r:id="rId5" w:history="1">
        <w:proofErr w:type="spellStart"/>
        <w:r w:rsidRPr="00C25687">
          <w:rPr>
            <w:rStyle w:val="Hyperlnk"/>
            <w:rFonts w:cs="Arial"/>
            <w:sz w:val="12"/>
            <w:szCs w:val="12"/>
          </w:rPr>
          <w:t>VizHub</w:t>
        </w:r>
        <w:proofErr w:type="spellEnd"/>
        <w:r w:rsidRPr="00C25687">
          <w:rPr>
            <w:rStyle w:val="Hyperlnk"/>
            <w:rFonts w:cs="Arial"/>
            <w:sz w:val="12"/>
            <w:szCs w:val="12"/>
          </w:rPr>
          <w:t xml:space="preserve"> - GBD Compare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69AC"/>
    <w:multiLevelType w:val="hybridMultilevel"/>
    <w:tmpl w:val="B492C4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F15222B"/>
    <w:multiLevelType w:val="hybridMultilevel"/>
    <w:tmpl w:val="1988F9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D0E4C3E"/>
    <w:multiLevelType w:val="hybridMultilevel"/>
    <w:tmpl w:val="5B52C1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734038"/>
    <w:multiLevelType w:val="hybridMultilevel"/>
    <w:tmpl w:val="67CC5C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5757D05"/>
    <w:multiLevelType w:val="hybridMultilevel"/>
    <w:tmpl w:val="FC3E9548"/>
    <w:lvl w:ilvl="0" w:tplc="82BE4DA0">
      <w:start w:val="1"/>
      <w:numFmt w:val="bullet"/>
      <w:lvlText w:val=""/>
      <w:lvlJc w:val="left"/>
      <w:pPr>
        <w:ind w:left="720" w:hanging="360"/>
      </w:pPr>
      <w:rPr>
        <w:rFonts w:ascii="Symbol" w:hAnsi="Symbol"/>
      </w:rPr>
    </w:lvl>
    <w:lvl w:ilvl="1" w:tplc="6CEC1D6A">
      <w:start w:val="1"/>
      <w:numFmt w:val="bullet"/>
      <w:lvlText w:val=""/>
      <w:lvlJc w:val="left"/>
      <w:pPr>
        <w:ind w:left="720" w:hanging="360"/>
      </w:pPr>
      <w:rPr>
        <w:rFonts w:ascii="Symbol" w:hAnsi="Symbol"/>
      </w:rPr>
    </w:lvl>
    <w:lvl w:ilvl="2" w:tplc="BDDA0E2C">
      <w:start w:val="1"/>
      <w:numFmt w:val="bullet"/>
      <w:lvlText w:val=""/>
      <w:lvlJc w:val="left"/>
      <w:pPr>
        <w:ind w:left="720" w:hanging="360"/>
      </w:pPr>
      <w:rPr>
        <w:rFonts w:ascii="Symbol" w:hAnsi="Symbol"/>
      </w:rPr>
    </w:lvl>
    <w:lvl w:ilvl="3" w:tplc="F15E3090">
      <w:start w:val="1"/>
      <w:numFmt w:val="bullet"/>
      <w:lvlText w:val=""/>
      <w:lvlJc w:val="left"/>
      <w:pPr>
        <w:ind w:left="720" w:hanging="360"/>
      </w:pPr>
      <w:rPr>
        <w:rFonts w:ascii="Symbol" w:hAnsi="Symbol"/>
      </w:rPr>
    </w:lvl>
    <w:lvl w:ilvl="4" w:tplc="4A448E6C">
      <w:start w:val="1"/>
      <w:numFmt w:val="bullet"/>
      <w:lvlText w:val=""/>
      <w:lvlJc w:val="left"/>
      <w:pPr>
        <w:ind w:left="720" w:hanging="360"/>
      </w:pPr>
      <w:rPr>
        <w:rFonts w:ascii="Symbol" w:hAnsi="Symbol"/>
      </w:rPr>
    </w:lvl>
    <w:lvl w:ilvl="5" w:tplc="6E949752">
      <w:start w:val="1"/>
      <w:numFmt w:val="bullet"/>
      <w:lvlText w:val=""/>
      <w:lvlJc w:val="left"/>
      <w:pPr>
        <w:ind w:left="720" w:hanging="360"/>
      </w:pPr>
      <w:rPr>
        <w:rFonts w:ascii="Symbol" w:hAnsi="Symbol"/>
      </w:rPr>
    </w:lvl>
    <w:lvl w:ilvl="6" w:tplc="C06A4D96">
      <w:start w:val="1"/>
      <w:numFmt w:val="bullet"/>
      <w:lvlText w:val=""/>
      <w:lvlJc w:val="left"/>
      <w:pPr>
        <w:ind w:left="720" w:hanging="360"/>
      </w:pPr>
      <w:rPr>
        <w:rFonts w:ascii="Symbol" w:hAnsi="Symbol"/>
      </w:rPr>
    </w:lvl>
    <w:lvl w:ilvl="7" w:tplc="DD2803E2">
      <w:start w:val="1"/>
      <w:numFmt w:val="bullet"/>
      <w:lvlText w:val=""/>
      <w:lvlJc w:val="left"/>
      <w:pPr>
        <w:ind w:left="720" w:hanging="360"/>
      </w:pPr>
      <w:rPr>
        <w:rFonts w:ascii="Symbol" w:hAnsi="Symbol"/>
      </w:rPr>
    </w:lvl>
    <w:lvl w:ilvl="8" w:tplc="668EE3D6">
      <w:start w:val="1"/>
      <w:numFmt w:val="bullet"/>
      <w:lvlText w:val=""/>
      <w:lvlJc w:val="left"/>
      <w:pPr>
        <w:ind w:left="720" w:hanging="360"/>
      </w:pPr>
      <w:rPr>
        <w:rFonts w:ascii="Symbol" w:hAnsi="Symbol"/>
      </w:rPr>
    </w:lvl>
  </w:abstractNum>
  <w:abstractNum w:abstractNumId="5" w15:restartNumberingAfterBreak="0">
    <w:nsid w:val="661803A2"/>
    <w:multiLevelType w:val="multilevel"/>
    <w:tmpl w:val="C678615C"/>
    <w:lvl w:ilvl="0">
      <w:start w:val="1"/>
      <w:numFmt w:val="decimal"/>
      <w:pStyle w:val="FWBL1"/>
      <w:lvlText w:val="%1."/>
      <w:lvlJc w:val="left"/>
      <w:pPr>
        <w:tabs>
          <w:tab w:val="num" w:pos="720"/>
        </w:tabs>
        <w:ind w:left="0" w:firstLine="0"/>
      </w:pPr>
      <w:rPr>
        <w:rFonts w:ascii="Arial" w:hAnsi="Arial" w:cs="Arial" w:hint="default"/>
        <w:b/>
        <w:i w:val="0"/>
        <w:caps w:val="0"/>
        <w:strike w:val="0"/>
        <w:dstrike w:val="0"/>
        <w:color w:val="auto"/>
        <w:u w:val="none"/>
        <w:effect w:val="none"/>
      </w:rPr>
    </w:lvl>
    <w:lvl w:ilvl="1">
      <w:start w:val="1"/>
      <w:numFmt w:val="decimal"/>
      <w:pStyle w:val="FWBL2"/>
      <w:lvlText w:val="%1.%2"/>
      <w:lvlJc w:val="left"/>
      <w:pPr>
        <w:tabs>
          <w:tab w:val="num" w:pos="1995"/>
        </w:tabs>
        <w:ind w:left="1275" w:firstLine="0"/>
      </w:pPr>
      <w:rPr>
        <w:rFonts w:ascii="Arial" w:hAnsi="Arial" w:cs="Arial" w:hint="default"/>
        <w:b/>
        <w:i w:val="0"/>
        <w:caps w:val="0"/>
        <w:strike w:val="0"/>
        <w:dstrike w:val="0"/>
        <w:color w:val="auto"/>
        <w:sz w:val="28"/>
        <w:szCs w:val="28"/>
        <w:u w:val="none"/>
        <w:effect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strike w:val="0"/>
        <w:dstrike w:val="0"/>
        <w:color w:val="auto"/>
        <w:u w:val="none"/>
        <w:effect w:val="none"/>
      </w:rPr>
    </w:lvl>
    <w:lvl w:ilvl="3">
      <w:start w:val="1"/>
      <w:numFmt w:val="lowerRoman"/>
      <w:pStyle w:val="FWBL4"/>
      <w:lvlText w:val="(%4)"/>
      <w:lvlJc w:val="right"/>
      <w:pPr>
        <w:tabs>
          <w:tab w:val="num" w:pos="216"/>
        </w:tabs>
        <w:ind w:left="216" w:hanging="216"/>
      </w:pPr>
      <w:rPr>
        <w:rFonts w:ascii="Times New Roman" w:hAnsi="Times New Roman" w:cs="Times New Roman"/>
        <w:b w:val="0"/>
        <w:i w:val="0"/>
        <w:caps w:val="0"/>
        <w:strike w:val="0"/>
        <w:dstrike w:val="0"/>
        <w:color w:val="auto"/>
        <w:u w:val="none"/>
        <w:effect w:val="none"/>
      </w:rPr>
    </w:lvl>
    <w:lvl w:ilvl="4">
      <w:start w:val="1"/>
      <w:numFmt w:val="lowerLetter"/>
      <w:pStyle w:val="FWBL5"/>
      <w:lvlText w:val="%5)"/>
      <w:lvlJc w:val="left"/>
      <w:pPr>
        <w:tabs>
          <w:tab w:val="num" w:pos="2160"/>
        </w:tabs>
        <w:ind w:left="2160" w:hanging="720"/>
      </w:pPr>
      <w:rPr>
        <w:b w:val="0"/>
        <w:i w:val="0"/>
        <w:caps w:val="0"/>
        <w:strike w:val="0"/>
        <w:dstrike w:val="0"/>
        <w:color w:val="auto"/>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strike w:val="0"/>
        <w:dstrike w:val="0"/>
        <w:color w:val="auto"/>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strike w:val="0"/>
        <w:dstrike w:val="0"/>
        <w:color w:val="auto"/>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b w:val="0"/>
        <w:i w:val="0"/>
        <w:caps w:val="0"/>
        <w:strike w:val="0"/>
        <w:dstrike w:val="0"/>
        <w:color w:val="auto"/>
        <w:u w:val="none"/>
        <w:effect w:val="none"/>
      </w:rPr>
    </w:lvl>
  </w:abstractNum>
  <w:num w:numId="1" w16cid:durableId="1546331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 w16cid:durableId="529103164">
    <w:abstractNumId w:val="3"/>
  </w:num>
  <w:num w:numId="3" w16cid:durableId="575432839">
    <w:abstractNumId w:val="4"/>
  </w:num>
  <w:num w:numId="4" w16cid:durableId="589047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457417">
    <w:abstractNumId w:val="2"/>
  </w:num>
  <w:num w:numId="6" w16cid:durableId="50159060">
    <w:abstractNumId w:val="0"/>
  </w:num>
  <w:num w:numId="7" w16cid:durableId="30782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6B"/>
    <w:rsid w:val="00000E0F"/>
    <w:rsid w:val="00002113"/>
    <w:rsid w:val="0000645F"/>
    <w:rsid w:val="00010288"/>
    <w:rsid w:val="000112E1"/>
    <w:rsid w:val="00011E84"/>
    <w:rsid w:val="00013A5F"/>
    <w:rsid w:val="0001513D"/>
    <w:rsid w:val="00017ED9"/>
    <w:rsid w:val="0002148A"/>
    <w:rsid w:val="00022182"/>
    <w:rsid w:val="00023BA2"/>
    <w:rsid w:val="00025F07"/>
    <w:rsid w:val="00030575"/>
    <w:rsid w:val="000319A9"/>
    <w:rsid w:val="000321AF"/>
    <w:rsid w:val="00033163"/>
    <w:rsid w:val="00037182"/>
    <w:rsid w:val="00037FEE"/>
    <w:rsid w:val="00040A55"/>
    <w:rsid w:val="00041EA8"/>
    <w:rsid w:val="00043320"/>
    <w:rsid w:val="0004343A"/>
    <w:rsid w:val="00043852"/>
    <w:rsid w:val="000441EC"/>
    <w:rsid w:val="00044811"/>
    <w:rsid w:val="00045436"/>
    <w:rsid w:val="00045BA4"/>
    <w:rsid w:val="00046215"/>
    <w:rsid w:val="00046A6B"/>
    <w:rsid w:val="00046B9C"/>
    <w:rsid w:val="0005125A"/>
    <w:rsid w:val="0005238C"/>
    <w:rsid w:val="00055B57"/>
    <w:rsid w:val="00060C15"/>
    <w:rsid w:val="0006159C"/>
    <w:rsid w:val="0006311D"/>
    <w:rsid w:val="000642B9"/>
    <w:rsid w:val="0006432B"/>
    <w:rsid w:val="000645F2"/>
    <w:rsid w:val="000654FA"/>
    <w:rsid w:val="0006701D"/>
    <w:rsid w:val="00067882"/>
    <w:rsid w:val="00067ACC"/>
    <w:rsid w:val="00071493"/>
    <w:rsid w:val="00072157"/>
    <w:rsid w:val="000745AE"/>
    <w:rsid w:val="00076BA6"/>
    <w:rsid w:val="000779BE"/>
    <w:rsid w:val="00082657"/>
    <w:rsid w:val="0008275C"/>
    <w:rsid w:val="00082D6E"/>
    <w:rsid w:val="00082E5F"/>
    <w:rsid w:val="00083F56"/>
    <w:rsid w:val="00086959"/>
    <w:rsid w:val="00086BB3"/>
    <w:rsid w:val="00086EBA"/>
    <w:rsid w:val="00093D72"/>
    <w:rsid w:val="00094DF1"/>
    <w:rsid w:val="00095B5C"/>
    <w:rsid w:val="00095C0C"/>
    <w:rsid w:val="0009610B"/>
    <w:rsid w:val="00096830"/>
    <w:rsid w:val="000971AF"/>
    <w:rsid w:val="000A0200"/>
    <w:rsid w:val="000A0574"/>
    <w:rsid w:val="000A2E0B"/>
    <w:rsid w:val="000A41BE"/>
    <w:rsid w:val="000A6ED4"/>
    <w:rsid w:val="000A7927"/>
    <w:rsid w:val="000A7CE3"/>
    <w:rsid w:val="000B05C7"/>
    <w:rsid w:val="000B1632"/>
    <w:rsid w:val="000B2194"/>
    <w:rsid w:val="000B2D44"/>
    <w:rsid w:val="000B313B"/>
    <w:rsid w:val="000B52CC"/>
    <w:rsid w:val="000B72D3"/>
    <w:rsid w:val="000C24E0"/>
    <w:rsid w:val="000D2055"/>
    <w:rsid w:val="000D3868"/>
    <w:rsid w:val="000D6B05"/>
    <w:rsid w:val="000E324C"/>
    <w:rsid w:val="000F4AC9"/>
    <w:rsid w:val="000F4ADF"/>
    <w:rsid w:val="000F5823"/>
    <w:rsid w:val="000F6220"/>
    <w:rsid w:val="000F6DD4"/>
    <w:rsid w:val="0010058C"/>
    <w:rsid w:val="00100835"/>
    <w:rsid w:val="0010176F"/>
    <w:rsid w:val="00101777"/>
    <w:rsid w:val="00101B32"/>
    <w:rsid w:val="00101CF8"/>
    <w:rsid w:val="0010452C"/>
    <w:rsid w:val="00105152"/>
    <w:rsid w:val="00105FC8"/>
    <w:rsid w:val="001078C5"/>
    <w:rsid w:val="00110B00"/>
    <w:rsid w:val="0011500C"/>
    <w:rsid w:val="001151A4"/>
    <w:rsid w:val="001157A6"/>
    <w:rsid w:val="00115F23"/>
    <w:rsid w:val="0011748D"/>
    <w:rsid w:val="00117FC3"/>
    <w:rsid w:val="00120433"/>
    <w:rsid w:val="00120837"/>
    <w:rsid w:val="00120C7A"/>
    <w:rsid w:val="00120C9F"/>
    <w:rsid w:val="00121B12"/>
    <w:rsid w:val="00122663"/>
    <w:rsid w:val="001246F4"/>
    <w:rsid w:val="00125263"/>
    <w:rsid w:val="001266A0"/>
    <w:rsid w:val="0013158D"/>
    <w:rsid w:val="00132311"/>
    <w:rsid w:val="0013437E"/>
    <w:rsid w:val="00142C77"/>
    <w:rsid w:val="001454FD"/>
    <w:rsid w:val="00145CA7"/>
    <w:rsid w:val="00145D29"/>
    <w:rsid w:val="001501E9"/>
    <w:rsid w:val="00152B70"/>
    <w:rsid w:val="001540AD"/>
    <w:rsid w:val="00155CD2"/>
    <w:rsid w:val="00156A4F"/>
    <w:rsid w:val="00156EFD"/>
    <w:rsid w:val="00157905"/>
    <w:rsid w:val="00162C52"/>
    <w:rsid w:val="00162EF5"/>
    <w:rsid w:val="001630B3"/>
    <w:rsid w:val="00163895"/>
    <w:rsid w:val="00164A7C"/>
    <w:rsid w:val="00170FC7"/>
    <w:rsid w:val="00172A5F"/>
    <w:rsid w:val="00174849"/>
    <w:rsid w:val="001752C4"/>
    <w:rsid w:val="001763B3"/>
    <w:rsid w:val="00176F6C"/>
    <w:rsid w:val="00177245"/>
    <w:rsid w:val="001772B8"/>
    <w:rsid w:val="00177EC8"/>
    <w:rsid w:val="001814A1"/>
    <w:rsid w:val="00184962"/>
    <w:rsid w:val="00186A19"/>
    <w:rsid w:val="001878B5"/>
    <w:rsid w:val="00191767"/>
    <w:rsid w:val="00191C7E"/>
    <w:rsid w:val="001968A0"/>
    <w:rsid w:val="001A1BCD"/>
    <w:rsid w:val="001A26BD"/>
    <w:rsid w:val="001A2770"/>
    <w:rsid w:val="001A3714"/>
    <w:rsid w:val="001A4247"/>
    <w:rsid w:val="001A4ABD"/>
    <w:rsid w:val="001A53D2"/>
    <w:rsid w:val="001A78DF"/>
    <w:rsid w:val="001B08C4"/>
    <w:rsid w:val="001B0DFC"/>
    <w:rsid w:val="001B1600"/>
    <w:rsid w:val="001B1DB2"/>
    <w:rsid w:val="001B4AD9"/>
    <w:rsid w:val="001B61D4"/>
    <w:rsid w:val="001B626F"/>
    <w:rsid w:val="001C05C2"/>
    <w:rsid w:val="001C06E8"/>
    <w:rsid w:val="001C1909"/>
    <w:rsid w:val="001C313D"/>
    <w:rsid w:val="001D36D9"/>
    <w:rsid w:val="001D5487"/>
    <w:rsid w:val="001E007C"/>
    <w:rsid w:val="001E1BE0"/>
    <w:rsid w:val="001E2648"/>
    <w:rsid w:val="001E5B6B"/>
    <w:rsid w:val="001E74AF"/>
    <w:rsid w:val="001F2518"/>
    <w:rsid w:val="001F2F08"/>
    <w:rsid w:val="001F4665"/>
    <w:rsid w:val="001F5B45"/>
    <w:rsid w:val="001F7FD3"/>
    <w:rsid w:val="002001D6"/>
    <w:rsid w:val="00200D9A"/>
    <w:rsid w:val="0020343B"/>
    <w:rsid w:val="00204392"/>
    <w:rsid w:val="00205281"/>
    <w:rsid w:val="00206810"/>
    <w:rsid w:val="00207182"/>
    <w:rsid w:val="002074D2"/>
    <w:rsid w:val="002077FF"/>
    <w:rsid w:val="002136D0"/>
    <w:rsid w:val="00214868"/>
    <w:rsid w:val="0021488C"/>
    <w:rsid w:val="002164A0"/>
    <w:rsid w:val="002200DF"/>
    <w:rsid w:val="002208D4"/>
    <w:rsid w:val="00220949"/>
    <w:rsid w:val="002215FC"/>
    <w:rsid w:val="00222741"/>
    <w:rsid w:val="00222839"/>
    <w:rsid w:val="00222B23"/>
    <w:rsid w:val="00224A1C"/>
    <w:rsid w:val="002261B3"/>
    <w:rsid w:val="002263A7"/>
    <w:rsid w:val="002269C7"/>
    <w:rsid w:val="0022777F"/>
    <w:rsid w:val="002279E7"/>
    <w:rsid w:val="00227B28"/>
    <w:rsid w:val="00227F7E"/>
    <w:rsid w:val="00232725"/>
    <w:rsid w:val="00233E27"/>
    <w:rsid w:val="0023708E"/>
    <w:rsid w:val="00237C94"/>
    <w:rsid w:val="00237CAB"/>
    <w:rsid w:val="0024182F"/>
    <w:rsid w:val="002421A0"/>
    <w:rsid w:val="00243DA2"/>
    <w:rsid w:val="00245767"/>
    <w:rsid w:val="00246575"/>
    <w:rsid w:val="00246579"/>
    <w:rsid w:val="002475D6"/>
    <w:rsid w:val="0025366D"/>
    <w:rsid w:val="00253B08"/>
    <w:rsid w:val="002545F3"/>
    <w:rsid w:val="00260A9B"/>
    <w:rsid w:val="00261ACA"/>
    <w:rsid w:val="00263BCC"/>
    <w:rsid w:val="00265092"/>
    <w:rsid w:val="00266968"/>
    <w:rsid w:val="00266F28"/>
    <w:rsid w:val="00276EE7"/>
    <w:rsid w:val="00277450"/>
    <w:rsid w:val="00277FE4"/>
    <w:rsid w:val="00281077"/>
    <w:rsid w:val="00281391"/>
    <w:rsid w:val="00285D49"/>
    <w:rsid w:val="00285D93"/>
    <w:rsid w:val="00286B3E"/>
    <w:rsid w:val="00290485"/>
    <w:rsid w:val="002909F6"/>
    <w:rsid w:val="00292698"/>
    <w:rsid w:val="002963F2"/>
    <w:rsid w:val="00297E03"/>
    <w:rsid w:val="002A137A"/>
    <w:rsid w:val="002A5450"/>
    <w:rsid w:val="002B290C"/>
    <w:rsid w:val="002B50B5"/>
    <w:rsid w:val="002B6710"/>
    <w:rsid w:val="002B6D67"/>
    <w:rsid w:val="002B73B5"/>
    <w:rsid w:val="002B7F84"/>
    <w:rsid w:val="002C263D"/>
    <w:rsid w:val="002C4AA9"/>
    <w:rsid w:val="002C7CAD"/>
    <w:rsid w:val="002D37DA"/>
    <w:rsid w:val="002D3968"/>
    <w:rsid w:val="002D5784"/>
    <w:rsid w:val="002E1B40"/>
    <w:rsid w:val="002E3C76"/>
    <w:rsid w:val="002F0B72"/>
    <w:rsid w:val="002F3D1A"/>
    <w:rsid w:val="002F3E78"/>
    <w:rsid w:val="002F401D"/>
    <w:rsid w:val="002F5379"/>
    <w:rsid w:val="00302A41"/>
    <w:rsid w:val="00303085"/>
    <w:rsid w:val="0030485C"/>
    <w:rsid w:val="00304A2D"/>
    <w:rsid w:val="00304C50"/>
    <w:rsid w:val="00304D97"/>
    <w:rsid w:val="00306A2C"/>
    <w:rsid w:val="00307C49"/>
    <w:rsid w:val="0031180F"/>
    <w:rsid w:val="00312CA0"/>
    <w:rsid w:val="003134DE"/>
    <w:rsid w:val="00316424"/>
    <w:rsid w:val="0031705C"/>
    <w:rsid w:val="003178DE"/>
    <w:rsid w:val="00320102"/>
    <w:rsid w:val="0032058B"/>
    <w:rsid w:val="003218F2"/>
    <w:rsid w:val="0032264B"/>
    <w:rsid w:val="00324B1B"/>
    <w:rsid w:val="00325E25"/>
    <w:rsid w:val="0033379F"/>
    <w:rsid w:val="0033427B"/>
    <w:rsid w:val="003349EF"/>
    <w:rsid w:val="0034067A"/>
    <w:rsid w:val="00342538"/>
    <w:rsid w:val="003428E5"/>
    <w:rsid w:val="00342B41"/>
    <w:rsid w:val="003433D6"/>
    <w:rsid w:val="00343786"/>
    <w:rsid w:val="00343E6E"/>
    <w:rsid w:val="00350848"/>
    <w:rsid w:val="00351AC8"/>
    <w:rsid w:val="00351D60"/>
    <w:rsid w:val="0035393D"/>
    <w:rsid w:val="003549E0"/>
    <w:rsid w:val="00354B4B"/>
    <w:rsid w:val="00355BE6"/>
    <w:rsid w:val="003606B8"/>
    <w:rsid w:val="00360ABD"/>
    <w:rsid w:val="00361338"/>
    <w:rsid w:val="003615E0"/>
    <w:rsid w:val="00361C37"/>
    <w:rsid w:val="003667E5"/>
    <w:rsid w:val="00367838"/>
    <w:rsid w:val="00370031"/>
    <w:rsid w:val="00372698"/>
    <w:rsid w:val="00377F06"/>
    <w:rsid w:val="0038380F"/>
    <w:rsid w:val="00383FA5"/>
    <w:rsid w:val="00384309"/>
    <w:rsid w:val="003869A7"/>
    <w:rsid w:val="00390935"/>
    <w:rsid w:val="003929EE"/>
    <w:rsid w:val="003935AD"/>
    <w:rsid w:val="003A063C"/>
    <w:rsid w:val="003A228A"/>
    <w:rsid w:val="003A2550"/>
    <w:rsid w:val="003A2778"/>
    <w:rsid w:val="003A2F7B"/>
    <w:rsid w:val="003A5BCE"/>
    <w:rsid w:val="003A6008"/>
    <w:rsid w:val="003A605A"/>
    <w:rsid w:val="003A7B9A"/>
    <w:rsid w:val="003B0CEA"/>
    <w:rsid w:val="003B136C"/>
    <w:rsid w:val="003B3D87"/>
    <w:rsid w:val="003C035A"/>
    <w:rsid w:val="003C1426"/>
    <w:rsid w:val="003C166F"/>
    <w:rsid w:val="003C45A3"/>
    <w:rsid w:val="003C54FA"/>
    <w:rsid w:val="003C7333"/>
    <w:rsid w:val="003D0285"/>
    <w:rsid w:val="003D14DD"/>
    <w:rsid w:val="003D27D9"/>
    <w:rsid w:val="003D43A9"/>
    <w:rsid w:val="003D4495"/>
    <w:rsid w:val="003D4BD9"/>
    <w:rsid w:val="003D4F15"/>
    <w:rsid w:val="003D4F59"/>
    <w:rsid w:val="003D64AB"/>
    <w:rsid w:val="003D6987"/>
    <w:rsid w:val="003D6D90"/>
    <w:rsid w:val="003E0D63"/>
    <w:rsid w:val="003E225D"/>
    <w:rsid w:val="003E2EEB"/>
    <w:rsid w:val="003E3B79"/>
    <w:rsid w:val="003E43B8"/>
    <w:rsid w:val="003E465F"/>
    <w:rsid w:val="003F0A96"/>
    <w:rsid w:val="003F0E5E"/>
    <w:rsid w:val="003F1959"/>
    <w:rsid w:val="003F2793"/>
    <w:rsid w:val="003F70D6"/>
    <w:rsid w:val="003F7896"/>
    <w:rsid w:val="00404846"/>
    <w:rsid w:val="004060DE"/>
    <w:rsid w:val="00410190"/>
    <w:rsid w:val="00413A4D"/>
    <w:rsid w:val="004168F0"/>
    <w:rsid w:val="00416FAD"/>
    <w:rsid w:val="00427190"/>
    <w:rsid w:val="00427EF2"/>
    <w:rsid w:val="00430FD5"/>
    <w:rsid w:val="0043195E"/>
    <w:rsid w:val="00431B99"/>
    <w:rsid w:val="004332EA"/>
    <w:rsid w:val="00435530"/>
    <w:rsid w:val="00436305"/>
    <w:rsid w:val="00441774"/>
    <w:rsid w:val="004420C1"/>
    <w:rsid w:val="00442576"/>
    <w:rsid w:val="00445503"/>
    <w:rsid w:val="0044551D"/>
    <w:rsid w:val="00445555"/>
    <w:rsid w:val="0045241D"/>
    <w:rsid w:val="00452932"/>
    <w:rsid w:val="00456212"/>
    <w:rsid w:val="00456861"/>
    <w:rsid w:val="00456918"/>
    <w:rsid w:val="0045748D"/>
    <w:rsid w:val="00460B99"/>
    <w:rsid w:val="0046169C"/>
    <w:rsid w:val="004634A4"/>
    <w:rsid w:val="00463F3B"/>
    <w:rsid w:val="004731A3"/>
    <w:rsid w:val="00476FD1"/>
    <w:rsid w:val="00480409"/>
    <w:rsid w:val="00480AE7"/>
    <w:rsid w:val="00483426"/>
    <w:rsid w:val="0048384E"/>
    <w:rsid w:val="004849D8"/>
    <w:rsid w:val="0048591C"/>
    <w:rsid w:val="00487E38"/>
    <w:rsid w:val="0049093E"/>
    <w:rsid w:val="00493EBB"/>
    <w:rsid w:val="00495CF6"/>
    <w:rsid w:val="00496FFB"/>
    <w:rsid w:val="00497A61"/>
    <w:rsid w:val="004A058D"/>
    <w:rsid w:val="004A1B61"/>
    <w:rsid w:val="004A3780"/>
    <w:rsid w:val="004A6D6D"/>
    <w:rsid w:val="004B0BDF"/>
    <w:rsid w:val="004B33B9"/>
    <w:rsid w:val="004B3E12"/>
    <w:rsid w:val="004B59D3"/>
    <w:rsid w:val="004B624B"/>
    <w:rsid w:val="004B7A01"/>
    <w:rsid w:val="004C08AB"/>
    <w:rsid w:val="004C3981"/>
    <w:rsid w:val="004C3DD5"/>
    <w:rsid w:val="004C49CA"/>
    <w:rsid w:val="004C5540"/>
    <w:rsid w:val="004C5804"/>
    <w:rsid w:val="004D04DB"/>
    <w:rsid w:val="004E0C0A"/>
    <w:rsid w:val="004E201C"/>
    <w:rsid w:val="004E23A1"/>
    <w:rsid w:val="004E2700"/>
    <w:rsid w:val="004E2B2C"/>
    <w:rsid w:val="004E5D0B"/>
    <w:rsid w:val="004E7E4B"/>
    <w:rsid w:val="004F1705"/>
    <w:rsid w:val="004F1820"/>
    <w:rsid w:val="004F1AE1"/>
    <w:rsid w:val="004F1BEC"/>
    <w:rsid w:val="004F59BB"/>
    <w:rsid w:val="004F70D4"/>
    <w:rsid w:val="005001C5"/>
    <w:rsid w:val="00502826"/>
    <w:rsid w:val="00503C5A"/>
    <w:rsid w:val="00503E02"/>
    <w:rsid w:val="005071BD"/>
    <w:rsid w:val="00510268"/>
    <w:rsid w:val="0051171C"/>
    <w:rsid w:val="00513B64"/>
    <w:rsid w:val="005143F6"/>
    <w:rsid w:val="00515208"/>
    <w:rsid w:val="00515C5C"/>
    <w:rsid w:val="005175B9"/>
    <w:rsid w:val="00517D64"/>
    <w:rsid w:val="00517FB5"/>
    <w:rsid w:val="00522ADD"/>
    <w:rsid w:val="005237FF"/>
    <w:rsid w:val="005275CF"/>
    <w:rsid w:val="00530422"/>
    <w:rsid w:val="005320BF"/>
    <w:rsid w:val="0054174D"/>
    <w:rsid w:val="0055010F"/>
    <w:rsid w:val="005512EB"/>
    <w:rsid w:val="005515BA"/>
    <w:rsid w:val="00551B17"/>
    <w:rsid w:val="00553B63"/>
    <w:rsid w:val="00553D02"/>
    <w:rsid w:val="0055425C"/>
    <w:rsid w:val="00554649"/>
    <w:rsid w:val="00556206"/>
    <w:rsid w:val="00556438"/>
    <w:rsid w:val="005620E7"/>
    <w:rsid w:val="00570107"/>
    <w:rsid w:val="00577515"/>
    <w:rsid w:val="005777E1"/>
    <w:rsid w:val="00582E54"/>
    <w:rsid w:val="00583F99"/>
    <w:rsid w:val="00584491"/>
    <w:rsid w:val="005846E9"/>
    <w:rsid w:val="00585B10"/>
    <w:rsid w:val="00587C24"/>
    <w:rsid w:val="00590144"/>
    <w:rsid w:val="005910C0"/>
    <w:rsid w:val="00591AA7"/>
    <w:rsid w:val="0059616B"/>
    <w:rsid w:val="005973DC"/>
    <w:rsid w:val="005A0A3F"/>
    <w:rsid w:val="005A0BFA"/>
    <w:rsid w:val="005A1C08"/>
    <w:rsid w:val="005A37E3"/>
    <w:rsid w:val="005B0991"/>
    <w:rsid w:val="005B1C36"/>
    <w:rsid w:val="005B2AD4"/>
    <w:rsid w:val="005B313B"/>
    <w:rsid w:val="005C05A5"/>
    <w:rsid w:val="005C14C6"/>
    <w:rsid w:val="005C4222"/>
    <w:rsid w:val="005D0467"/>
    <w:rsid w:val="005D391F"/>
    <w:rsid w:val="005D434B"/>
    <w:rsid w:val="005D4C60"/>
    <w:rsid w:val="005D54A5"/>
    <w:rsid w:val="005D6F31"/>
    <w:rsid w:val="005D79C1"/>
    <w:rsid w:val="005D7DD0"/>
    <w:rsid w:val="005E022E"/>
    <w:rsid w:val="005E0B3C"/>
    <w:rsid w:val="005E44AE"/>
    <w:rsid w:val="005E7369"/>
    <w:rsid w:val="005F0245"/>
    <w:rsid w:val="005F29CB"/>
    <w:rsid w:val="005F4B13"/>
    <w:rsid w:val="005F5B38"/>
    <w:rsid w:val="0060169F"/>
    <w:rsid w:val="006027FC"/>
    <w:rsid w:val="00604D1F"/>
    <w:rsid w:val="00605636"/>
    <w:rsid w:val="0060576C"/>
    <w:rsid w:val="00613E2F"/>
    <w:rsid w:val="00614790"/>
    <w:rsid w:val="00615FF8"/>
    <w:rsid w:val="00617283"/>
    <w:rsid w:val="0062392F"/>
    <w:rsid w:val="0062690E"/>
    <w:rsid w:val="00627541"/>
    <w:rsid w:val="00627BFA"/>
    <w:rsid w:val="006308D8"/>
    <w:rsid w:val="00630ECA"/>
    <w:rsid w:val="006310C7"/>
    <w:rsid w:val="0063128D"/>
    <w:rsid w:val="0063176B"/>
    <w:rsid w:val="0063465B"/>
    <w:rsid w:val="006350BA"/>
    <w:rsid w:val="00635367"/>
    <w:rsid w:val="006354DD"/>
    <w:rsid w:val="00645A4E"/>
    <w:rsid w:val="0064711F"/>
    <w:rsid w:val="006510AA"/>
    <w:rsid w:val="0065161E"/>
    <w:rsid w:val="00651D21"/>
    <w:rsid w:val="00652B56"/>
    <w:rsid w:val="006534DC"/>
    <w:rsid w:val="00653A07"/>
    <w:rsid w:val="006543B1"/>
    <w:rsid w:val="00657334"/>
    <w:rsid w:val="00661A0F"/>
    <w:rsid w:val="00663033"/>
    <w:rsid w:val="00663E5F"/>
    <w:rsid w:val="00664822"/>
    <w:rsid w:val="006724ED"/>
    <w:rsid w:val="00674314"/>
    <w:rsid w:val="00676671"/>
    <w:rsid w:val="0068083F"/>
    <w:rsid w:val="00680F4C"/>
    <w:rsid w:val="00681D8E"/>
    <w:rsid w:val="0068251A"/>
    <w:rsid w:val="00682B87"/>
    <w:rsid w:val="00682F48"/>
    <w:rsid w:val="006845D9"/>
    <w:rsid w:val="00684D9D"/>
    <w:rsid w:val="00685743"/>
    <w:rsid w:val="0068640C"/>
    <w:rsid w:val="00687DFA"/>
    <w:rsid w:val="0069006C"/>
    <w:rsid w:val="006A0DC6"/>
    <w:rsid w:val="006A1B23"/>
    <w:rsid w:val="006A4B85"/>
    <w:rsid w:val="006A7244"/>
    <w:rsid w:val="006A7BAA"/>
    <w:rsid w:val="006B24BD"/>
    <w:rsid w:val="006B2B76"/>
    <w:rsid w:val="006B3FF9"/>
    <w:rsid w:val="006B40CF"/>
    <w:rsid w:val="006C0160"/>
    <w:rsid w:val="006C4EC7"/>
    <w:rsid w:val="006C5BA6"/>
    <w:rsid w:val="006C5CB0"/>
    <w:rsid w:val="006C5D62"/>
    <w:rsid w:val="006D12FB"/>
    <w:rsid w:val="006D33A0"/>
    <w:rsid w:val="006D536D"/>
    <w:rsid w:val="006D5F85"/>
    <w:rsid w:val="006D7EFD"/>
    <w:rsid w:val="006E0C2E"/>
    <w:rsid w:val="006E3303"/>
    <w:rsid w:val="006E7127"/>
    <w:rsid w:val="006F1099"/>
    <w:rsid w:val="006F1C38"/>
    <w:rsid w:val="006F2732"/>
    <w:rsid w:val="006F3A67"/>
    <w:rsid w:val="006F3CDA"/>
    <w:rsid w:val="006F3F75"/>
    <w:rsid w:val="006F71D8"/>
    <w:rsid w:val="007015CC"/>
    <w:rsid w:val="00705804"/>
    <w:rsid w:val="00706098"/>
    <w:rsid w:val="0071698E"/>
    <w:rsid w:val="007175AE"/>
    <w:rsid w:val="00720A8D"/>
    <w:rsid w:val="0072167E"/>
    <w:rsid w:val="0072389E"/>
    <w:rsid w:val="00723DED"/>
    <w:rsid w:val="00733328"/>
    <w:rsid w:val="00733408"/>
    <w:rsid w:val="00734500"/>
    <w:rsid w:val="00737337"/>
    <w:rsid w:val="00740941"/>
    <w:rsid w:val="00740973"/>
    <w:rsid w:val="00745C1B"/>
    <w:rsid w:val="007472EE"/>
    <w:rsid w:val="0075021E"/>
    <w:rsid w:val="00753330"/>
    <w:rsid w:val="00753A20"/>
    <w:rsid w:val="0075776C"/>
    <w:rsid w:val="0076071B"/>
    <w:rsid w:val="00760756"/>
    <w:rsid w:val="00761DA0"/>
    <w:rsid w:val="00764151"/>
    <w:rsid w:val="00764D79"/>
    <w:rsid w:val="00765950"/>
    <w:rsid w:val="00765FC6"/>
    <w:rsid w:val="00766DB8"/>
    <w:rsid w:val="00774283"/>
    <w:rsid w:val="00774BE2"/>
    <w:rsid w:val="0077511F"/>
    <w:rsid w:val="007756CE"/>
    <w:rsid w:val="00776D78"/>
    <w:rsid w:val="00777D8F"/>
    <w:rsid w:val="0078066A"/>
    <w:rsid w:val="00783679"/>
    <w:rsid w:val="00783B0C"/>
    <w:rsid w:val="007841B9"/>
    <w:rsid w:val="00784A41"/>
    <w:rsid w:val="007858CC"/>
    <w:rsid w:val="00791029"/>
    <w:rsid w:val="0079378A"/>
    <w:rsid w:val="007946AC"/>
    <w:rsid w:val="0079513C"/>
    <w:rsid w:val="00795D96"/>
    <w:rsid w:val="007A1024"/>
    <w:rsid w:val="007A4031"/>
    <w:rsid w:val="007A4C23"/>
    <w:rsid w:val="007A728A"/>
    <w:rsid w:val="007A7C85"/>
    <w:rsid w:val="007B1C33"/>
    <w:rsid w:val="007B5EAB"/>
    <w:rsid w:val="007C061A"/>
    <w:rsid w:val="007C2334"/>
    <w:rsid w:val="007C5A08"/>
    <w:rsid w:val="007D1180"/>
    <w:rsid w:val="007D12E9"/>
    <w:rsid w:val="007D1449"/>
    <w:rsid w:val="007D1A87"/>
    <w:rsid w:val="007D25F1"/>
    <w:rsid w:val="007D4C25"/>
    <w:rsid w:val="007D4D72"/>
    <w:rsid w:val="007D5971"/>
    <w:rsid w:val="007D784F"/>
    <w:rsid w:val="007E0450"/>
    <w:rsid w:val="007E37CC"/>
    <w:rsid w:val="007E731D"/>
    <w:rsid w:val="007F00FB"/>
    <w:rsid w:val="007F0199"/>
    <w:rsid w:val="007F20E2"/>
    <w:rsid w:val="007F3456"/>
    <w:rsid w:val="007F44D5"/>
    <w:rsid w:val="007F471F"/>
    <w:rsid w:val="007F64AB"/>
    <w:rsid w:val="007F7223"/>
    <w:rsid w:val="00802233"/>
    <w:rsid w:val="00802E15"/>
    <w:rsid w:val="00803D16"/>
    <w:rsid w:val="00804C6E"/>
    <w:rsid w:val="008104F8"/>
    <w:rsid w:val="0081098D"/>
    <w:rsid w:val="008114FC"/>
    <w:rsid w:val="00813ADE"/>
    <w:rsid w:val="00813D8A"/>
    <w:rsid w:val="008202DA"/>
    <w:rsid w:val="0082040E"/>
    <w:rsid w:val="00820D80"/>
    <w:rsid w:val="008222B2"/>
    <w:rsid w:val="00822EF1"/>
    <w:rsid w:val="00822FE4"/>
    <w:rsid w:val="00823B8A"/>
    <w:rsid w:val="008259CE"/>
    <w:rsid w:val="00826517"/>
    <w:rsid w:val="00826943"/>
    <w:rsid w:val="00833B6C"/>
    <w:rsid w:val="00833CF1"/>
    <w:rsid w:val="00840426"/>
    <w:rsid w:val="0084200D"/>
    <w:rsid w:val="0084509A"/>
    <w:rsid w:val="008460B5"/>
    <w:rsid w:val="00846437"/>
    <w:rsid w:val="008468BA"/>
    <w:rsid w:val="008468ED"/>
    <w:rsid w:val="00846A50"/>
    <w:rsid w:val="00846BB1"/>
    <w:rsid w:val="00846FBE"/>
    <w:rsid w:val="0084723D"/>
    <w:rsid w:val="00850BFB"/>
    <w:rsid w:val="00853515"/>
    <w:rsid w:val="00854D23"/>
    <w:rsid w:val="0085544E"/>
    <w:rsid w:val="00856B77"/>
    <w:rsid w:val="008601CA"/>
    <w:rsid w:val="00860848"/>
    <w:rsid w:val="008618C4"/>
    <w:rsid w:val="00863BBE"/>
    <w:rsid w:val="00865537"/>
    <w:rsid w:val="008671C6"/>
    <w:rsid w:val="00867344"/>
    <w:rsid w:val="0087178A"/>
    <w:rsid w:val="00871DCC"/>
    <w:rsid w:val="008742A0"/>
    <w:rsid w:val="00881AFD"/>
    <w:rsid w:val="00883842"/>
    <w:rsid w:val="00884159"/>
    <w:rsid w:val="00884ECD"/>
    <w:rsid w:val="00885760"/>
    <w:rsid w:val="00886C8C"/>
    <w:rsid w:val="00886DDC"/>
    <w:rsid w:val="00892378"/>
    <w:rsid w:val="00894559"/>
    <w:rsid w:val="008959E5"/>
    <w:rsid w:val="008969E9"/>
    <w:rsid w:val="00897EBD"/>
    <w:rsid w:val="008A18DB"/>
    <w:rsid w:val="008A5642"/>
    <w:rsid w:val="008A5A6D"/>
    <w:rsid w:val="008A60DF"/>
    <w:rsid w:val="008B13CA"/>
    <w:rsid w:val="008B1DAA"/>
    <w:rsid w:val="008B224D"/>
    <w:rsid w:val="008C0D29"/>
    <w:rsid w:val="008C28BE"/>
    <w:rsid w:val="008C44B6"/>
    <w:rsid w:val="008C6AFE"/>
    <w:rsid w:val="008D05C1"/>
    <w:rsid w:val="008D0797"/>
    <w:rsid w:val="008D2B34"/>
    <w:rsid w:val="008D3D6D"/>
    <w:rsid w:val="008D45D6"/>
    <w:rsid w:val="008E00E6"/>
    <w:rsid w:val="008E234B"/>
    <w:rsid w:val="008E3270"/>
    <w:rsid w:val="008E3884"/>
    <w:rsid w:val="008E4274"/>
    <w:rsid w:val="008E4FDB"/>
    <w:rsid w:val="008F3452"/>
    <w:rsid w:val="008F3CB5"/>
    <w:rsid w:val="008F414F"/>
    <w:rsid w:val="008F4A0A"/>
    <w:rsid w:val="008F576D"/>
    <w:rsid w:val="008F7957"/>
    <w:rsid w:val="008F7CF7"/>
    <w:rsid w:val="00900EC2"/>
    <w:rsid w:val="00901C85"/>
    <w:rsid w:val="009116C6"/>
    <w:rsid w:val="00912553"/>
    <w:rsid w:val="009132A4"/>
    <w:rsid w:val="00913708"/>
    <w:rsid w:val="00913A70"/>
    <w:rsid w:val="00913E06"/>
    <w:rsid w:val="009160FD"/>
    <w:rsid w:val="0091757D"/>
    <w:rsid w:val="00922AD6"/>
    <w:rsid w:val="009238A1"/>
    <w:rsid w:val="0092548E"/>
    <w:rsid w:val="00925971"/>
    <w:rsid w:val="00926CA5"/>
    <w:rsid w:val="009273F5"/>
    <w:rsid w:val="00927CB1"/>
    <w:rsid w:val="00927CE7"/>
    <w:rsid w:val="009300D0"/>
    <w:rsid w:val="00930D2B"/>
    <w:rsid w:val="00931BE9"/>
    <w:rsid w:val="00932545"/>
    <w:rsid w:val="00933455"/>
    <w:rsid w:val="00933858"/>
    <w:rsid w:val="009346BB"/>
    <w:rsid w:val="00934E35"/>
    <w:rsid w:val="00935216"/>
    <w:rsid w:val="009371FF"/>
    <w:rsid w:val="0094021E"/>
    <w:rsid w:val="00940371"/>
    <w:rsid w:val="009404E6"/>
    <w:rsid w:val="00941A0D"/>
    <w:rsid w:val="00944264"/>
    <w:rsid w:val="00947845"/>
    <w:rsid w:val="00951F0B"/>
    <w:rsid w:val="0095331A"/>
    <w:rsid w:val="009542AA"/>
    <w:rsid w:val="00954E4F"/>
    <w:rsid w:val="00956CBB"/>
    <w:rsid w:val="009612A6"/>
    <w:rsid w:val="0096153A"/>
    <w:rsid w:val="00963D9A"/>
    <w:rsid w:val="00964300"/>
    <w:rsid w:val="00964D08"/>
    <w:rsid w:val="00965A0E"/>
    <w:rsid w:val="00970619"/>
    <w:rsid w:val="0097291D"/>
    <w:rsid w:val="00972E04"/>
    <w:rsid w:val="009735FF"/>
    <w:rsid w:val="009766DA"/>
    <w:rsid w:val="00976ABA"/>
    <w:rsid w:val="00977098"/>
    <w:rsid w:val="00981C37"/>
    <w:rsid w:val="00983556"/>
    <w:rsid w:val="009861C3"/>
    <w:rsid w:val="00987867"/>
    <w:rsid w:val="00990197"/>
    <w:rsid w:val="009903F3"/>
    <w:rsid w:val="00990A75"/>
    <w:rsid w:val="00994A5C"/>
    <w:rsid w:val="009963FF"/>
    <w:rsid w:val="009970E4"/>
    <w:rsid w:val="00997542"/>
    <w:rsid w:val="00997C43"/>
    <w:rsid w:val="009A0DDB"/>
    <w:rsid w:val="009A0EB0"/>
    <w:rsid w:val="009A1B84"/>
    <w:rsid w:val="009A443D"/>
    <w:rsid w:val="009A56C0"/>
    <w:rsid w:val="009B0357"/>
    <w:rsid w:val="009B04D6"/>
    <w:rsid w:val="009B26B9"/>
    <w:rsid w:val="009B2F9F"/>
    <w:rsid w:val="009B38BE"/>
    <w:rsid w:val="009B4B0C"/>
    <w:rsid w:val="009B5429"/>
    <w:rsid w:val="009B6683"/>
    <w:rsid w:val="009C0071"/>
    <w:rsid w:val="009C0393"/>
    <w:rsid w:val="009C08E1"/>
    <w:rsid w:val="009C200E"/>
    <w:rsid w:val="009C2211"/>
    <w:rsid w:val="009C422B"/>
    <w:rsid w:val="009C5857"/>
    <w:rsid w:val="009C5D27"/>
    <w:rsid w:val="009D34CE"/>
    <w:rsid w:val="009D37B6"/>
    <w:rsid w:val="009D4078"/>
    <w:rsid w:val="009D7329"/>
    <w:rsid w:val="009E0EAE"/>
    <w:rsid w:val="009E20E8"/>
    <w:rsid w:val="009E26F1"/>
    <w:rsid w:val="009E4F9A"/>
    <w:rsid w:val="009F11B7"/>
    <w:rsid w:val="009F2751"/>
    <w:rsid w:val="009F3A52"/>
    <w:rsid w:val="009F5788"/>
    <w:rsid w:val="00A0040C"/>
    <w:rsid w:val="00A00560"/>
    <w:rsid w:val="00A00C87"/>
    <w:rsid w:val="00A01B21"/>
    <w:rsid w:val="00A027F3"/>
    <w:rsid w:val="00A0307D"/>
    <w:rsid w:val="00A05DE9"/>
    <w:rsid w:val="00A0618C"/>
    <w:rsid w:val="00A108CD"/>
    <w:rsid w:val="00A1090C"/>
    <w:rsid w:val="00A1131B"/>
    <w:rsid w:val="00A11C4A"/>
    <w:rsid w:val="00A11FD5"/>
    <w:rsid w:val="00A1273C"/>
    <w:rsid w:val="00A135F5"/>
    <w:rsid w:val="00A1403E"/>
    <w:rsid w:val="00A1510D"/>
    <w:rsid w:val="00A165C4"/>
    <w:rsid w:val="00A17FA2"/>
    <w:rsid w:val="00A2055D"/>
    <w:rsid w:val="00A20A8A"/>
    <w:rsid w:val="00A21968"/>
    <w:rsid w:val="00A21B77"/>
    <w:rsid w:val="00A21BF8"/>
    <w:rsid w:val="00A2435D"/>
    <w:rsid w:val="00A24FA3"/>
    <w:rsid w:val="00A30917"/>
    <w:rsid w:val="00A34F37"/>
    <w:rsid w:val="00A35686"/>
    <w:rsid w:val="00A35DEC"/>
    <w:rsid w:val="00A36701"/>
    <w:rsid w:val="00A40028"/>
    <w:rsid w:val="00A40378"/>
    <w:rsid w:val="00A41531"/>
    <w:rsid w:val="00A46043"/>
    <w:rsid w:val="00A464B7"/>
    <w:rsid w:val="00A5213F"/>
    <w:rsid w:val="00A53544"/>
    <w:rsid w:val="00A60862"/>
    <w:rsid w:val="00A62EFB"/>
    <w:rsid w:val="00A652D7"/>
    <w:rsid w:val="00A66C1C"/>
    <w:rsid w:val="00A66EB7"/>
    <w:rsid w:val="00A715C7"/>
    <w:rsid w:val="00A7256D"/>
    <w:rsid w:val="00A72859"/>
    <w:rsid w:val="00A74082"/>
    <w:rsid w:val="00A75513"/>
    <w:rsid w:val="00A7620B"/>
    <w:rsid w:val="00A86774"/>
    <w:rsid w:val="00A93559"/>
    <w:rsid w:val="00A93C1C"/>
    <w:rsid w:val="00A93D84"/>
    <w:rsid w:val="00A944D6"/>
    <w:rsid w:val="00A9568E"/>
    <w:rsid w:val="00A95EE9"/>
    <w:rsid w:val="00A965CA"/>
    <w:rsid w:val="00AA008E"/>
    <w:rsid w:val="00AA4342"/>
    <w:rsid w:val="00AA4A6C"/>
    <w:rsid w:val="00AA4D43"/>
    <w:rsid w:val="00AA76EA"/>
    <w:rsid w:val="00AB121D"/>
    <w:rsid w:val="00AB247E"/>
    <w:rsid w:val="00AB5538"/>
    <w:rsid w:val="00AB5F9B"/>
    <w:rsid w:val="00AB5FB2"/>
    <w:rsid w:val="00AC0F07"/>
    <w:rsid w:val="00AC13EA"/>
    <w:rsid w:val="00AC29A3"/>
    <w:rsid w:val="00AC3765"/>
    <w:rsid w:val="00AC3784"/>
    <w:rsid w:val="00AC7564"/>
    <w:rsid w:val="00AD2730"/>
    <w:rsid w:val="00AD2FED"/>
    <w:rsid w:val="00AD3285"/>
    <w:rsid w:val="00AD34BB"/>
    <w:rsid w:val="00AD5A3C"/>
    <w:rsid w:val="00AD7743"/>
    <w:rsid w:val="00AD77D3"/>
    <w:rsid w:val="00AE0ED8"/>
    <w:rsid w:val="00AE2667"/>
    <w:rsid w:val="00AE4B99"/>
    <w:rsid w:val="00AE6C14"/>
    <w:rsid w:val="00AF608D"/>
    <w:rsid w:val="00AF6758"/>
    <w:rsid w:val="00AF6FE3"/>
    <w:rsid w:val="00AF7B18"/>
    <w:rsid w:val="00B001C3"/>
    <w:rsid w:val="00B00DDE"/>
    <w:rsid w:val="00B023D1"/>
    <w:rsid w:val="00B0336A"/>
    <w:rsid w:val="00B034BA"/>
    <w:rsid w:val="00B04AB0"/>
    <w:rsid w:val="00B055F8"/>
    <w:rsid w:val="00B06289"/>
    <w:rsid w:val="00B06E19"/>
    <w:rsid w:val="00B06E7F"/>
    <w:rsid w:val="00B07529"/>
    <w:rsid w:val="00B07C69"/>
    <w:rsid w:val="00B10563"/>
    <w:rsid w:val="00B108E2"/>
    <w:rsid w:val="00B118C8"/>
    <w:rsid w:val="00B120C7"/>
    <w:rsid w:val="00B13EF4"/>
    <w:rsid w:val="00B159B9"/>
    <w:rsid w:val="00B20793"/>
    <w:rsid w:val="00B2107B"/>
    <w:rsid w:val="00B2142C"/>
    <w:rsid w:val="00B21DFB"/>
    <w:rsid w:val="00B22C9C"/>
    <w:rsid w:val="00B22DA2"/>
    <w:rsid w:val="00B24D47"/>
    <w:rsid w:val="00B24FC3"/>
    <w:rsid w:val="00B25BCD"/>
    <w:rsid w:val="00B278AF"/>
    <w:rsid w:val="00B27E9D"/>
    <w:rsid w:val="00B27F16"/>
    <w:rsid w:val="00B30EBD"/>
    <w:rsid w:val="00B30EFF"/>
    <w:rsid w:val="00B31CD8"/>
    <w:rsid w:val="00B43051"/>
    <w:rsid w:val="00B439DA"/>
    <w:rsid w:val="00B44ECB"/>
    <w:rsid w:val="00B45D14"/>
    <w:rsid w:val="00B46471"/>
    <w:rsid w:val="00B47AF5"/>
    <w:rsid w:val="00B5103E"/>
    <w:rsid w:val="00B51686"/>
    <w:rsid w:val="00B53181"/>
    <w:rsid w:val="00B53748"/>
    <w:rsid w:val="00B54733"/>
    <w:rsid w:val="00B56045"/>
    <w:rsid w:val="00B56D71"/>
    <w:rsid w:val="00B57FD0"/>
    <w:rsid w:val="00B612B3"/>
    <w:rsid w:val="00B61414"/>
    <w:rsid w:val="00B63AE2"/>
    <w:rsid w:val="00B64E4E"/>
    <w:rsid w:val="00B65F7B"/>
    <w:rsid w:val="00B6618F"/>
    <w:rsid w:val="00B67D39"/>
    <w:rsid w:val="00B7044D"/>
    <w:rsid w:val="00B7262B"/>
    <w:rsid w:val="00B75342"/>
    <w:rsid w:val="00B769A4"/>
    <w:rsid w:val="00B80705"/>
    <w:rsid w:val="00B80D88"/>
    <w:rsid w:val="00B83E93"/>
    <w:rsid w:val="00B84FF1"/>
    <w:rsid w:val="00B85FCE"/>
    <w:rsid w:val="00B86364"/>
    <w:rsid w:val="00B907FA"/>
    <w:rsid w:val="00B93534"/>
    <w:rsid w:val="00B93EAC"/>
    <w:rsid w:val="00B96103"/>
    <w:rsid w:val="00B97513"/>
    <w:rsid w:val="00BA2987"/>
    <w:rsid w:val="00BA3097"/>
    <w:rsid w:val="00BB1B30"/>
    <w:rsid w:val="00BB44A3"/>
    <w:rsid w:val="00BB4DC8"/>
    <w:rsid w:val="00BB4DCF"/>
    <w:rsid w:val="00BB64A2"/>
    <w:rsid w:val="00BC464D"/>
    <w:rsid w:val="00BC5DE8"/>
    <w:rsid w:val="00BD0764"/>
    <w:rsid w:val="00BD09A2"/>
    <w:rsid w:val="00BD15D6"/>
    <w:rsid w:val="00BD2816"/>
    <w:rsid w:val="00BD5375"/>
    <w:rsid w:val="00BD5A16"/>
    <w:rsid w:val="00BD6C41"/>
    <w:rsid w:val="00BE10DB"/>
    <w:rsid w:val="00BE2172"/>
    <w:rsid w:val="00BE62B4"/>
    <w:rsid w:val="00BF0261"/>
    <w:rsid w:val="00BF09C3"/>
    <w:rsid w:val="00BF1A6D"/>
    <w:rsid w:val="00BF59AF"/>
    <w:rsid w:val="00BF5FCF"/>
    <w:rsid w:val="00C00FD3"/>
    <w:rsid w:val="00C03DA4"/>
    <w:rsid w:val="00C04355"/>
    <w:rsid w:val="00C10BBB"/>
    <w:rsid w:val="00C12B56"/>
    <w:rsid w:val="00C133A4"/>
    <w:rsid w:val="00C206D2"/>
    <w:rsid w:val="00C20727"/>
    <w:rsid w:val="00C233DC"/>
    <w:rsid w:val="00C24255"/>
    <w:rsid w:val="00C2488B"/>
    <w:rsid w:val="00C24A68"/>
    <w:rsid w:val="00C25687"/>
    <w:rsid w:val="00C2664C"/>
    <w:rsid w:val="00C268D4"/>
    <w:rsid w:val="00C3073E"/>
    <w:rsid w:val="00C348F6"/>
    <w:rsid w:val="00C35108"/>
    <w:rsid w:val="00C36ACD"/>
    <w:rsid w:val="00C41B69"/>
    <w:rsid w:val="00C46A7F"/>
    <w:rsid w:val="00C47048"/>
    <w:rsid w:val="00C5194E"/>
    <w:rsid w:val="00C528D0"/>
    <w:rsid w:val="00C575F2"/>
    <w:rsid w:val="00C60EFC"/>
    <w:rsid w:val="00C63739"/>
    <w:rsid w:val="00C67242"/>
    <w:rsid w:val="00C67BDA"/>
    <w:rsid w:val="00C72942"/>
    <w:rsid w:val="00C73547"/>
    <w:rsid w:val="00C743A3"/>
    <w:rsid w:val="00C752F9"/>
    <w:rsid w:val="00C7654A"/>
    <w:rsid w:val="00C76CE9"/>
    <w:rsid w:val="00C81FBB"/>
    <w:rsid w:val="00C83EFB"/>
    <w:rsid w:val="00C83F33"/>
    <w:rsid w:val="00C84EA3"/>
    <w:rsid w:val="00C87AEC"/>
    <w:rsid w:val="00C95843"/>
    <w:rsid w:val="00C96FF6"/>
    <w:rsid w:val="00C972BA"/>
    <w:rsid w:val="00C97E0C"/>
    <w:rsid w:val="00CA1392"/>
    <w:rsid w:val="00CA13D0"/>
    <w:rsid w:val="00CA20D6"/>
    <w:rsid w:val="00CA2BF0"/>
    <w:rsid w:val="00CA3004"/>
    <w:rsid w:val="00CA622F"/>
    <w:rsid w:val="00CA65E2"/>
    <w:rsid w:val="00CA6C83"/>
    <w:rsid w:val="00CB3C6B"/>
    <w:rsid w:val="00CB3CC5"/>
    <w:rsid w:val="00CB73E1"/>
    <w:rsid w:val="00CC0AF4"/>
    <w:rsid w:val="00CC0ED3"/>
    <w:rsid w:val="00CC155B"/>
    <w:rsid w:val="00CC1A23"/>
    <w:rsid w:val="00CC3141"/>
    <w:rsid w:val="00CC3D13"/>
    <w:rsid w:val="00CC562E"/>
    <w:rsid w:val="00CD107C"/>
    <w:rsid w:val="00CD1AFC"/>
    <w:rsid w:val="00CD1EE5"/>
    <w:rsid w:val="00CD2DC9"/>
    <w:rsid w:val="00CD595C"/>
    <w:rsid w:val="00CD6F32"/>
    <w:rsid w:val="00CE09E2"/>
    <w:rsid w:val="00CE1D3C"/>
    <w:rsid w:val="00CE31AB"/>
    <w:rsid w:val="00CE35BE"/>
    <w:rsid w:val="00CE5B23"/>
    <w:rsid w:val="00CF3FE3"/>
    <w:rsid w:val="00CF54C1"/>
    <w:rsid w:val="00CF683B"/>
    <w:rsid w:val="00D0017B"/>
    <w:rsid w:val="00D01849"/>
    <w:rsid w:val="00D01B58"/>
    <w:rsid w:val="00D01DA4"/>
    <w:rsid w:val="00D01E50"/>
    <w:rsid w:val="00D1076B"/>
    <w:rsid w:val="00D11C9D"/>
    <w:rsid w:val="00D14269"/>
    <w:rsid w:val="00D159F5"/>
    <w:rsid w:val="00D161F3"/>
    <w:rsid w:val="00D165F2"/>
    <w:rsid w:val="00D17D9D"/>
    <w:rsid w:val="00D22136"/>
    <w:rsid w:val="00D2292B"/>
    <w:rsid w:val="00D231FA"/>
    <w:rsid w:val="00D23540"/>
    <w:rsid w:val="00D24548"/>
    <w:rsid w:val="00D24A14"/>
    <w:rsid w:val="00D2767D"/>
    <w:rsid w:val="00D30074"/>
    <w:rsid w:val="00D303AD"/>
    <w:rsid w:val="00D31471"/>
    <w:rsid w:val="00D37F7B"/>
    <w:rsid w:val="00D40CF7"/>
    <w:rsid w:val="00D41D05"/>
    <w:rsid w:val="00D421B1"/>
    <w:rsid w:val="00D42746"/>
    <w:rsid w:val="00D4289D"/>
    <w:rsid w:val="00D44233"/>
    <w:rsid w:val="00D44619"/>
    <w:rsid w:val="00D45741"/>
    <w:rsid w:val="00D458A0"/>
    <w:rsid w:val="00D475B0"/>
    <w:rsid w:val="00D50C88"/>
    <w:rsid w:val="00D52DC7"/>
    <w:rsid w:val="00D54ADD"/>
    <w:rsid w:val="00D57893"/>
    <w:rsid w:val="00D603F3"/>
    <w:rsid w:val="00D60AAE"/>
    <w:rsid w:val="00D635C1"/>
    <w:rsid w:val="00D63D05"/>
    <w:rsid w:val="00D65144"/>
    <w:rsid w:val="00D65896"/>
    <w:rsid w:val="00D6794B"/>
    <w:rsid w:val="00D70809"/>
    <w:rsid w:val="00D71660"/>
    <w:rsid w:val="00D723D0"/>
    <w:rsid w:val="00D73873"/>
    <w:rsid w:val="00D752CA"/>
    <w:rsid w:val="00D75F91"/>
    <w:rsid w:val="00D809EB"/>
    <w:rsid w:val="00D86152"/>
    <w:rsid w:val="00D9084B"/>
    <w:rsid w:val="00D936D2"/>
    <w:rsid w:val="00D937CD"/>
    <w:rsid w:val="00D968FD"/>
    <w:rsid w:val="00DA426F"/>
    <w:rsid w:val="00DA5FE0"/>
    <w:rsid w:val="00DA78AB"/>
    <w:rsid w:val="00DB0F00"/>
    <w:rsid w:val="00DB1280"/>
    <w:rsid w:val="00DB38F2"/>
    <w:rsid w:val="00DB3C85"/>
    <w:rsid w:val="00DB5F83"/>
    <w:rsid w:val="00DB796C"/>
    <w:rsid w:val="00DC0FE6"/>
    <w:rsid w:val="00DC2390"/>
    <w:rsid w:val="00DC3D93"/>
    <w:rsid w:val="00DC3FAA"/>
    <w:rsid w:val="00DC3FF2"/>
    <w:rsid w:val="00DC669D"/>
    <w:rsid w:val="00DD0E17"/>
    <w:rsid w:val="00DD350C"/>
    <w:rsid w:val="00DD353F"/>
    <w:rsid w:val="00DD460B"/>
    <w:rsid w:val="00DD485C"/>
    <w:rsid w:val="00DD4CEC"/>
    <w:rsid w:val="00DE2502"/>
    <w:rsid w:val="00DE4BB0"/>
    <w:rsid w:val="00DE576E"/>
    <w:rsid w:val="00DE5C4C"/>
    <w:rsid w:val="00DE7592"/>
    <w:rsid w:val="00DF18E8"/>
    <w:rsid w:val="00DF236D"/>
    <w:rsid w:val="00DF2A3C"/>
    <w:rsid w:val="00DF3946"/>
    <w:rsid w:val="00DF599E"/>
    <w:rsid w:val="00DF5B69"/>
    <w:rsid w:val="00E00E5D"/>
    <w:rsid w:val="00E00EFF"/>
    <w:rsid w:val="00E014D4"/>
    <w:rsid w:val="00E01E7E"/>
    <w:rsid w:val="00E03971"/>
    <w:rsid w:val="00E06773"/>
    <w:rsid w:val="00E107A5"/>
    <w:rsid w:val="00E13C05"/>
    <w:rsid w:val="00E173B8"/>
    <w:rsid w:val="00E2070F"/>
    <w:rsid w:val="00E254B2"/>
    <w:rsid w:val="00E25680"/>
    <w:rsid w:val="00E2580D"/>
    <w:rsid w:val="00E3141C"/>
    <w:rsid w:val="00E31580"/>
    <w:rsid w:val="00E31DB6"/>
    <w:rsid w:val="00E3256F"/>
    <w:rsid w:val="00E3271A"/>
    <w:rsid w:val="00E34AB6"/>
    <w:rsid w:val="00E36540"/>
    <w:rsid w:val="00E37863"/>
    <w:rsid w:val="00E40EA8"/>
    <w:rsid w:val="00E41D07"/>
    <w:rsid w:val="00E4433F"/>
    <w:rsid w:val="00E45E68"/>
    <w:rsid w:val="00E474A8"/>
    <w:rsid w:val="00E47A00"/>
    <w:rsid w:val="00E47F31"/>
    <w:rsid w:val="00E5226E"/>
    <w:rsid w:val="00E55714"/>
    <w:rsid w:val="00E57B82"/>
    <w:rsid w:val="00E57D4D"/>
    <w:rsid w:val="00E60CCF"/>
    <w:rsid w:val="00E64871"/>
    <w:rsid w:val="00E66C01"/>
    <w:rsid w:val="00E70A1C"/>
    <w:rsid w:val="00E71689"/>
    <w:rsid w:val="00E7330F"/>
    <w:rsid w:val="00E7386F"/>
    <w:rsid w:val="00E73B0C"/>
    <w:rsid w:val="00E74427"/>
    <w:rsid w:val="00E74670"/>
    <w:rsid w:val="00E75FEE"/>
    <w:rsid w:val="00E7774D"/>
    <w:rsid w:val="00E807B0"/>
    <w:rsid w:val="00E8092D"/>
    <w:rsid w:val="00E82C86"/>
    <w:rsid w:val="00E83761"/>
    <w:rsid w:val="00E84107"/>
    <w:rsid w:val="00E84C33"/>
    <w:rsid w:val="00E85858"/>
    <w:rsid w:val="00E861FD"/>
    <w:rsid w:val="00E8662F"/>
    <w:rsid w:val="00E90449"/>
    <w:rsid w:val="00E925AA"/>
    <w:rsid w:val="00E925E9"/>
    <w:rsid w:val="00E959A2"/>
    <w:rsid w:val="00E95B6A"/>
    <w:rsid w:val="00E96153"/>
    <w:rsid w:val="00E966B0"/>
    <w:rsid w:val="00E96DBE"/>
    <w:rsid w:val="00E97C40"/>
    <w:rsid w:val="00EA37E2"/>
    <w:rsid w:val="00EB07D9"/>
    <w:rsid w:val="00EB10EF"/>
    <w:rsid w:val="00EB213E"/>
    <w:rsid w:val="00EB347C"/>
    <w:rsid w:val="00EB67F0"/>
    <w:rsid w:val="00EB6DC4"/>
    <w:rsid w:val="00EB79A0"/>
    <w:rsid w:val="00EC0339"/>
    <w:rsid w:val="00EC0FD1"/>
    <w:rsid w:val="00EC1536"/>
    <w:rsid w:val="00EC1D13"/>
    <w:rsid w:val="00EC1E87"/>
    <w:rsid w:val="00EC3370"/>
    <w:rsid w:val="00EC5512"/>
    <w:rsid w:val="00EC56F6"/>
    <w:rsid w:val="00EC5E58"/>
    <w:rsid w:val="00EC63B6"/>
    <w:rsid w:val="00EC7858"/>
    <w:rsid w:val="00ED04A4"/>
    <w:rsid w:val="00ED0801"/>
    <w:rsid w:val="00ED169C"/>
    <w:rsid w:val="00ED3987"/>
    <w:rsid w:val="00ED43B0"/>
    <w:rsid w:val="00ED454E"/>
    <w:rsid w:val="00ED779C"/>
    <w:rsid w:val="00EE160A"/>
    <w:rsid w:val="00EE17F2"/>
    <w:rsid w:val="00EE419A"/>
    <w:rsid w:val="00EE617B"/>
    <w:rsid w:val="00EF0760"/>
    <w:rsid w:val="00EF4AEA"/>
    <w:rsid w:val="00EF5E94"/>
    <w:rsid w:val="00F02382"/>
    <w:rsid w:val="00F0561C"/>
    <w:rsid w:val="00F05F61"/>
    <w:rsid w:val="00F0759D"/>
    <w:rsid w:val="00F10288"/>
    <w:rsid w:val="00F11253"/>
    <w:rsid w:val="00F12C46"/>
    <w:rsid w:val="00F1371A"/>
    <w:rsid w:val="00F141F4"/>
    <w:rsid w:val="00F14598"/>
    <w:rsid w:val="00F15EAD"/>
    <w:rsid w:val="00F16379"/>
    <w:rsid w:val="00F16D7C"/>
    <w:rsid w:val="00F16F84"/>
    <w:rsid w:val="00F20A65"/>
    <w:rsid w:val="00F213F8"/>
    <w:rsid w:val="00F24080"/>
    <w:rsid w:val="00F27691"/>
    <w:rsid w:val="00F3707E"/>
    <w:rsid w:val="00F406B3"/>
    <w:rsid w:val="00F40B45"/>
    <w:rsid w:val="00F40B47"/>
    <w:rsid w:val="00F411C9"/>
    <w:rsid w:val="00F435B8"/>
    <w:rsid w:val="00F4424F"/>
    <w:rsid w:val="00F447A4"/>
    <w:rsid w:val="00F44866"/>
    <w:rsid w:val="00F44CE1"/>
    <w:rsid w:val="00F45E82"/>
    <w:rsid w:val="00F472DE"/>
    <w:rsid w:val="00F54FF1"/>
    <w:rsid w:val="00F5594F"/>
    <w:rsid w:val="00F55AB1"/>
    <w:rsid w:val="00F56F33"/>
    <w:rsid w:val="00F57006"/>
    <w:rsid w:val="00F5756E"/>
    <w:rsid w:val="00F6116C"/>
    <w:rsid w:val="00F61B1E"/>
    <w:rsid w:val="00F64247"/>
    <w:rsid w:val="00F64C9F"/>
    <w:rsid w:val="00F6526A"/>
    <w:rsid w:val="00F76F69"/>
    <w:rsid w:val="00F77514"/>
    <w:rsid w:val="00F77A17"/>
    <w:rsid w:val="00F81339"/>
    <w:rsid w:val="00F83392"/>
    <w:rsid w:val="00F84E77"/>
    <w:rsid w:val="00F85BA1"/>
    <w:rsid w:val="00F86FBB"/>
    <w:rsid w:val="00F91138"/>
    <w:rsid w:val="00F92FAD"/>
    <w:rsid w:val="00F94A48"/>
    <w:rsid w:val="00F957ED"/>
    <w:rsid w:val="00F95BCA"/>
    <w:rsid w:val="00F96F6C"/>
    <w:rsid w:val="00F97710"/>
    <w:rsid w:val="00F97C23"/>
    <w:rsid w:val="00F97E86"/>
    <w:rsid w:val="00FA040E"/>
    <w:rsid w:val="00FA16DA"/>
    <w:rsid w:val="00FA2A3B"/>
    <w:rsid w:val="00FA596A"/>
    <w:rsid w:val="00FA6902"/>
    <w:rsid w:val="00FA7158"/>
    <w:rsid w:val="00FA730B"/>
    <w:rsid w:val="00FA736A"/>
    <w:rsid w:val="00FA77E2"/>
    <w:rsid w:val="00FB1952"/>
    <w:rsid w:val="00FB2150"/>
    <w:rsid w:val="00FB2802"/>
    <w:rsid w:val="00FB6E55"/>
    <w:rsid w:val="00FB7C8D"/>
    <w:rsid w:val="00FC03AA"/>
    <w:rsid w:val="00FC0ECF"/>
    <w:rsid w:val="00FC304B"/>
    <w:rsid w:val="00FC4569"/>
    <w:rsid w:val="00FC5C6B"/>
    <w:rsid w:val="00FC75C8"/>
    <w:rsid w:val="00FC7E7C"/>
    <w:rsid w:val="00FD28BD"/>
    <w:rsid w:val="00FD32D3"/>
    <w:rsid w:val="00FD386D"/>
    <w:rsid w:val="00FD3FEE"/>
    <w:rsid w:val="00FD417A"/>
    <w:rsid w:val="00FE0C90"/>
    <w:rsid w:val="00FE1462"/>
    <w:rsid w:val="00FE1CCC"/>
    <w:rsid w:val="00FE27EE"/>
    <w:rsid w:val="00FE5B26"/>
    <w:rsid w:val="00FE5CC3"/>
    <w:rsid w:val="00FF0027"/>
    <w:rsid w:val="00FF11B7"/>
    <w:rsid w:val="00FF25A6"/>
    <w:rsid w:val="00FF4D7F"/>
    <w:rsid w:val="00FF4F1B"/>
    <w:rsid w:val="01D6E5B9"/>
    <w:rsid w:val="026D765A"/>
    <w:rsid w:val="02BDE2F2"/>
    <w:rsid w:val="03D5CD18"/>
    <w:rsid w:val="065D07BE"/>
    <w:rsid w:val="070378F2"/>
    <w:rsid w:val="0A7692D7"/>
    <w:rsid w:val="0A9F2DC5"/>
    <w:rsid w:val="0AF373D3"/>
    <w:rsid w:val="0E6939BD"/>
    <w:rsid w:val="1531872A"/>
    <w:rsid w:val="1D7C04C1"/>
    <w:rsid w:val="1F346B41"/>
    <w:rsid w:val="20045767"/>
    <w:rsid w:val="2287EA93"/>
    <w:rsid w:val="27FF6B72"/>
    <w:rsid w:val="2C501D58"/>
    <w:rsid w:val="2C634B44"/>
    <w:rsid w:val="2DB9BAE6"/>
    <w:rsid w:val="3301165B"/>
    <w:rsid w:val="3434373D"/>
    <w:rsid w:val="36373EAD"/>
    <w:rsid w:val="3B21B404"/>
    <w:rsid w:val="3D058E1D"/>
    <w:rsid w:val="3DE87CAA"/>
    <w:rsid w:val="3FC00564"/>
    <w:rsid w:val="42E3C55C"/>
    <w:rsid w:val="47AFFE87"/>
    <w:rsid w:val="4CD5C80D"/>
    <w:rsid w:val="50B28FB5"/>
    <w:rsid w:val="516CD7CD"/>
    <w:rsid w:val="529B2C97"/>
    <w:rsid w:val="562EDA45"/>
    <w:rsid w:val="578BAB7C"/>
    <w:rsid w:val="58179ACC"/>
    <w:rsid w:val="58A5AEB8"/>
    <w:rsid w:val="5BC3CBDD"/>
    <w:rsid w:val="5E70074C"/>
    <w:rsid w:val="5F6D5230"/>
    <w:rsid w:val="6333B590"/>
    <w:rsid w:val="6511F83A"/>
    <w:rsid w:val="6538C9C6"/>
    <w:rsid w:val="675DEC71"/>
    <w:rsid w:val="6BFB3087"/>
    <w:rsid w:val="7071E8DF"/>
    <w:rsid w:val="71D0B74C"/>
    <w:rsid w:val="73C8C88A"/>
    <w:rsid w:val="778A3B1B"/>
    <w:rsid w:val="77E620C3"/>
    <w:rsid w:val="77EAA50C"/>
    <w:rsid w:val="783F3D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E6C8A"/>
  <w15:chartTrackingRefBased/>
  <w15:docId w15:val="{1B1A56F6-CD31-4743-8A91-ECF67BD9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98"/>
    <w:pPr>
      <w:spacing w:before="100" w:beforeAutospacing="1" w:after="100" w:afterAutospacing="1" w:line="240" w:lineRule="auto"/>
    </w:pPr>
    <w:rPr>
      <w:rFonts w:ascii="Arial" w:hAnsi="Arial"/>
      <w:kern w:val="0"/>
      <w:sz w:val="18"/>
      <w:lang w:val="en-GB"/>
      <w14:ligatures w14:val="none"/>
    </w:rPr>
  </w:style>
  <w:style w:type="paragraph" w:styleId="Rubrik1">
    <w:name w:val="heading 1"/>
    <w:basedOn w:val="Normal"/>
    <w:next w:val="Normal"/>
    <w:link w:val="Rubrik1Char"/>
    <w:uiPriority w:val="9"/>
    <w:qFormat/>
    <w:rsid w:val="00046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46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046A6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046A6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6A6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6A6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6A6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6A6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6A6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6A6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46A6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046A6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046A6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6A6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6A6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6A6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6A6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6A6B"/>
    <w:rPr>
      <w:rFonts w:eastAsiaTheme="majorEastAsia" w:cstheme="majorBidi"/>
      <w:color w:val="272727" w:themeColor="text1" w:themeTint="D8"/>
    </w:rPr>
  </w:style>
  <w:style w:type="paragraph" w:styleId="Rubrik">
    <w:name w:val="Title"/>
    <w:basedOn w:val="Normal"/>
    <w:next w:val="Normal"/>
    <w:link w:val="RubrikChar"/>
    <w:uiPriority w:val="10"/>
    <w:qFormat/>
    <w:rsid w:val="00046A6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6A6B"/>
    <w:rPr>
      <w:rFonts w:asciiTheme="majorHAnsi" w:eastAsiaTheme="majorEastAsia" w:hAnsiTheme="majorHAnsi" w:cstheme="majorBidi"/>
      <w:spacing w:val="-10"/>
      <w:kern w:val="28"/>
      <w:sz w:val="56"/>
      <w:szCs w:val="56"/>
      <w:lang w:val="en-GB"/>
      <w14:ligatures w14:val="none"/>
    </w:rPr>
  </w:style>
  <w:style w:type="paragraph" w:styleId="Underrubrik">
    <w:name w:val="Subtitle"/>
    <w:basedOn w:val="Normal"/>
    <w:next w:val="Normal"/>
    <w:link w:val="UnderrubrikChar"/>
    <w:uiPriority w:val="11"/>
    <w:qFormat/>
    <w:rsid w:val="00046A6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6A6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6A6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6A6B"/>
    <w:rPr>
      <w:i/>
      <w:iCs/>
      <w:color w:val="404040" w:themeColor="text1" w:themeTint="BF"/>
    </w:rPr>
  </w:style>
  <w:style w:type="paragraph" w:styleId="Liststycke">
    <w:name w:val="List Paragraph"/>
    <w:basedOn w:val="Normal"/>
    <w:uiPriority w:val="34"/>
    <w:qFormat/>
    <w:rsid w:val="00046A6B"/>
    <w:pPr>
      <w:ind w:left="720"/>
      <w:contextualSpacing/>
    </w:pPr>
  </w:style>
  <w:style w:type="character" w:styleId="Starkbetoning">
    <w:name w:val="Intense Emphasis"/>
    <w:basedOn w:val="Standardstycketeckensnitt"/>
    <w:uiPriority w:val="21"/>
    <w:qFormat/>
    <w:rsid w:val="00046A6B"/>
    <w:rPr>
      <w:i/>
      <w:iCs/>
      <w:color w:val="0F4761" w:themeColor="accent1" w:themeShade="BF"/>
    </w:rPr>
  </w:style>
  <w:style w:type="paragraph" w:styleId="Starktcitat">
    <w:name w:val="Intense Quote"/>
    <w:basedOn w:val="Normal"/>
    <w:next w:val="Normal"/>
    <w:link w:val="StarktcitatChar"/>
    <w:uiPriority w:val="30"/>
    <w:qFormat/>
    <w:rsid w:val="00046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6A6B"/>
    <w:rPr>
      <w:i/>
      <w:iCs/>
      <w:color w:val="0F4761" w:themeColor="accent1" w:themeShade="BF"/>
    </w:rPr>
  </w:style>
  <w:style w:type="character" w:styleId="Starkreferens">
    <w:name w:val="Intense Reference"/>
    <w:basedOn w:val="Standardstycketeckensnitt"/>
    <w:uiPriority w:val="32"/>
    <w:qFormat/>
    <w:rsid w:val="00046A6B"/>
    <w:rPr>
      <w:b/>
      <w:bCs/>
      <w:smallCaps/>
      <w:color w:val="0F4761" w:themeColor="accent1" w:themeShade="BF"/>
      <w:spacing w:val="5"/>
    </w:rPr>
  </w:style>
  <w:style w:type="character" w:styleId="Hyperlnk">
    <w:name w:val="Hyperlink"/>
    <w:basedOn w:val="Standardstycketeckensnitt"/>
    <w:uiPriority w:val="99"/>
    <w:unhideWhenUsed/>
    <w:rsid w:val="00046A6B"/>
    <w:rPr>
      <w:color w:val="467886" w:themeColor="hyperlink"/>
      <w:u w:val="single"/>
    </w:rPr>
  </w:style>
  <w:style w:type="paragraph" w:styleId="Normalwebb">
    <w:name w:val="Normal (Web)"/>
    <w:basedOn w:val="Normal"/>
    <w:uiPriority w:val="99"/>
    <w:semiHidden/>
    <w:unhideWhenUsed/>
    <w:rsid w:val="00046A6B"/>
    <w:rPr>
      <w:rFonts w:ascii="Calibri" w:hAnsi="Calibri" w:cs="Calibri"/>
      <w:sz w:val="22"/>
      <w:lang w:val="sv-SE" w:eastAsia="sv-SE"/>
    </w:rPr>
  </w:style>
  <w:style w:type="paragraph" w:customStyle="1" w:styleId="FWBL2">
    <w:name w:val="FWB_L2"/>
    <w:basedOn w:val="FWBL1"/>
    <w:link w:val="FWBL2CharChar1"/>
    <w:uiPriority w:val="99"/>
    <w:rsid w:val="00046A6B"/>
    <w:pPr>
      <w:keepNext w:val="0"/>
      <w:keepLines w:val="0"/>
      <w:numPr>
        <w:ilvl w:val="1"/>
      </w:numPr>
      <w:tabs>
        <w:tab w:val="num" w:pos="720"/>
      </w:tabs>
      <w:ind w:left="0"/>
      <w:jc w:val="both"/>
      <w:outlineLvl w:val="9"/>
    </w:pPr>
    <w:rPr>
      <w:b w:val="0"/>
      <w:smallCaps w:val="0"/>
    </w:rPr>
  </w:style>
  <w:style w:type="paragraph" w:customStyle="1" w:styleId="FWBL1">
    <w:name w:val="FWB_L1"/>
    <w:basedOn w:val="Normal"/>
    <w:next w:val="FWBL2"/>
    <w:uiPriority w:val="99"/>
    <w:rsid w:val="00046A6B"/>
    <w:pPr>
      <w:keepNext/>
      <w:keepLines/>
      <w:numPr>
        <w:numId w:val="1"/>
      </w:numPr>
      <w:spacing w:before="0" w:beforeAutospacing="0" w:after="240" w:afterAutospacing="0"/>
      <w:outlineLvl w:val="0"/>
    </w:pPr>
    <w:rPr>
      <w:rFonts w:ascii="Times New Roman" w:eastAsia="Times New Roman" w:hAnsi="Times New Roman" w:cs="Times New Roman"/>
      <w:b/>
      <w:smallCaps/>
      <w:sz w:val="24"/>
      <w:szCs w:val="20"/>
      <w:lang w:val="sv-SE"/>
    </w:rPr>
  </w:style>
  <w:style w:type="character" w:customStyle="1" w:styleId="FWBL2CharChar1">
    <w:name w:val="FWB_L2 Char Char1"/>
    <w:link w:val="FWBL2"/>
    <w:uiPriority w:val="99"/>
    <w:locked/>
    <w:rsid w:val="00046A6B"/>
    <w:rPr>
      <w:rFonts w:ascii="Times New Roman" w:eastAsia="Times New Roman" w:hAnsi="Times New Roman" w:cs="Times New Roman"/>
      <w:kern w:val="0"/>
      <w:sz w:val="24"/>
      <w:szCs w:val="20"/>
      <w:lang w:val="sv-SE"/>
      <w14:ligatures w14:val="none"/>
    </w:rPr>
  </w:style>
  <w:style w:type="paragraph" w:customStyle="1" w:styleId="FWBL3">
    <w:name w:val="FWB_L3"/>
    <w:basedOn w:val="FWBL2"/>
    <w:uiPriority w:val="99"/>
    <w:rsid w:val="00046A6B"/>
    <w:pPr>
      <w:numPr>
        <w:ilvl w:val="2"/>
      </w:numPr>
      <w:tabs>
        <w:tab w:val="clear" w:pos="720"/>
        <w:tab w:val="clear" w:pos="1995"/>
        <w:tab w:val="num" w:pos="360"/>
      </w:tabs>
      <w:ind w:left="1224" w:hanging="504"/>
    </w:pPr>
  </w:style>
  <w:style w:type="paragraph" w:customStyle="1" w:styleId="FWBL4">
    <w:name w:val="FWB_L4"/>
    <w:basedOn w:val="FWBL3"/>
    <w:uiPriority w:val="99"/>
    <w:rsid w:val="00046A6B"/>
    <w:pPr>
      <w:numPr>
        <w:ilvl w:val="3"/>
      </w:numPr>
      <w:tabs>
        <w:tab w:val="clear" w:pos="216"/>
        <w:tab w:val="num" w:pos="360"/>
      </w:tabs>
      <w:ind w:left="1728" w:hanging="648"/>
    </w:pPr>
  </w:style>
  <w:style w:type="paragraph" w:customStyle="1" w:styleId="FWBL5">
    <w:name w:val="FWB_L5"/>
    <w:basedOn w:val="FWBL4"/>
    <w:uiPriority w:val="99"/>
    <w:rsid w:val="00046A6B"/>
    <w:pPr>
      <w:numPr>
        <w:ilvl w:val="4"/>
      </w:numPr>
      <w:tabs>
        <w:tab w:val="clear" w:pos="2160"/>
        <w:tab w:val="num" w:pos="360"/>
      </w:tabs>
      <w:ind w:left="2232" w:hanging="792"/>
    </w:pPr>
  </w:style>
  <w:style w:type="paragraph" w:customStyle="1" w:styleId="FWBL6">
    <w:name w:val="FWB_L6"/>
    <w:basedOn w:val="FWBL5"/>
    <w:uiPriority w:val="99"/>
    <w:rsid w:val="00046A6B"/>
    <w:pPr>
      <w:numPr>
        <w:ilvl w:val="5"/>
      </w:numPr>
      <w:tabs>
        <w:tab w:val="clear" w:pos="2880"/>
        <w:tab w:val="num" w:pos="360"/>
      </w:tabs>
      <w:ind w:left="2736" w:hanging="936"/>
    </w:pPr>
  </w:style>
  <w:style w:type="paragraph" w:customStyle="1" w:styleId="FWBL7">
    <w:name w:val="FWB_L7"/>
    <w:basedOn w:val="FWBL6"/>
    <w:uiPriority w:val="99"/>
    <w:rsid w:val="00046A6B"/>
    <w:pPr>
      <w:numPr>
        <w:ilvl w:val="6"/>
      </w:numPr>
      <w:tabs>
        <w:tab w:val="clear" w:pos="3600"/>
        <w:tab w:val="num" w:pos="360"/>
      </w:tabs>
      <w:ind w:left="3240" w:hanging="1080"/>
    </w:pPr>
  </w:style>
  <w:style w:type="paragraph" w:customStyle="1" w:styleId="FWBL8">
    <w:name w:val="FWB_L8"/>
    <w:basedOn w:val="FWBL7"/>
    <w:uiPriority w:val="99"/>
    <w:rsid w:val="00046A6B"/>
    <w:pPr>
      <w:numPr>
        <w:ilvl w:val="7"/>
      </w:numPr>
      <w:tabs>
        <w:tab w:val="clear" w:pos="4320"/>
        <w:tab w:val="num" w:pos="360"/>
      </w:tabs>
      <w:ind w:left="3744" w:hanging="1224"/>
    </w:pPr>
  </w:style>
  <w:style w:type="character" w:styleId="Kommentarsreferens">
    <w:name w:val="annotation reference"/>
    <w:basedOn w:val="Standardstycketeckensnitt"/>
    <w:uiPriority w:val="99"/>
    <w:semiHidden/>
    <w:unhideWhenUsed/>
    <w:rsid w:val="0030485C"/>
    <w:rPr>
      <w:sz w:val="16"/>
      <w:szCs w:val="16"/>
    </w:rPr>
  </w:style>
  <w:style w:type="paragraph" w:styleId="Kommentarer">
    <w:name w:val="annotation text"/>
    <w:basedOn w:val="Normal"/>
    <w:link w:val="KommentarerChar"/>
    <w:uiPriority w:val="99"/>
    <w:unhideWhenUsed/>
    <w:rsid w:val="0030485C"/>
    <w:rPr>
      <w:sz w:val="20"/>
      <w:szCs w:val="20"/>
    </w:rPr>
  </w:style>
  <w:style w:type="character" w:customStyle="1" w:styleId="KommentarerChar">
    <w:name w:val="Kommentarer Char"/>
    <w:basedOn w:val="Standardstycketeckensnitt"/>
    <w:link w:val="Kommentarer"/>
    <w:uiPriority w:val="99"/>
    <w:rsid w:val="0030485C"/>
    <w:rPr>
      <w:rFonts w:ascii="Arial" w:hAnsi="Arial"/>
      <w:kern w:val="0"/>
      <w:sz w:val="20"/>
      <w:szCs w:val="20"/>
      <w:lang w:val="en-GB"/>
      <w14:ligatures w14:val="none"/>
    </w:rPr>
  </w:style>
  <w:style w:type="paragraph" w:styleId="Kommentarsmne">
    <w:name w:val="annotation subject"/>
    <w:basedOn w:val="Kommentarer"/>
    <w:next w:val="Kommentarer"/>
    <w:link w:val="KommentarsmneChar"/>
    <w:uiPriority w:val="99"/>
    <w:semiHidden/>
    <w:unhideWhenUsed/>
    <w:rsid w:val="0030485C"/>
    <w:rPr>
      <w:b/>
      <w:bCs/>
    </w:rPr>
  </w:style>
  <w:style w:type="character" w:customStyle="1" w:styleId="KommentarsmneChar">
    <w:name w:val="Kommentarsämne Char"/>
    <w:basedOn w:val="KommentarerChar"/>
    <w:link w:val="Kommentarsmne"/>
    <w:uiPriority w:val="99"/>
    <w:semiHidden/>
    <w:rsid w:val="0030485C"/>
    <w:rPr>
      <w:rFonts w:ascii="Arial" w:hAnsi="Arial"/>
      <w:b/>
      <w:bCs/>
      <w:kern w:val="0"/>
      <w:sz w:val="20"/>
      <w:szCs w:val="20"/>
      <w:lang w:val="en-GB"/>
      <w14:ligatures w14:val="none"/>
    </w:rPr>
  </w:style>
  <w:style w:type="paragraph" w:styleId="Revision">
    <w:name w:val="Revision"/>
    <w:hidden/>
    <w:uiPriority w:val="99"/>
    <w:semiHidden/>
    <w:rsid w:val="0030485C"/>
    <w:pPr>
      <w:spacing w:after="0" w:line="240" w:lineRule="auto"/>
    </w:pPr>
    <w:rPr>
      <w:rFonts w:ascii="Arial" w:hAnsi="Arial"/>
      <w:kern w:val="0"/>
      <w:sz w:val="18"/>
      <w:lang w:val="en-GB"/>
      <w14:ligatures w14:val="none"/>
    </w:rPr>
  </w:style>
  <w:style w:type="character" w:styleId="Olstomnmnande">
    <w:name w:val="Unresolved Mention"/>
    <w:basedOn w:val="Standardstycketeckensnitt"/>
    <w:uiPriority w:val="99"/>
    <w:semiHidden/>
    <w:unhideWhenUsed/>
    <w:rsid w:val="0030485C"/>
    <w:rPr>
      <w:color w:val="605E5C"/>
      <w:shd w:val="clear" w:color="auto" w:fill="E1DFDD"/>
    </w:rPr>
  </w:style>
  <w:style w:type="character" w:customStyle="1" w:styleId="BATHeading3Char">
    <w:name w:val="BAT Heading 3 Char"/>
    <w:basedOn w:val="Standardstycketeckensnitt"/>
    <w:link w:val="BATHeading3"/>
    <w:locked/>
    <w:rsid w:val="007F20E2"/>
    <w:rPr>
      <w:rFonts w:ascii="Montserrat SemiBold" w:hAnsi="Montserrat SemiBold"/>
      <w:color w:val="156082" w:themeColor="accent1"/>
      <w:szCs w:val="18"/>
    </w:rPr>
  </w:style>
  <w:style w:type="paragraph" w:customStyle="1" w:styleId="BATHeading3">
    <w:name w:val="BAT Heading 3"/>
    <w:basedOn w:val="Normal"/>
    <w:link w:val="BATHeading3Char"/>
    <w:qFormat/>
    <w:rsid w:val="007F20E2"/>
    <w:pPr>
      <w:tabs>
        <w:tab w:val="left" w:pos="425"/>
        <w:tab w:val="left" w:pos="851"/>
      </w:tabs>
      <w:spacing w:before="0" w:beforeAutospacing="0" w:after="160" w:afterAutospacing="0" w:line="256" w:lineRule="auto"/>
      <w:jc w:val="both"/>
    </w:pPr>
    <w:rPr>
      <w:rFonts w:ascii="Montserrat SemiBold" w:hAnsi="Montserrat SemiBold"/>
      <w:color w:val="156082" w:themeColor="accent1"/>
      <w:kern w:val="2"/>
      <w:sz w:val="22"/>
      <w:szCs w:val="18"/>
      <w:lang w:val="en-US"/>
      <w14:ligatures w14:val="standardContextual"/>
    </w:rPr>
  </w:style>
  <w:style w:type="character" w:styleId="Nmn">
    <w:name w:val="Mention"/>
    <w:basedOn w:val="Standardstycketeckensnitt"/>
    <w:uiPriority w:val="99"/>
    <w:unhideWhenUsed/>
    <w:rsid w:val="00D24A14"/>
    <w:rPr>
      <w:color w:val="2B579A"/>
      <w:shd w:val="clear" w:color="auto" w:fill="E1DFDD"/>
    </w:rPr>
  </w:style>
  <w:style w:type="paragraph" w:styleId="Fotnotstext">
    <w:name w:val="footnote text"/>
    <w:basedOn w:val="Normal"/>
    <w:link w:val="FotnotstextChar"/>
    <w:uiPriority w:val="99"/>
    <w:semiHidden/>
    <w:unhideWhenUsed/>
    <w:rsid w:val="008E4FDB"/>
    <w:pPr>
      <w:spacing w:before="0" w:after="0"/>
    </w:pPr>
    <w:rPr>
      <w:sz w:val="20"/>
      <w:szCs w:val="20"/>
    </w:rPr>
  </w:style>
  <w:style w:type="character" w:customStyle="1" w:styleId="FotnotstextChar">
    <w:name w:val="Fotnotstext Char"/>
    <w:basedOn w:val="Standardstycketeckensnitt"/>
    <w:link w:val="Fotnotstext"/>
    <w:uiPriority w:val="99"/>
    <w:semiHidden/>
    <w:rsid w:val="008E4FDB"/>
    <w:rPr>
      <w:rFonts w:ascii="Arial" w:hAnsi="Arial"/>
      <w:kern w:val="0"/>
      <w:sz w:val="20"/>
      <w:szCs w:val="20"/>
      <w:lang w:val="en-GB"/>
      <w14:ligatures w14:val="none"/>
    </w:rPr>
  </w:style>
  <w:style w:type="character" w:styleId="Fotnotsreferens">
    <w:name w:val="footnote reference"/>
    <w:basedOn w:val="Standardstycketeckensnitt"/>
    <w:uiPriority w:val="99"/>
    <w:semiHidden/>
    <w:unhideWhenUsed/>
    <w:rsid w:val="008E4FDB"/>
    <w:rPr>
      <w:vertAlign w:val="superscript"/>
    </w:rPr>
  </w:style>
  <w:style w:type="paragraph" w:styleId="Sidhuvud">
    <w:name w:val="header"/>
    <w:basedOn w:val="Normal"/>
    <w:link w:val="SidhuvudChar"/>
    <w:uiPriority w:val="99"/>
    <w:unhideWhenUsed/>
    <w:rsid w:val="0065161E"/>
    <w:pPr>
      <w:tabs>
        <w:tab w:val="center" w:pos="4680"/>
        <w:tab w:val="right" w:pos="9360"/>
      </w:tabs>
      <w:spacing w:before="0" w:after="0"/>
    </w:pPr>
  </w:style>
  <w:style w:type="character" w:customStyle="1" w:styleId="SidhuvudChar">
    <w:name w:val="Sidhuvud Char"/>
    <w:basedOn w:val="Standardstycketeckensnitt"/>
    <w:link w:val="Sidhuvud"/>
    <w:uiPriority w:val="99"/>
    <w:rsid w:val="0065161E"/>
    <w:rPr>
      <w:rFonts w:ascii="Arial" w:hAnsi="Arial"/>
      <w:kern w:val="0"/>
      <w:sz w:val="18"/>
      <w:lang w:val="en-GB"/>
      <w14:ligatures w14:val="none"/>
    </w:rPr>
  </w:style>
  <w:style w:type="paragraph" w:styleId="Sidfot">
    <w:name w:val="footer"/>
    <w:basedOn w:val="Normal"/>
    <w:link w:val="SidfotChar"/>
    <w:uiPriority w:val="99"/>
    <w:unhideWhenUsed/>
    <w:rsid w:val="0065161E"/>
    <w:pPr>
      <w:tabs>
        <w:tab w:val="center" w:pos="4680"/>
        <w:tab w:val="right" w:pos="9360"/>
      </w:tabs>
      <w:spacing w:before="0" w:after="0"/>
    </w:pPr>
  </w:style>
  <w:style w:type="character" w:customStyle="1" w:styleId="SidfotChar">
    <w:name w:val="Sidfot Char"/>
    <w:basedOn w:val="Standardstycketeckensnitt"/>
    <w:link w:val="Sidfot"/>
    <w:uiPriority w:val="99"/>
    <w:rsid w:val="0065161E"/>
    <w:rPr>
      <w:rFonts w:ascii="Arial" w:hAnsi="Arial"/>
      <w:kern w:val="0"/>
      <w:sz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93660">
      <w:bodyDiv w:val="1"/>
      <w:marLeft w:val="0"/>
      <w:marRight w:val="0"/>
      <w:marTop w:val="0"/>
      <w:marBottom w:val="0"/>
      <w:divBdr>
        <w:top w:val="none" w:sz="0" w:space="0" w:color="auto"/>
        <w:left w:val="none" w:sz="0" w:space="0" w:color="auto"/>
        <w:bottom w:val="none" w:sz="0" w:space="0" w:color="auto"/>
        <w:right w:val="none" w:sz="0" w:space="0" w:color="auto"/>
      </w:divBdr>
    </w:div>
    <w:div w:id="551042695">
      <w:bodyDiv w:val="1"/>
      <w:marLeft w:val="0"/>
      <w:marRight w:val="0"/>
      <w:marTop w:val="0"/>
      <w:marBottom w:val="0"/>
      <w:divBdr>
        <w:top w:val="none" w:sz="0" w:space="0" w:color="auto"/>
        <w:left w:val="none" w:sz="0" w:space="0" w:color="auto"/>
        <w:bottom w:val="none" w:sz="0" w:space="0" w:color="auto"/>
        <w:right w:val="none" w:sz="0" w:space="0" w:color="auto"/>
      </w:divBdr>
    </w:div>
    <w:div w:id="1256132655">
      <w:bodyDiv w:val="1"/>
      <w:marLeft w:val="0"/>
      <w:marRight w:val="0"/>
      <w:marTop w:val="0"/>
      <w:marBottom w:val="0"/>
      <w:divBdr>
        <w:top w:val="none" w:sz="0" w:space="0" w:color="auto"/>
        <w:left w:val="none" w:sz="0" w:space="0" w:color="auto"/>
        <w:bottom w:val="none" w:sz="0" w:space="0" w:color="auto"/>
        <w:right w:val="none" w:sz="0" w:space="0" w:color="auto"/>
      </w:divBdr>
    </w:div>
    <w:div w:id="1613782507">
      <w:bodyDiv w:val="1"/>
      <w:marLeft w:val="0"/>
      <w:marRight w:val="0"/>
      <w:marTop w:val="0"/>
      <w:marBottom w:val="0"/>
      <w:divBdr>
        <w:top w:val="none" w:sz="0" w:space="0" w:color="auto"/>
        <w:left w:val="none" w:sz="0" w:space="0" w:color="auto"/>
        <w:bottom w:val="none" w:sz="0" w:space="0" w:color="auto"/>
        <w:right w:val="none" w:sz="0" w:space="0" w:color="auto"/>
      </w:divBdr>
    </w:div>
    <w:div w:id="18790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nicotineproducten-zonder-tabak-voor-recreatief-gebruik" TargetMode="External"/><Relationship Id="rId2" Type="http://schemas.openxmlformats.org/officeDocument/2006/relationships/hyperlink" Target="https://cot.food.gov.uk/sites/default/files/2023-04/Publishable%20%20COT%20Oral%20nicotine%20pouches%20-%20final%20v1-0%20Acc%20V.pdf" TargetMode="External"/><Relationship Id="rId1" Type="http://schemas.openxmlformats.org/officeDocument/2006/relationships/hyperlink" Target="https://www.bfr.bund.de/cm/349/health-risk-assessment-of-nicotine-pouches.pdf" TargetMode="External"/><Relationship Id="rId5" Type="http://schemas.openxmlformats.org/officeDocument/2006/relationships/hyperlink" Target="https://vizhub.healthdata.org/gbd-compare/" TargetMode="External"/><Relationship Id="rId4" Type="http://schemas.openxmlformats.org/officeDocument/2006/relationships/hyperlink" Target="https://www.sis.se/en/produkter/agriculture/tobacco-tobacco-products-and-related-equipment/sists-7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6a3c2f0-8e04-4728-a282-4f6d649480ce" xsi:nil="true"/>
    <lcf76f155ced4ddcb4097134ff3c332f xmlns="1a108f4e-c297-4235-86f7-5984d4569d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D17561885014498CDD94894BF3948" ma:contentTypeVersion="15" ma:contentTypeDescription="Create a new document." ma:contentTypeScope="" ma:versionID="66f7cdbf034b8c764a2153cc97f6fc95">
  <xsd:schema xmlns:xsd="http://www.w3.org/2001/XMLSchema" xmlns:xs="http://www.w3.org/2001/XMLSchema" xmlns:p="http://schemas.microsoft.com/office/2006/metadata/properties" xmlns:ns2="1a108f4e-c297-4235-86f7-5984d4569d02" xmlns:ns3="a6a3c2f0-8e04-4728-a282-4f6d649480ce" targetNamespace="http://schemas.microsoft.com/office/2006/metadata/properties" ma:root="true" ma:fieldsID="63a2a71c4a4dd5d1a5d947223c7e5558" ns2:_="" ns3:_="">
    <xsd:import namespace="1a108f4e-c297-4235-86f7-5984d4569d02"/>
    <xsd:import namespace="a6a3c2f0-8e04-4728-a282-4f6d64948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08f4e-c297-4235-86f7-5984d4569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dfe741-475c-44cf-bcd4-46bfd3fd06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3c2f0-8e04-4728-a282-4f6d649480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8056ee-24b0-4fee-abf5-cf35ddd2ff57}" ma:internalName="TaxCatchAll" ma:showField="CatchAllData" ma:web="a6a3c2f0-8e04-4728-a282-4f6d649480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115A9-88A7-465D-B087-B653185C775C}">
  <ds:schemaRefs>
    <ds:schemaRef ds:uri="http://schemas.microsoft.com/sharepoint/v3/contenttype/forms"/>
  </ds:schemaRefs>
</ds:datastoreItem>
</file>

<file path=customXml/itemProps2.xml><?xml version="1.0" encoding="utf-8"?>
<ds:datastoreItem xmlns:ds="http://schemas.openxmlformats.org/officeDocument/2006/customXml" ds:itemID="{E2BF9936-DE33-43F9-BC69-2C5899A16E13}">
  <ds:schemaRefs>
    <ds:schemaRef ds:uri="http://schemas.openxmlformats.org/officeDocument/2006/bibliography"/>
  </ds:schemaRefs>
</ds:datastoreItem>
</file>

<file path=customXml/itemProps3.xml><?xml version="1.0" encoding="utf-8"?>
<ds:datastoreItem xmlns:ds="http://schemas.openxmlformats.org/officeDocument/2006/customXml" ds:itemID="{DDC032E7-DC45-431D-85ED-7D5B45661CDC}">
  <ds:schemaRefs>
    <ds:schemaRef ds:uri="http://schemas.microsoft.com/office/2006/metadata/properties"/>
    <ds:schemaRef ds:uri="http://schemas.microsoft.com/office/infopath/2007/PartnerControls"/>
    <ds:schemaRef ds:uri="a6a3c2f0-8e04-4728-a282-4f6d649480ce"/>
    <ds:schemaRef ds:uri="1a108f4e-c297-4235-86f7-5984d4569d02"/>
  </ds:schemaRefs>
</ds:datastoreItem>
</file>

<file path=customXml/itemProps4.xml><?xml version="1.0" encoding="utf-8"?>
<ds:datastoreItem xmlns:ds="http://schemas.openxmlformats.org/officeDocument/2006/customXml" ds:itemID="{69C1AEB1-CFC7-47AB-97BE-CB9ADEDA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08f4e-c297-4235-86f7-5984d4569d02"/>
    <ds:schemaRef ds:uri="a6a3c2f0-8e04-4728-a282-4f6d6494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20b37f-db72-473e-ae54-fb16df408069}" enabled="1" method="Standard" siteId="{705d07a3-2eea-4f3b-ab59-65ca29abeb26}"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2170</Words>
  <Characters>11501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Casinge</dc:creator>
  <cp:keywords/>
  <dc:description/>
  <cp:lastModifiedBy>Robert Casinge</cp:lastModifiedBy>
  <cp:revision>2</cp:revision>
  <cp:lastPrinted>2025-03-31T09:10:00Z</cp:lastPrinted>
  <dcterms:created xsi:type="dcterms:W3CDTF">2025-04-25T16:08:00Z</dcterms:created>
  <dcterms:modified xsi:type="dcterms:W3CDTF">2025-04-25T16:08:00Z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fea72e-161c-48c8-8e82-3fc1e9b3162c_Enabled">
    <vt:lpwstr>true</vt:lpwstr>
  </property>
  <property fmtid="{D5CDD505-2E9C-101B-9397-08002B2CF9AE}" pid="3" name="MSIP_Label_e9fea72e-161c-48c8-8e82-3fc1e9b3162c_SetDate">
    <vt:lpwstr>2024-08-23T13:18:02Z</vt:lpwstr>
  </property>
  <property fmtid="{D5CDD505-2E9C-101B-9397-08002B2CF9AE}" pid="4" name="MSIP_Label_e9fea72e-161c-48c8-8e82-3fc1e9b3162c_Method">
    <vt:lpwstr>Standard</vt:lpwstr>
  </property>
  <property fmtid="{D5CDD505-2E9C-101B-9397-08002B2CF9AE}" pid="5" name="MSIP_Label_e9fea72e-161c-48c8-8e82-3fc1e9b3162c_Name">
    <vt:lpwstr>Normal sensitivity label</vt:lpwstr>
  </property>
  <property fmtid="{D5CDD505-2E9C-101B-9397-08002B2CF9AE}" pid="6" name="MSIP_Label_e9fea72e-161c-48c8-8e82-3fc1e9b3162c_SiteId">
    <vt:lpwstr>ff9c7474-421d-4957-8d47-c4b64dec87b5</vt:lpwstr>
  </property>
  <property fmtid="{D5CDD505-2E9C-101B-9397-08002B2CF9AE}" pid="7" name="MSIP_Label_e9fea72e-161c-48c8-8e82-3fc1e9b3162c_ActionId">
    <vt:lpwstr>281a6690-205e-4e7b-b689-bc604224b335</vt:lpwstr>
  </property>
  <property fmtid="{D5CDD505-2E9C-101B-9397-08002B2CF9AE}" pid="8" name="MSIP_Label_e9fea72e-161c-48c8-8e82-3fc1e9b3162c_ContentBits">
    <vt:lpwstr>0</vt:lpwstr>
  </property>
  <property fmtid="{D5CDD505-2E9C-101B-9397-08002B2CF9AE}" pid="9" name="ContentTypeId">
    <vt:lpwstr>0x010100C1AD17561885014498CDD94894BF3948</vt:lpwstr>
  </property>
  <property fmtid="{D5CDD505-2E9C-101B-9397-08002B2CF9AE}" pid="10" name="MediaServiceImageTags">
    <vt:lpwstr/>
  </property>
</Properties>
</file>