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C3F1" w14:textId="5D730D63" w:rsidR="00F633EE" w:rsidRPr="006B786C" w:rsidRDefault="00EC0C2C" w:rsidP="006B786C">
      <w:pPr>
        <w:pStyle w:val="Heading1"/>
      </w:pPr>
      <w:r>
        <w:t>Proposition d’un nouveau règlement sur les eaux destinées à la consommation humaine</w:t>
      </w:r>
      <w:r>
        <w:rPr>
          <w:i/>
        </w:rPr>
        <w:br/>
      </w:r>
    </w:p>
    <w:p w14:paraId="5D63C2D9" w14:textId="7892E798" w:rsidR="006B786C" w:rsidRPr="005A0FB3" w:rsidRDefault="00AF7952" w:rsidP="005A0FB3">
      <w:pPr>
        <w:pStyle w:val="Heading2"/>
        <w:numPr>
          <w:ilvl w:val="0"/>
          <w:numId w:val="15"/>
        </w:numPr>
        <w:tabs>
          <w:tab w:val="left" w:pos="426"/>
        </w:tabs>
        <w:ind w:left="0" w:firstLine="0"/>
        <w:rPr>
          <w:szCs w:val="22"/>
        </w:rPr>
      </w:pPr>
      <w:r>
        <w:t>Contexte et résumé</w:t>
      </w:r>
    </w:p>
    <w:p w14:paraId="53BE8935" w14:textId="615E17C7" w:rsidR="00C71A7C" w:rsidRDefault="00AF7952" w:rsidP="005A0FB3">
      <w:pPr>
        <w:rPr>
          <w:color w:val="000000" w:themeColor="text1"/>
        </w:rPr>
      </w:pPr>
      <w:r>
        <w:rPr>
          <w:color w:val="000000" w:themeColor="text1"/>
        </w:rPr>
        <w:t>La directive (UE) 2020/2184 du Parlement européen et du Conseil du 16 décembre 2020 relative à la qualité des eaux destinées à la consommation humaine (ci-après la «nouvelle directive sur l’eau potable») vise à protéger la santé humaine contre les effets néfastes de toute contamination des eaux destinées à la consommation humaine en veillant à ce qu’elle soit saine et propre et à améliorer l’accès à cette eau. La directive fixe les exigences minimales que les États membres doivent respecter et les États membres adoptent au plus tard le 12 janvier 2023 les dispositions législatives, réglementaires et administratives nécessaires pour se conformer à la nouvelle directive sur l’eau potable. La directive abroge la directive 98/83/CE du Conseil du 3 novembre 1998 relative à la qualité des eaux destinées à la consommation humaine (ci-après l’«ancienne directive sur l’eau potable») transposée en droit suédois par le règlement de l’Agence suédoise de l’alimentation (SLVFS 2001:30) sur les eaux destinées à la consommation humaine.</w:t>
      </w:r>
    </w:p>
    <w:p w14:paraId="71C31272" w14:textId="721F2DDB" w:rsidR="001930DD" w:rsidRDefault="001930DD" w:rsidP="005A0FB3">
      <w:pPr>
        <w:rPr>
          <w:color w:val="000000" w:themeColor="text1"/>
        </w:rPr>
      </w:pPr>
    </w:p>
    <w:p w14:paraId="312F13E9" w14:textId="20389C4F" w:rsidR="001930DD" w:rsidRPr="001930DD" w:rsidRDefault="001930DD" w:rsidP="005A0FB3">
      <w:r>
        <w:rPr>
          <w:color w:val="000000" w:themeColor="text1"/>
        </w:rPr>
        <w:t xml:space="preserve">Compte tenu de la nouvelle directive sur l’eau potable, il est proposé d’abroger le règlement de l’Agence suédoise de l’alimentation (SLVFS 2001:30) sur les eaux destinées à la consommation humaine et d’adopter un nouveau règlement sur ces eaux. Outre la nouvelle directive sur l’eau potable, </w:t>
      </w:r>
      <w:r>
        <w:t>la directive 2013/51/Euratom du Conseil du 22 octobre 2013 fixant des exigences pour la protection de la santé de la population en ce qui concerne les substances radioactives dans les eaux destinées à la consommation humaine (ci-après l’«E-DWD») doit être transposée en droit national au moyen du nouveau règlement. La date proposée pour l’entrée en vigueur du règlement est le 1er janvier 2023.</w:t>
      </w:r>
    </w:p>
    <w:p w14:paraId="1827CD76" w14:textId="5C26F4C7" w:rsidR="00EA1601" w:rsidRDefault="00EA1601" w:rsidP="005A0FB3">
      <w:pPr>
        <w:rPr>
          <w:color w:val="000000" w:themeColor="text1"/>
        </w:rPr>
      </w:pPr>
    </w:p>
    <w:p w14:paraId="5D896782" w14:textId="20CCF5E2" w:rsidR="00EA1601" w:rsidRDefault="00EA1601" w:rsidP="00F40096">
      <w:pPr>
        <w:rPr>
          <w:color w:val="000000" w:themeColor="text1"/>
        </w:rPr>
      </w:pPr>
      <w:r>
        <w:rPr>
          <w:color w:val="000000" w:themeColor="text1"/>
        </w:rPr>
        <w:t xml:space="preserve">Le principal changement apporté à la nouvelle directive sur l’eau potable est l’introduction d’une approche fondée sur les risques en matière de sécurité de l’eau potable. L’approche fondée sur les risques se compose de trois composantes; les bassins versants pour les points de prélèvement d’eau potable, le système d’approvisionnement et les systèmes de distribution domestiques. L’objectif de l’approche fondée sur les risques est, entre autres, d’être mieux à même de prévenir les risques et de veiller à ce que des mesures soient prises en premier lieu à la source des émissions. Le règlement de l’Agence </w:t>
      </w:r>
      <w:r>
        <w:rPr>
          <w:color w:val="000000" w:themeColor="text1"/>
        </w:rPr>
        <w:lastRenderedPageBreak/>
        <w:t>suédoise de l’alimentation sur les eaux destinées à la consommation humaine ne régit qu’une partie de la méthode fondée sur les risques, à savoir le système d’approvisionnement.</w:t>
      </w:r>
    </w:p>
    <w:p w14:paraId="00378C10" w14:textId="359C805C" w:rsidR="00F40096" w:rsidRDefault="00F40096" w:rsidP="00F40096">
      <w:pPr>
        <w:rPr>
          <w:color w:val="000000" w:themeColor="text1"/>
        </w:rPr>
      </w:pPr>
    </w:p>
    <w:p w14:paraId="4FF528E1" w14:textId="6021554E" w:rsidR="00F40096" w:rsidRDefault="00F40096" w:rsidP="00F40096">
      <w:pPr>
        <w:rPr>
          <w:color w:val="000000" w:themeColor="text1"/>
        </w:rPr>
      </w:pPr>
      <w:r>
        <w:rPr>
          <w:color w:val="000000" w:themeColor="text1"/>
        </w:rPr>
        <w:t>La nouvelle directive sur l’eau potable exige que les données sur certains résultats de surveillance et informations sur les incidents liés à l’eau potable soient communiquées à la Commission européenne. L’enquête 2020 sur l’eau potable (N 2020:05) a proposé dans le rapport «Accès sûr à une eau potable de bonne qualité», SOU 2021:81,</w:t>
      </w:r>
      <w:r>
        <w:t xml:space="preserve"> qu’il soit de la responsabilité de l’Agence suédoise de l’alimentation de réaliser les rapports à la Commission. </w:t>
      </w:r>
      <w:r>
        <w:rPr>
          <w:color w:val="000000" w:themeColor="text1"/>
        </w:rPr>
        <w:t>Cela signifie à son tour que les producteurs et les fournisseurs d’eau destinée à la consommation humaine seront tenus de communiquer les données pertinentes à l’Agence suédoise de l’alimentation pour qu’elles fassent rapport à la Commission européenne.</w:t>
      </w:r>
    </w:p>
    <w:p w14:paraId="5F04F2DE" w14:textId="187F30E3" w:rsidR="00F40096" w:rsidRDefault="00F40096" w:rsidP="00F40096">
      <w:pPr>
        <w:rPr>
          <w:color w:val="000000" w:themeColor="text1"/>
        </w:rPr>
      </w:pPr>
    </w:p>
    <w:p w14:paraId="628333ED" w14:textId="2C6C3205" w:rsidR="00F40096" w:rsidRDefault="00AF4A0D" w:rsidP="00F40096">
      <w:pPr>
        <w:rPr>
          <w:color w:val="000000" w:themeColor="text1"/>
        </w:rPr>
      </w:pPr>
      <w:r>
        <w:rPr>
          <w:color w:val="000000" w:themeColor="text1"/>
        </w:rPr>
        <w:t>En outre, certaines informations sur l’eau potable doivent être mises à la disposition du public de manière conviviale et appropriée. Le nouveau règlement obligera les producteurs et les fournisseurs d’eau destinée à la consommation humaine à informer le public, entre autres, de la qualité de l’eau potable.</w:t>
      </w:r>
    </w:p>
    <w:p w14:paraId="4827E1BF" w14:textId="66563E45" w:rsidR="009131BE" w:rsidRDefault="009131BE" w:rsidP="00F40096">
      <w:pPr>
        <w:rPr>
          <w:color w:val="000000" w:themeColor="text1"/>
        </w:rPr>
      </w:pPr>
    </w:p>
    <w:p w14:paraId="5F2B9CCD" w14:textId="1608D935" w:rsidR="009131BE" w:rsidRDefault="009131BE" w:rsidP="00F40096">
      <w:pPr>
        <w:rPr>
          <w:color w:val="000000" w:themeColor="text1"/>
        </w:rPr>
      </w:pPr>
      <w:r>
        <w:rPr>
          <w:color w:val="000000" w:themeColor="text1"/>
        </w:rPr>
        <w:t>La nouvelle directive sur l’eau potable ne couvre pas la préparation aux situations d’urgence, les réserves ou l’eau d’urgence. Ces questions n’ont pas été abordées dans SOU 2021:81 et ne sont pas couvertes par le nouveau règlement sur l’eau potable.</w:t>
      </w:r>
    </w:p>
    <w:p w14:paraId="0DFE54B6" w14:textId="5576336A" w:rsidR="00A50AD3" w:rsidRPr="005A0FB3" w:rsidRDefault="00A50AD3" w:rsidP="005A0FB3">
      <w:pPr>
        <w:tabs>
          <w:tab w:val="left" w:pos="426"/>
        </w:tabs>
      </w:pPr>
    </w:p>
    <w:p w14:paraId="5341FBBF" w14:textId="77777777" w:rsidR="00003551" w:rsidRPr="005A0FB3" w:rsidRDefault="00D03D91" w:rsidP="005A0FB3">
      <w:pPr>
        <w:pStyle w:val="Heading2"/>
        <w:numPr>
          <w:ilvl w:val="0"/>
          <w:numId w:val="15"/>
        </w:numPr>
        <w:tabs>
          <w:tab w:val="left" w:pos="426"/>
        </w:tabs>
        <w:ind w:left="0" w:firstLine="0"/>
        <w:rPr>
          <w:szCs w:val="22"/>
        </w:rPr>
      </w:pPr>
      <w:r>
        <w:t>Description du problème et solution proposée par l’Agence suédoise de l’alimentation</w:t>
      </w:r>
    </w:p>
    <w:p w14:paraId="0C13831C" w14:textId="5BE075A1" w:rsidR="00D37B6B" w:rsidRDefault="00D37B6B" w:rsidP="00D37B6B">
      <w:pPr>
        <w:tabs>
          <w:tab w:val="left" w:pos="426"/>
        </w:tabs>
      </w:pPr>
      <w:r>
        <w:t xml:space="preserve">En 2020, l’UE a adopté une nouvelle directive sur l’eau potable afin de contribuer à la durabilité de la qualité et de l’approvisionnement en eau potable dans l’UE. La nouvelle directive sur l’eau potable est transposée en droit national. Toutefois, l’Agence suédoise de l’alimentation n’est tenue de transposer que certaines parties de la nouvelle directive sur l’eau potable. Ainsi, en décidant d’un nouveau règlement, l’Agence suédoise de l’alimentation transpose les parties de la nouvelle directive sur l’eau potable qui sont pertinentes pour elle, tout en respectant les exigences de l’E-DWD. </w:t>
      </w:r>
    </w:p>
    <w:p w14:paraId="63998BEE" w14:textId="77777777" w:rsidR="00D37B6B" w:rsidRDefault="00D37B6B" w:rsidP="00D37B6B">
      <w:pPr>
        <w:tabs>
          <w:tab w:val="left" w:pos="426"/>
        </w:tabs>
      </w:pPr>
    </w:p>
    <w:p w14:paraId="4EC84D86" w14:textId="5A875E19" w:rsidR="000B4558" w:rsidRDefault="00D37B6B" w:rsidP="00D37B6B">
      <w:pPr>
        <w:tabs>
          <w:tab w:val="left" w:pos="426"/>
        </w:tabs>
      </w:pPr>
      <w:r>
        <w:t>L’enquête 2020 sur l’eau potable avait pour tâche de proposer la manière dont la nouvelle directive sur l’eau potable devrait être mise en œuvre et, dans son rapport, elle a notamment proposé que des autorités telles que le Conseil national suédois du logement et de la planification, l’Agence suédoise pour la gestion des eaux et du milieu marin, la commission géologique de Suède (SGU) et l’Agence suédoise de santé publique soient également autorisées à publier des règlementations dans le cadre des travaux de transposition de la directive en Suède. Le rapport de l’enquête est en cours d’élaboration dans les bureaux du gouvernement.</w:t>
      </w:r>
    </w:p>
    <w:p w14:paraId="1631C3DF" w14:textId="77777777" w:rsidR="00D37B6B" w:rsidRPr="005A0FB3" w:rsidRDefault="00D37B6B" w:rsidP="00D37B6B">
      <w:pPr>
        <w:tabs>
          <w:tab w:val="left" w:pos="426"/>
        </w:tabs>
      </w:pPr>
    </w:p>
    <w:p w14:paraId="7552F095" w14:textId="417B060F" w:rsidR="00B1414B" w:rsidRPr="005A0FB3" w:rsidRDefault="00E15ABA" w:rsidP="005A0FB3">
      <w:pPr>
        <w:pStyle w:val="Heading2"/>
        <w:numPr>
          <w:ilvl w:val="0"/>
          <w:numId w:val="15"/>
        </w:numPr>
        <w:tabs>
          <w:tab w:val="left" w:pos="426"/>
        </w:tabs>
        <w:ind w:left="0" w:firstLine="0"/>
        <w:rPr>
          <w:szCs w:val="22"/>
        </w:rPr>
      </w:pPr>
      <w:r>
        <w:lastRenderedPageBreak/>
        <w:t>Solutions alternatives pour atteindre les objectifs de l’Agence suédoise de l’alimentation</w:t>
      </w:r>
    </w:p>
    <w:p w14:paraId="2D143959" w14:textId="77777777" w:rsidR="004B77B0" w:rsidRDefault="004B77B0" w:rsidP="004B77B0">
      <w:r>
        <w:t>Une autre solution consisterait à proposer des modifications au règlement actuel de l’Agence suédoise de l’alimentation, SLVFS 2001:30. Cependant, étant donné que SLVFS 2001:30 a été révisé à plusieurs reprises et pour adopter une approche globale de la conception du règlement, l’Agence suédoise de l’alimentation a choisi de proposer l’adoption d’un nouveau règlement sur l’eau potable.</w:t>
      </w:r>
    </w:p>
    <w:p w14:paraId="7BE8E385" w14:textId="14AB5247" w:rsidR="004B77B0" w:rsidRDefault="004B77B0" w:rsidP="004B77B0"/>
    <w:p w14:paraId="24867982" w14:textId="1296533C" w:rsidR="00540962" w:rsidRPr="004A162C" w:rsidRDefault="00540962" w:rsidP="004B77B0">
      <w:r>
        <w:t>Certains paramètres du nouveau règlement sur l’eau potable ont reçu des valeurs limites nationales plus strictes que celles fixées dans la nouvelle directive sur l’eau potable. La solution alternative, c’est-à-dire l’utilisation des mêmes valeurs limites que la directive, a été jugée insuffisante pour protéger la santé humaine. Les paramètres auxquels il est fait référence, ainsi que leur évaluation, sont exposés ci-après.</w:t>
      </w:r>
    </w:p>
    <w:p w14:paraId="019D39BC" w14:textId="77777777" w:rsidR="00540962" w:rsidRPr="004A162C" w:rsidRDefault="00540962" w:rsidP="004B77B0"/>
    <w:p w14:paraId="0B802445" w14:textId="747F04A4" w:rsidR="00956BAD" w:rsidRPr="004A162C" w:rsidRDefault="00956BAD" w:rsidP="004B77B0">
      <w:r>
        <w:t xml:space="preserve">Le point d’échantillonnage pour </w:t>
      </w:r>
      <w:r>
        <w:rPr>
          <w:i/>
        </w:rPr>
        <w:t>eau sortante destinée à la consommation humaine</w:t>
      </w:r>
      <w:r>
        <w:t xml:space="preserve"> est réglementé à l’échelle nationale et une alternative serait de ne pas avoir ce point d’échantillonnage réglementé. Toutefois, selon l’agence suédoise de l’alimentation, le point d’échantillonnage des eaux sortantes destinées à la consommation humaine, qui est déjà réglementé au niveau national, est important pour garantir que l’eau destinée à la consommation humaine soit d’une certaine qualité lorsqu’elle quitte l’usine d’approvisionnement en eau.</w:t>
      </w:r>
    </w:p>
    <w:p w14:paraId="47E1FF2A" w14:textId="686A2E55" w:rsidR="009F76C6" w:rsidRPr="004A162C" w:rsidRDefault="009F76C6" w:rsidP="004B77B0"/>
    <w:p w14:paraId="4C805017" w14:textId="745C2127" w:rsidR="009F76C6" w:rsidRPr="004A162C" w:rsidRDefault="009F76C6" w:rsidP="004B77B0">
      <w:r>
        <w:t xml:space="preserve">Le point d’échantillonnage </w:t>
      </w:r>
      <w:r>
        <w:rPr>
          <w:i/>
        </w:rPr>
        <w:t>eau brute</w:t>
      </w:r>
      <w:r>
        <w:t xml:space="preserve"> est également réglementé à l’échelle nationale dans le nouveau règlement sur l’eau potable concernant les exigences minimales en matière de fréquence d’échantillonnage et les paramètres à surveiller. En vertu de la nouvelle directive sur l’eau potable, la qualité de l’eau brute est prise en considération lors de l’évaluation des risques du bassin versant. Toutefois, l’enquête sur l’eau potable et l’agence suédoise de l’alimentation estiment qu’une exigence plus ambitieuse doit être introduite au niveau national pour veiller à ce que l’eau brute fasse l’objet d’un contrôle régulier, principalement afin de garantir l’efficacité du traitement.  </w:t>
      </w:r>
    </w:p>
    <w:p w14:paraId="40D2C152" w14:textId="77777777" w:rsidR="00956BAD" w:rsidRDefault="00956BAD" w:rsidP="004B77B0"/>
    <w:p w14:paraId="31126686" w14:textId="617E5E28" w:rsidR="006A435D" w:rsidRDefault="004B77B0" w:rsidP="004B77B0">
      <w:r>
        <w:t>Il n’existe pas d’autres solutions alternatives.</w:t>
      </w:r>
    </w:p>
    <w:p w14:paraId="47EF1B5E" w14:textId="77777777" w:rsidR="004B77B0" w:rsidRPr="005A0FB3" w:rsidRDefault="004B77B0" w:rsidP="004B77B0"/>
    <w:p w14:paraId="7F960AD1" w14:textId="77777777" w:rsidR="00C361CD" w:rsidRPr="005A0FB3" w:rsidRDefault="00C361CD" w:rsidP="005A0FB3">
      <w:pPr>
        <w:pStyle w:val="Heading2"/>
        <w:numPr>
          <w:ilvl w:val="0"/>
          <w:numId w:val="15"/>
        </w:numPr>
        <w:tabs>
          <w:tab w:val="left" w:pos="426"/>
        </w:tabs>
        <w:ind w:left="0" w:firstLine="0"/>
        <w:rPr>
          <w:szCs w:val="22"/>
        </w:rPr>
      </w:pPr>
      <w:r>
        <w:t>Impact si aucun règlement n’entre en vigueur</w:t>
      </w:r>
    </w:p>
    <w:p w14:paraId="74905E4A" w14:textId="74B8F1E9" w:rsidR="00C361CD" w:rsidRDefault="001B2410" w:rsidP="005A0FB3">
      <w:pPr>
        <w:tabs>
          <w:tab w:val="left" w:pos="426"/>
        </w:tabs>
      </w:pPr>
      <w:r>
        <w:t>Le fait de ne pas aligner les dispositions nationales sur la nouvelle directive sur l’eau potable conduirait la Suède à ne pas tenir compte du droit de l’Union. L’introduction des modifications, et donc la transposition de la directive, est donc une obligation découlant de l’adhésion à l’UE.</w:t>
      </w:r>
    </w:p>
    <w:p w14:paraId="16785ED1" w14:textId="77777777" w:rsidR="001B2410" w:rsidRPr="005A0FB3" w:rsidRDefault="001B2410" w:rsidP="005A0FB3">
      <w:pPr>
        <w:tabs>
          <w:tab w:val="left" w:pos="426"/>
        </w:tabs>
      </w:pPr>
    </w:p>
    <w:p w14:paraId="617E34EB" w14:textId="77777777" w:rsidR="00C361CD" w:rsidRPr="005A0FB3" w:rsidRDefault="00A52E1A" w:rsidP="005A0FB3">
      <w:pPr>
        <w:pStyle w:val="Heading2"/>
        <w:numPr>
          <w:ilvl w:val="0"/>
          <w:numId w:val="15"/>
        </w:numPr>
        <w:tabs>
          <w:tab w:val="left" w:pos="426"/>
        </w:tabs>
        <w:ind w:left="0" w:firstLine="0"/>
        <w:rPr>
          <w:szCs w:val="22"/>
        </w:rPr>
      </w:pPr>
      <w:r>
        <w:lastRenderedPageBreak/>
        <w:t>Qui serait concerné par le règlement?</w:t>
      </w:r>
    </w:p>
    <w:p w14:paraId="22806ACF" w14:textId="7EC1363B" w:rsidR="00113684" w:rsidRDefault="00721EE7" w:rsidP="005A0FB3">
      <w:pPr>
        <w:tabs>
          <w:tab w:val="left" w:pos="426"/>
        </w:tabs>
      </w:pPr>
      <w:r>
        <w:t>Le règlement proposé concerne les exploitants, les autorités de contrôle et les laboratoires qui effectuent des analyses d’échantillons d’eau actuellement couverts par SLVFS 2001:30. Les exploitants sont à la fois des directeurs municipaux produisant et distribuant de l’eau potable ainsi que des associations et des entités communautaires plus importantes qui fournissent de l’eau potable dans leurs activités publiques ou commerciales. Les écoles, les hôtels et les restaurants sont des exemples d’activités publiques ou commerciales. Les autorités de contrôle sont principalement les conseils municipaux qui exécutent des tâches dans le domaine de la protection de l’environnement et de la santé, mais aussi l’organisation de contrôle de l’Agence suédoise de l’alimentation et l’inspection suédoise de la défense pour la santé et l’environnement.</w:t>
      </w:r>
    </w:p>
    <w:p w14:paraId="2465B059" w14:textId="77777777" w:rsidR="00721EE7" w:rsidRPr="005A0FB3" w:rsidRDefault="00721EE7" w:rsidP="005A0FB3">
      <w:pPr>
        <w:tabs>
          <w:tab w:val="left" w:pos="426"/>
        </w:tabs>
      </w:pPr>
    </w:p>
    <w:p w14:paraId="3CD5ADE1" w14:textId="2012A017" w:rsidR="00156A2F" w:rsidRPr="00566037" w:rsidRDefault="00A52E1A" w:rsidP="005A0FB3">
      <w:pPr>
        <w:pStyle w:val="Heading2"/>
        <w:numPr>
          <w:ilvl w:val="0"/>
          <w:numId w:val="15"/>
        </w:numPr>
        <w:tabs>
          <w:tab w:val="left" w:pos="426"/>
        </w:tabs>
        <w:ind w:left="0" w:firstLine="0"/>
        <w:rPr>
          <w:szCs w:val="22"/>
        </w:rPr>
      </w:pPr>
      <w:r>
        <w:t>Les autorisations sur lesquelles repose le pouvoir de décision de l’Agence suédoise de l’alimentation</w:t>
      </w:r>
    </w:p>
    <w:p w14:paraId="0AB25C7F" w14:textId="4316262A" w:rsidR="00156A2F" w:rsidRDefault="00156A2F" w:rsidP="005A0FB3">
      <w:pPr>
        <w:tabs>
          <w:tab w:val="left" w:pos="426"/>
        </w:tabs>
      </w:pPr>
      <w:r>
        <w:t xml:space="preserve">L’Agence suédoise de l’alimentation prévoit d’adopter le règlement en vertu des sections 5, 6, 30 et 31 de l’ordonnance suédoise sur les produits alimentaires (2006:813). Cependant, le rapport de l’enquête 2020 sur l’eau potable est en cours de préparation dans les bureaux du gouvernement. L’enquête a proposé des modifications à la fois à la loi suédoise sur les produits alimentaires (2006:804) et à l’ordonnance sur les produits alimentaires (2006:813).  </w:t>
      </w:r>
    </w:p>
    <w:p w14:paraId="43C2F366" w14:textId="5724ADC8" w:rsidR="00566037" w:rsidRDefault="00566037" w:rsidP="005A0FB3">
      <w:pPr>
        <w:tabs>
          <w:tab w:val="left" w:pos="426"/>
        </w:tabs>
      </w:pPr>
    </w:p>
    <w:p w14:paraId="352BA31B" w14:textId="3850863C" w:rsidR="00566037" w:rsidRDefault="00566037" w:rsidP="005A0FB3">
      <w:pPr>
        <w:tabs>
          <w:tab w:val="left" w:pos="426"/>
        </w:tabs>
      </w:pPr>
      <w:r>
        <w:t>L’enquête a proposé d’augmenter les autorisations pour l’Agence suédoise de l’alimentation en introduisant deux nouvelles sections dans l’ordonnance sur les produits alimentaires, les sections 6a et 34a. Dans la proposition de nouveau règlement sur l’eau potable, les sections 34 et 35 sont fondés sur la proposition de l’enquête relative à la section 6a, et la section 36 est basé sur la proposition de l’enquête relative à la section 34a de l’ordonnance sur les produits alimentaires.</w:t>
      </w:r>
    </w:p>
    <w:p w14:paraId="026E2B74" w14:textId="0F8B16A0" w:rsidR="004D511C" w:rsidRDefault="004D511C" w:rsidP="008415CB"/>
    <w:p w14:paraId="7D041E77" w14:textId="51750DA0" w:rsidR="004D511C" w:rsidRPr="005A0FB3" w:rsidRDefault="004D511C" w:rsidP="004D511C">
      <w:pPr>
        <w:pStyle w:val="Heading2"/>
        <w:numPr>
          <w:ilvl w:val="0"/>
          <w:numId w:val="15"/>
        </w:numPr>
        <w:tabs>
          <w:tab w:val="left" w:pos="426"/>
        </w:tabs>
        <w:ind w:left="0" w:firstLine="0"/>
        <w:rPr>
          <w:szCs w:val="22"/>
        </w:rPr>
      </w:pPr>
      <w:r>
        <w:t>Les propositions en bref</w:t>
      </w:r>
    </w:p>
    <w:p w14:paraId="7B2E87F9" w14:textId="0ABD4A77" w:rsidR="00973443" w:rsidRDefault="00973443" w:rsidP="005A0FB3">
      <w:pPr>
        <w:tabs>
          <w:tab w:val="left" w:pos="426"/>
        </w:tabs>
      </w:pPr>
    </w:p>
    <w:p w14:paraId="1ADE5C2C" w14:textId="5E868DA0" w:rsidR="00973443" w:rsidRPr="00973443" w:rsidRDefault="00973443" w:rsidP="00E867BA">
      <w:pPr>
        <w:pStyle w:val="Heading3"/>
      </w:pPr>
      <w:r>
        <w:t>Champ d’application</w:t>
      </w:r>
    </w:p>
    <w:p w14:paraId="21891DB8" w14:textId="3F23E4DA" w:rsidR="0087188D" w:rsidRDefault="004B7BEB" w:rsidP="00057F71">
      <w:pPr>
        <w:rPr>
          <w:i/>
        </w:rPr>
      </w:pPr>
      <w:r>
        <w:rPr>
          <w:i/>
        </w:rPr>
        <w:t>Sections 1 à 3</w:t>
      </w:r>
    </w:p>
    <w:p w14:paraId="121B7D4D" w14:textId="7335347C" w:rsidR="00165A54" w:rsidRDefault="00EC6016" w:rsidP="00057F71">
      <w:r>
        <w:t>Le nouveau règlement sur l’eau potable s’applique aux entités qui, en moyenne, produisent ou fournissent au moins 10 m</w:t>
      </w:r>
      <w:r>
        <w:rPr>
          <w:vertAlign w:val="superscript"/>
        </w:rPr>
        <w:t>3</w:t>
      </w:r>
      <w:r>
        <w:t xml:space="preserve"> d’eau destinée à la consommation humaine par jour ou fournissent au moins 50 personnes avec de l’eau destinée à la consommation humaine. Le fait que les installations inférieures à la limite de taille, c’est-à-dire les petites installations d’eau potable destinées à un usage privé, soient exemptées du règlement est un choix que les États membres peuvent choisir en vertu de la nouvelle directive sur l’eau potable et est conforme à la dérogation déjà en vigueur dans SLVFS 2001:30. Il n’y a aucune raison de changer cela, de sorte que ces installations devraient continuer à être exemptées. Pour les petites installations d’eau potable destinées à un </w:t>
      </w:r>
      <w:r>
        <w:lastRenderedPageBreak/>
        <w:t xml:space="preserve">usage privé, l’Agence suédoise de l’alimentation fournit des conseils sur la qualité de l’eau destinée à la consommation humaine. Toutefois, les installations produisant ou fournissant moins de 10 m³ d’eau destinée à la consommation humaine par jour ou fournissant moins de 50 personnes en eau destinée à la consommation humaine dans le cadre d’une activité publique ou commerciale (ci-après les APC) sont assujetties au règlement, mais à certaines exceptions. </w:t>
      </w:r>
    </w:p>
    <w:p w14:paraId="716502BF" w14:textId="768DA898" w:rsidR="008A3E75" w:rsidRDefault="008A3E75" w:rsidP="00057F71"/>
    <w:p w14:paraId="3389CA54" w14:textId="13898C0A" w:rsidR="008A3E75" w:rsidRDefault="008A3E75" w:rsidP="00057F71">
      <w:r>
        <w:t>L’eau minérale naturelle est exemptée de l’application du règlement sur l’eau potable et est plutôt couverte par le règlement de l’Agence suédoise de l’alimentation (LIVSFS 2003:45) sur l’eau minérale naturelle et l’eau de source.</w:t>
      </w:r>
    </w:p>
    <w:p w14:paraId="25D3B75B" w14:textId="1F5C9EB7" w:rsidR="00165A54" w:rsidRPr="008A3E75" w:rsidRDefault="00165A54" w:rsidP="00057F71">
      <w:pPr>
        <w:rPr>
          <w:i/>
        </w:rPr>
      </w:pPr>
    </w:p>
    <w:p w14:paraId="7DC5CEC3" w14:textId="32595710" w:rsidR="00321F40" w:rsidRPr="006C3B0A" w:rsidRDefault="00321F40" w:rsidP="00057F71">
      <w:pPr>
        <w:rPr>
          <w:i/>
        </w:rPr>
      </w:pPr>
      <w:r>
        <w:rPr>
          <w:i/>
        </w:rPr>
        <w:t>Section 4</w:t>
      </w:r>
    </w:p>
    <w:p w14:paraId="3CBEDB42" w14:textId="19E00BAF" w:rsidR="00445B08" w:rsidRDefault="00D91BC5" w:rsidP="00057F71">
      <w:r>
        <w:t xml:space="preserve">Les opérateurs transportant des passagers par bateau et produisant des eaux destinées à la consommation humaine au moyen du dessalement ne sont pas soumis à toutes les dispositions. </w:t>
      </w:r>
    </w:p>
    <w:p w14:paraId="6AF4149B" w14:textId="7773DC58" w:rsidR="00973443" w:rsidRPr="00057F71" w:rsidRDefault="00057F71" w:rsidP="00057F71">
      <w:r>
        <w:t xml:space="preserve">   </w:t>
      </w:r>
    </w:p>
    <w:p w14:paraId="26CEE140" w14:textId="10467AD6" w:rsidR="000B6333" w:rsidRDefault="00145F89" w:rsidP="000B6333">
      <w:pPr>
        <w:pStyle w:val="Heading3"/>
      </w:pPr>
      <w:r>
        <w:t>Termes et définitions</w:t>
      </w:r>
    </w:p>
    <w:p w14:paraId="6BEA21EB" w14:textId="476D7722" w:rsidR="00A6395A" w:rsidRPr="006C3B0A" w:rsidRDefault="005E20B7" w:rsidP="00A6395A">
      <w:pPr>
        <w:rPr>
          <w:i/>
        </w:rPr>
      </w:pPr>
      <w:r>
        <w:rPr>
          <w:i/>
        </w:rPr>
        <w:t>Section 5</w:t>
      </w:r>
    </w:p>
    <w:p w14:paraId="6B4B46FC" w14:textId="77777777" w:rsidR="009A7A57" w:rsidRDefault="00057F71" w:rsidP="00057F71">
      <w:r>
        <w:t xml:space="preserve">Le projet de règlement contient un certain nombre de définitions importantes pour l’application du règlement. La plupart de ces définitions sont tirées de l’article 2 de la nouvelle directive sur l’eau potable. Les définitions </w:t>
      </w:r>
      <w:proofErr w:type="gramStart"/>
      <w:r>
        <w:t xml:space="preserve">de </w:t>
      </w:r>
      <w:r>
        <w:rPr>
          <w:i/>
        </w:rPr>
        <w:t>installation</w:t>
      </w:r>
      <w:proofErr w:type="gramEnd"/>
      <w:r>
        <w:rPr>
          <w:i/>
        </w:rPr>
        <w:t xml:space="preserve"> d’approvisionnement en eau</w:t>
      </w:r>
      <w:r>
        <w:t xml:space="preserve"> et </w:t>
      </w:r>
      <w:r>
        <w:rPr>
          <w:i/>
        </w:rPr>
        <w:t>installation de distribution</w:t>
      </w:r>
      <w:r>
        <w:t xml:space="preserve"> sont nationales et ont été introduites pour délimiter clairement la responsabilité entre la production et la distribution d’eau destinée à la consommation humaine. Une définition de l’</w:t>
      </w:r>
      <w:r>
        <w:rPr>
          <w:i/>
        </w:rPr>
        <w:t>eau brute</w:t>
      </w:r>
      <w:r>
        <w:t xml:space="preserve"> est également introduite, car le règlement contient des exigences pour la surveillance de l’eau brute. </w:t>
      </w:r>
      <w:r>
        <w:rPr>
          <w:i/>
        </w:rPr>
        <w:t>Milieu filtrant</w:t>
      </w:r>
      <w:r>
        <w:t xml:space="preserve"> a été défini en fonction de la façon dont il est décrit dans SOU 2021:81. La raison en est que le terme en soi n’est pas assez clair pour être facilement compris. Par exemple, l’enquête 2020 sur l’eau potable considère qu’un filtre sur membrane n’est pas un milieu filtrant, mais plutôt un matériau en contact avec l’eau destinée à la consommation humaine, alors que beaucoup d’autres supposeraient probablement qu’il s’agit précisément d’un milieu filtrant. La définition considère que les médias filtrants sont, par exemple, des filtres à sable ou à charbon. D’autres orientations sur ce qui doit être considéré comme un milieu filtrant seront disponibles sur le site </w:t>
      </w:r>
      <w:proofErr w:type="spellStart"/>
      <w:r>
        <w:t>Kontrollwiki</w:t>
      </w:r>
      <w:proofErr w:type="spellEnd"/>
      <w:r>
        <w:t xml:space="preserve"> de l’Agence suédoise de l’alimentation, avec des orientations et des informations approfondies. </w:t>
      </w:r>
    </w:p>
    <w:p w14:paraId="2431E302" w14:textId="469C6C43" w:rsidR="009A7A57" w:rsidRPr="004157D7" w:rsidRDefault="009A7A57" w:rsidP="00057F71"/>
    <w:p w14:paraId="034F7D33" w14:textId="458DF3E8" w:rsidR="00973443" w:rsidRPr="004157D7" w:rsidRDefault="009A7A57" w:rsidP="00057F71">
      <w:r>
        <w:t xml:space="preserve">La définition des termes </w:t>
      </w:r>
      <w:r>
        <w:rPr>
          <w:i/>
        </w:rPr>
        <w:t xml:space="preserve">danger </w:t>
      </w:r>
      <w:r>
        <w:t xml:space="preserve">et </w:t>
      </w:r>
      <w:r>
        <w:rPr>
          <w:i/>
        </w:rPr>
        <w:t>risque</w:t>
      </w:r>
      <w:r>
        <w:t xml:space="preserve"> est fondée sur leur définition dans le règlement (CE) no 178/2002 du Parlement européen et du Conseil établissant les principes généraux et les prescriptions générales de la législation alimentaire, instituant l’Autorité européenne de sécurité des aliments et fixant des procédures relatives à la sécurité alimentaire. La signification ne devrait pas différer de celle énoncée dans la nouvelle directive sur l’eau potable et la raison pour laquelle les définitions sont élaborées sur la base du libellé du règlement (CE) no 178/2002 est qu’il existe un lien clair avec la </w:t>
      </w:r>
      <w:r>
        <w:lastRenderedPageBreak/>
        <w:t>législation en matière d’hygiène dans le domaine des denrées alimentaires par le biais des dispositions relatives aux procédures fondées sur les HACCP.</w:t>
      </w:r>
    </w:p>
    <w:p w14:paraId="3DE24EF6" w14:textId="56E6A62A" w:rsidR="000B7234" w:rsidRDefault="000B7234" w:rsidP="00057F71"/>
    <w:p w14:paraId="6981836E" w14:textId="6B62EE53" w:rsidR="000B7234" w:rsidRDefault="000B7234" w:rsidP="00057F71">
      <w:r>
        <w:t>La nouvelle directive sur l’eau potable contient une définition légèrement modifiée de l’</w:t>
      </w:r>
      <w:r>
        <w:rPr>
          <w:i/>
        </w:rPr>
        <w:t>eau destinée à la consommation humaine</w:t>
      </w:r>
      <w:r>
        <w:t xml:space="preserve"> par rapport à l’ancienne directive sur l’eau potable. La nouvelle directive sur l’eau potable indique clairement que l’eau de source est également couverte par le terme «eau destinée à la consommation humaine». Pour cette raison, les dispositions du règlement sur l’eau potable applicables aux eaux destinées à la consommation humaine mises dans des bouteilles ou des récipients s’appliqueront également à l’eau de source. En particulier, les eaux de source doivent satisfaire aux exigences de qualité énoncées à l’annexe 1 (à l’exclusion de certains paramètres pour les micro-organismes) et qu’une proposition de programme de suivi des paramètres des substances radioactives comportant des exigences minimales en matière de fréquence d’échantillonnage doit être documentée. </w:t>
      </w:r>
    </w:p>
    <w:p w14:paraId="68607FCB" w14:textId="77777777" w:rsidR="0069185A" w:rsidRDefault="0069185A" w:rsidP="00057F71"/>
    <w:p w14:paraId="576BAD34" w14:textId="228F3F1E" w:rsidR="00973443" w:rsidRDefault="00973443" w:rsidP="00E867BA">
      <w:pPr>
        <w:pStyle w:val="Heading3"/>
      </w:pPr>
      <w:r>
        <w:t>Exigences qualitatives</w:t>
      </w:r>
    </w:p>
    <w:p w14:paraId="1DE6EF2B" w14:textId="6B496025" w:rsidR="005B485E" w:rsidRPr="004B7BEB" w:rsidRDefault="005E20B7" w:rsidP="00A6395A">
      <w:pPr>
        <w:rPr>
          <w:i/>
        </w:rPr>
      </w:pPr>
      <w:r>
        <w:rPr>
          <w:i/>
        </w:rPr>
        <w:t xml:space="preserve">Sections 6 et 7 </w:t>
      </w:r>
    </w:p>
    <w:p w14:paraId="2BC761D8" w14:textId="2EADB430" w:rsidR="000138EF" w:rsidRPr="00303075" w:rsidRDefault="00405AFF" w:rsidP="005A0FB3">
      <w:pPr>
        <w:tabs>
          <w:tab w:val="left" w:pos="426"/>
        </w:tabs>
      </w:pPr>
      <w:r>
        <w:t>Les dispositions précisent quand les eaux destinées à la consommation humaine sont considérées comme saines et propres et à quel moment l’évaluation doit être effectuée. Le règlement comporte, outre un ajout concernant l’eau de source, aucun changement par rapport à SLVFS 2001:30.</w:t>
      </w:r>
    </w:p>
    <w:p w14:paraId="18225291" w14:textId="5280BD21" w:rsidR="00286EC6" w:rsidRDefault="00286EC6" w:rsidP="005A0FB3">
      <w:pPr>
        <w:tabs>
          <w:tab w:val="left" w:pos="426"/>
        </w:tabs>
      </w:pPr>
    </w:p>
    <w:p w14:paraId="2C4D66FF" w14:textId="2CEA111F" w:rsidR="00973443" w:rsidRDefault="00973443" w:rsidP="00E867BA">
      <w:pPr>
        <w:pStyle w:val="Heading3"/>
      </w:pPr>
      <w:r>
        <w:t>Règles générales d’hygiène, analyse des dangers et points critiques de contrôle</w:t>
      </w:r>
    </w:p>
    <w:p w14:paraId="74003DAB" w14:textId="0FC4FB81" w:rsidR="005B485E" w:rsidRPr="004B7BEB" w:rsidRDefault="005E20B7" w:rsidP="00A6395A">
      <w:pPr>
        <w:rPr>
          <w:i/>
        </w:rPr>
      </w:pPr>
      <w:r>
        <w:rPr>
          <w:i/>
        </w:rPr>
        <w:t>Section 8</w:t>
      </w:r>
    </w:p>
    <w:p w14:paraId="14465BB9" w14:textId="585C0023" w:rsidR="008B3B53" w:rsidRDefault="008B3B53" w:rsidP="005A0FB3">
      <w:pPr>
        <w:tabs>
          <w:tab w:val="left" w:pos="426"/>
        </w:tabs>
      </w:pPr>
      <w:r>
        <w:t xml:space="preserve">Les règles générales d’hygiène sont énoncées dans SLVFS 2001:30 et sont intégralement transférées au nouveau règlement. Toutefois, un ajout a été apporté en introduisant l’annexe II, chapitre VII, point 2, du règlement (CE) no 852/2004 du Parlement européen et du Conseil relatif à l’hygiène des denrées alimentaires. L’ajout signifie que si de l’eau autre que l’eau destinée à la consommation humaine est utilisée, par exemple, à des fins de lutte contre l’incendie, de refroidissement ou à d’autres fins, cette eau doit être manipulée dans un système de canalisation séparé et clairement étiqueté. L’objectif est d’éviter que cette eau ne soit confondue ou contaminante avec l’eau destinée à la consommation humaine. </w:t>
      </w:r>
    </w:p>
    <w:p w14:paraId="5188AC55" w14:textId="6F49EA9D" w:rsidR="008B3B53" w:rsidRDefault="008B3B53" w:rsidP="005A0FB3">
      <w:pPr>
        <w:tabs>
          <w:tab w:val="left" w:pos="426"/>
        </w:tabs>
      </w:pPr>
    </w:p>
    <w:p w14:paraId="01BA808D" w14:textId="669965E0" w:rsidR="00DD5DBF" w:rsidRPr="00D878C8" w:rsidRDefault="00DD5DBF" w:rsidP="005A0FB3">
      <w:pPr>
        <w:tabs>
          <w:tab w:val="left" w:pos="426"/>
        </w:tabs>
        <w:rPr>
          <w:i/>
        </w:rPr>
      </w:pPr>
      <w:r>
        <w:rPr>
          <w:i/>
        </w:rPr>
        <w:t>Section 9</w:t>
      </w:r>
    </w:p>
    <w:p w14:paraId="07D8688B" w14:textId="2B55F112" w:rsidR="00DD5DBF" w:rsidRDefault="00DD5DBF" w:rsidP="00DD5DBF">
      <w:pPr>
        <w:tabs>
          <w:tab w:val="left" w:pos="426"/>
        </w:tabs>
      </w:pPr>
      <w:r>
        <w:t xml:space="preserve">Dans SLVFS 2001:30, il est explicitement exigé que des alarmes soient fournies pour une turbidité accrue ainsi que des équipements qui avertissent en cas d’erreurs lors de l’ajustement du pH et de la désinfection. Toutefois, cela peut généralement être considéré comme faisant partie de la mise en œuvre des principes HACCP, où, par exemple, la désinfection devrait être considérée comme un point de contrôle critique et donc soumise à des exigences d’alarme. La même évaluation est faite en ce qui concerne les exigences relatives à l’efficacité de la désinfection dans SLVFS 2001:30. Il fait partie de l’analyse </w:t>
      </w:r>
      <w:r>
        <w:lastRenderedPageBreak/>
        <w:t xml:space="preserve">des dangers de l’activité et n’a pas besoin d’être explicitement mentionné dans le règlement. L’Agence suédoise de l’alimentation apportera des éclaircissements à ce sujet au moyen d’orientations. D’autre part, les APC ne sont pas soumis à l’obligation de procéder à une analyse des dangers et, si nécessaire, d’établir des procédures fondées sur les normes HACCP. Les alarmes sont un facteur important pour contrôler que l’eau destinée à la consommation humaine qui quitte l’usine d’approvisionnement en eau est sûre et, par conséquent, une disposition spéciale est introduite dans le nouveau règlement sur l’eau potable pour préciser que ces petites activités doivent comporter des alarmes ou des équipements qui avertissent d’une erreur lors de certaines opérations de traitement. </w:t>
      </w:r>
    </w:p>
    <w:p w14:paraId="7269790E" w14:textId="54C9DDAA" w:rsidR="00702D8F" w:rsidRDefault="00702D8F" w:rsidP="00DD5DBF">
      <w:pPr>
        <w:tabs>
          <w:tab w:val="left" w:pos="426"/>
        </w:tabs>
      </w:pPr>
    </w:p>
    <w:p w14:paraId="5F499387" w14:textId="74BE535F" w:rsidR="00702D8F" w:rsidRPr="00D878C8" w:rsidRDefault="00702D8F" w:rsidP="00DD5DBF">
      <w:pPr>
        <w:tabs>
          <w:tab w:val="left" w:pos="426"/>
        </w:tabs>
        <w:rPr>
          <w:i/>
        </w:rPr>
      </w:pPr>
      <w:r>
        <w:rPr>
          <w:i/>
        </w:rPr>
        <w:t>Section 10</w:t>
      </w:r>
    </w:p>
    <w:p w14:paraId="44915028" w14:textId="48B6F9CF" w:rsidR="00702D8F" w:rsidRDefault="00D17F3A" w:rsidP="00DD5DBF">
      <w:pPr>
        <w:tabs>
          <w:tab w:val="left" w:pos="426"/>
        </w:tabs>
      </w:pPr>
      <w:r>
        <w:t xml:space="preserve">Le producteur ou le fournisseur d’eau destinée à la consommation humaine documente une description du système d’alimentation depuis le point de captage jusqu’au point de raccordement. Cela est considéré comme une étape préparatoire à la réalisation de l’analyse des dangers et fait partie des mesures préparatoires conformément aux principes HACCP. </w:t>
      </w:r>
    </w:p>
    <w:p w14:paraId="343DB249" w14:textId="77777777" w:rsidR="00DD5DBF" w:rsidRDefault="00DD5DBF" w:rsidP="005A0FB3">
      <w:pPr>
        <w:tabs>
          <w:tab w:val="left" w:pos="426"/>
        </w:tabs>
      </w:pPr>
    </w:p>
    <w:p w14:paraId="631D3E28" w14:textId="1EABC538" w:rsidR="00823C07" w:rsidRPr="00D878C8" w:rsidRDefault="00DD5DBF" w:rsidP="005A0FB3">
      <w:pPr>
        <w:tabs>
          <w:tab w:val="left" w:pos="426"/>
        </w:tabs>
        <w:rPr>
          <w:i/>
        </w:rPr>
      </w:pPr>
      <w:r>
        <w:rPr>
          <w:i/>
        </w:rPr>
        <w:t>Sections 11 et 12</w:t>
      </w:r>
    </w:p>
    <w:p w14:paraId="10984C34" w14:textId="1C4B2F6D" w:rsidR="00D9412D" w:rsidRDefault="00507FD6" w:rsidP="005A0FB3">
      <w:pPr>
        <w:tabs>
          <w:tab w:val="left" w:pos="426"/>
        </w:tabs>
      </w:pPr>
      <w:r>
        <w:t xml:space="preserve">L’enquête 2020 sur l’eau potable estime que les exigences existantes pour l’évaluation des risques du système d’approvisionnement conformément à l’article 9 de la nouvelle directive sur l’eau potable peuvent être largement assimilées au système d’analyse des dangers et aux principes HACCP déjà appliqués aujourd’hui par les producteurs et les fournisseurs d’eau destinée à la consommation humaine. L’Agence suédoise de l’alimentation est d’accord avec ce raisonnement et la nouvelle proposition est donc fondée sur ce raisonnement. Seules des modifications mineures ont été apportées par rapport à SLVFS 2001:30 en ce qui concerne les exigences établies pour la réalisation d’une analyse des dangers. Il est notamment tenu compte de l’évaluation des risques du bassin versant visé à l’article 8 de la nouvelle directive sur l’eau potable. </w:t>
      </w:r>
    </w:p>
    <w:p w14:paraId="57778101" w14:textId="2690D3CB" w:rsidR="00D9412D" w:rsidRDefault="00D9412D" w:rsidP="005A0FB3">
      <w:pPr>
        <w:tabs>
          <w:tab w:val="left" w:pos="426"/>
        </w:tabs>
      </w:pPr>
    </w:p>
    <w:p w14:paraId="4AEFC0C0" w14:textId="5FD9492A" w:rsidR="001B0163" w:rsidRDefault="00D9412D" w:rsidP="00D9412D">
      <w:pPr>
        <w:tabs>
          <w:tab w:val="left" w:pos="426"/>
        </w:tabs>
      </w:pPr>
      <w:r>
        <w:t xml:space="preserve">Si l’analyse des dangers identifie des dangers qui doivent être gérés, des procédures HACCP permanentes doivent être établies. Par exemple, de nombreux grands producteurs d’eau destinée à la consommation humaine utilisent l’outil d’analyse des barrières microbiologiques (MBA), ou analyse quantitative des risques microbiologiques (QMRA), pour calculer la hauteur de la barrière (le type de purification et la portée) pour les dangers microbiologiques, ce qui est souvent nécessaire. Toutefois, il n’est pas nécessaire de contrôler plus en détail la manière dont les installations doivent gérer leurs dangers, étant donné qu’il existe une flexibilité intégrée dans le système HACCP, étant donné que les procédures doivent être adaptées aux conditions uniques des installations. D’autres orientations sur l’analyse des dangers et HACCP seront fournies dans </w:t>
      </w:r>
      <w:proofErr w:type="spellStart"/>
      <w:r>
        <w:t>Kontrollwiki</w:t>
      </w:r>
      <w:proofErr w:type="spellEnd"/>
      <w:r>
        <w:t xml:space="preserve">. </w:t>
      </w:r>
    </w:p>
    <w:p w14:paraId="31F81B45" w14:textId="77777777" w:rsidR="001B0163" w:rsidRDefault="001B0163" w:rsidP="00D9412D">
      <w:pPr>
        <w:tabs>
          <w:tab w:val="left" w:pos="426"/>
        </w:tabs>
      </w:pPr>
    </w:p>
    <w:p w14:paraId="0844932F" w14:textId="0C9C5030" w:rsidR="00D9412D" w:rsidRDefault="00D44B1B" w:rsidP="00D9412D">
      <w:pPr>
        <w:tabs>
          <w:tab w:val="left" w:pos="426"/>
        </w:tabs>
      </w:pPr>
      <w:r>
        <w:t xml:space="preserve">Selon le même raisonnement, en ce qui concerne la flexibilité du système HACCP, certaines autres étapes de traitement devraient également être exemptes de réglementation détaillée. Cela s’applique en particulier aux exigences relatives aux alarmes à certaines </w:t>
      </w:r>
      <w:r>
        <w:lastRenderedPageBreak/>
        <w:t xml:space="preserve">étapes de traitement, qui font partie de HACCP. Par exemple, la désinfection doit être considérée comme un point de contrôle critique dans l’usine d’approvisionnement en eau et, par conséquent, des alarmes doivent être fournies même si cela n’est pas explicitement indiqué dans la disposition relative à l’analyse des dangers et aux procédures fondées sur le système HACCP. Il en va de même pour l’évaluation de l’efficacité de la désinfection, qui a été réglementée dans SLVFS 2001:30. Cela devrait également être considéré comme une partie importante du travail avec l’analyse des dangers et HACCP et, par conséquent, ne nécessite aucune disposition spécifique. L’article 9, paragraphe 2, point c), de la nouvelle directive sur l’eau potable précise que les risques liés au changement climatique, aux fuites et aux fuites de tuyaux doivent être pris en considération dans l’analyse des dangers. L’évaluation de l’Agence suédoise de l’alimentation est que cette question est également couverte par la proposition sans être explicitement mentionnée. Le raisonnement sera clarifié dans les orientations futures dans </w:t>
      </w:r>
      <w:proofErr w:type="spellStart"/>
      <w:r>
        <w:t>Kontrollwiki</w:t>
      </w:r>
      <w:proofErr w:type="spellEnd"/>
      <w:r>
        <w:t>.</w:t>
      </w:r>
    </w:p>
    <w:p w14:paraId="49CF1C2F" w14:textId="77777777" w:rsidR="00D9412D" w:rsidRDefault="00D9412D" w:rsidP="00D9412D">
      <w:pPr>
        <w:tabs>
          <w:tab w:val="left" w:pos="426"/>
        </w:tabs>
      </w:pPr>
    </w:p>
    <w:p w14:paraId="29791410" w14:textId="088E72D9" w:rsidR="00D9412D" w:rsidRDefault="00D9412D" w:rsidP="00D9412D">
      <w:pPr>
        <w:tabs>
          <w:tab w:val="left" w:pos="426"/>
        </w:tabs>
      </w:pPr>
      <w:r>
        <w:t>L’analyse des dangers tient compte de l’évaluation des risques du bassin versant à effectuer par les autorités chargées de l’eau</w:t>
      </w:r>
      <w:r w:rsidR="007C3FEA">
        <w:rPr>
          <w:rStyle w:val="FootnoteReference"/>
        </w:rPr>
        <w:footnoteReference w:id="1"/>
      </w:r>
      <w:r>
        <w:t xml:space="preserve">. Conformément à la nouvelle directive sur l’eau potable, cette évaluation des risques doit être réalisée au plus tard le 12 juillet 2027. Étant donné qu’il n’est actuellement pas prévisible que l’évaluation des risques ait été effectuée pour la première fois auparavant, les dispositions prévoient que les résultats de l’évaluation des risques et la gestion des risques du bassin versant pour les points de captage sont pris en considération une fois cette évaluation effectuée. </w:t>
      </w:r>
    </w:p>
    <w:p w14:paraId="25036D40" w14:textId="77777777" w:rsidR="00D9412D" w:rsidRDefault="00D9412D" w:rsidP="00D9412D">
      <w:pPr>
        <w:tabs>
          <w:tab w:val="left" w:pos="426"/>
        </w:tabs>
      </w:pPr>
    </w:p>
    <w:p w14:paraId="1D19D762" w14:textId="044BBE41" w:rsidR="00D9412D" w:rsidRPr="00D6549C" w:rsidRDefault="00D9412D" w:rsidP="005A0FB3">
      <w:pPr>
        <w:tabs>
          <w:tab w:val="left" w:pos="426"/>
        </w:tabs>
        <w:rPr>
          <w:color w:val="FF0000"/>
        </w:rPr>
      </w:pPr>
      <w:r>
        <w:t>Conformément à l’article 7, paragraphe 5, de la nouvelle directive sur l’eau potable, l’évaluation des risques du système d’approvisionnement (analyse des risques) doit être effectuée pour la première fois au plus tard le 12 janvier 2029. L’analyse des dangers est une partie importante et établie des travaux de prévention de l’eau salubre destinée à la consommation humaine. Étant donné que l’obligation de procéder à une analyse des dangers existe depuis longtemps dans le règlement sur l’eau potable de l’Agence suédoise de l’alimentation, aucune période transitoire ne sera introduite dans la législation nationale. Toutefois, une nouveauté est que le producteur d’eau destinée à la consommation humaine doit tenir compte des résultats de l’évaluation des risques et de la gestion des risques des bassins versants pour les points de captage, si une telle évaluation a été effectuée. Toutefois, ce n’est pas le type de circonstances qui donne lieu à une période transitoire en ce qui concerne l’analyse des dangers.</w:t>
      </w:r>
    </w:p>
    <w:p w14:paraId="4BAD9BE1" w14:textId="14C63914" w:rsidR="00241F38" w:rsidRDefault="00241F38" w:rsidP="005A0FB3">
      <w:pPr>
        <w:tabs>
          <w:tab w:val="left" w:pos="426"/>
        </w:tabs>
      </w:pPr>
    </w:p>
    <w:p w14:paraId="379B63FF" w14:textId="2E26C423" w:rsidR="00D9412D" w:rsidRPr="00F6105F" w:rsidRDefault="00D9412D" w:rsidP="005A0FB3">
      <w:pPr>
        <w:tabs>
          <w:tab w:val="left" w:pos="426"/>
        </w:tabs>
        <w:rPr>
          <w:i/>
        </w:rPr>
      </w:pPr>
      <w:r>
        <w:rPr>
          <w:i/>
        </w:rPr>
        <w:t>Sections 13 et 14</w:t>
      </w:r>
    </w:p>
    <w:p w14:paraId="4A8C492E" w14:textId="6F31B63C" w:rsidR="00A348B2" w:rsidRDefault="00D9412D" w:rsidP="005A0FB3">
      <w:pPr>
        <w:tabs>
          <w:tab w:val="left" w:pos="426"/>
        </w:tabs>
      </w:pPr>
      <w:r>
        <w:t xml:space="preserve">L’analyse des dangers et les procédures fondées sur les normes HACCP doivent être documentées. La documentation est conservée pendant une période appropriée, mais pas moins de six ans. Étant donné qu’une analyse des dangers est adoptée pour une période </w:t>
      </w:r>
      <w:r>
        <w:lastRenderedPageBreak/>
        <w:t>maximale de six ans, l’exigence relative à la documentation servant de base à l’analyse des dangers devrait rester au moins pendant la durée de l’analyse des dangers. Cette documentation pourrait être utile lors de toute révision. Toutefois, certains documents, tels que les instructions d’entretien, peuvent devoir être conservés aussi longtemps que l’équipement est en service, de sorte que la proposition est formulée comme «au moins six ans». Le libellé est souple, lorsqu’il convient de trouver un équilibre pour garantir que la charge administrative pesant sur l’individu n’est pas excessive, alors qu’il peut être nécessaire de conserver certains documents, mais difficile de l’identifier en tant que tel à l’avance.</w:t>
      </w:r>
    </w:p>
    <w:p w14:paraId="02A870E5" w14:textId="729355D4" w:rsidR="004E4C9F" w:rsidRDefault="004E4C9F" w:rsidP="005A0FB3">
      <w:pPr>
        <w:tabs>
          <w:tab w:val="left" w:pos="426"/>
        </w:tabs>
      </w:pPr>
    </w:p>
    <w:p w14:paraId="5D40613C" w14:textId="68A007CC" w:rsidR="00BD5E87" w:rsidRPr="00F6105F" w:rsidRDefault="00D9412D" w:rsidP="005A0FB3">
      <w:pPr>
        <w:tabs>
          <w:tab w:val="left" w:pos="426"/>
        </w:tabs>
        <w:rPr>
          <w:i/>
        </w:rPr>
      </w:pPr>
      <w:r>
        <w:rPr>
          <w:i/>
        </w:rPr>
        <w:t>Section 15</w:t>
      </w:r>
    </w:p>
    <w:p w14:paraId="07BC507B" w14:textId="0DCA1645" w:rsidR="00EF61D3" w:rsidRDefault="00E45A16" w:rsidP="005A0FB3">
      <w:pPr>
        <w:tabs>
          <w:tab w:val="left" w:pos="426"/>
        </w:tabs>
      </w:pPr>
      <w:r>
        <w:t xml:space="preserve">L’autorité de contrôle adopte l’analyse des dangers. La décision est valable pour une durée maximale de six ans, ce qui signifie que l’autorité de contrôle devra alors prendre une nouvelle décision. </w:t>
      </w:r>
    </w:p>
    <w:p w14:paraId="7B4F54FC" w14:textId="77777777" w:rsidR="00EF61D3" w:rsidRPr="00D70FC0" w:rsidRDefault="00EF61D3" w:rsidP="005A0FB3">
      <w:pPr>
        <w:tabs>
          <w:tab w:val="left" w:pos="426"/>
        </w:tabs>
      </w:pPr>
    </w:p>
    <w:p w14:paraId="592CA9E2" w14:textId="1F556F69" w:rsidR="00216E69" w:rsidRPr="00D70FC0" w:rsidRDefault="00EF61D3" w:rsidP="005A0FB3">
      <w:pPr>
        <w:tabs>
          <w:tab w:val="left" w:pos="426"/>
        </w:tabs>
      </w:pPr>
      <w:r>
        <w:t>Que l’autorité de contrôle adopte l’analyse des dangers est une exigence du SLVFS 2001:30. Cette exigence a été introduite dans le règlement en 2017 en raison d’une modification de l’ancienne directive sur l’eau potable. Dans la nouvelle directive sur l’eau potable, l’exigence d’adoption par l’autorité de contrôle n’est pas aussi clairement exprimée. L’Agence suédoise de l’alimentation choisit de maintenir l’obligation d’adoption jusqu’à nouvel ordre, de permettre un éventuel examen de la question à un stade ultérieur et, ensuite, d’évaluer si un changement est nécessaire et comment il devrait être formulé dans un tel cas.</w:t>
      </w:r>
    </w:p>
    <w:p w14:paraId="5595E854" w14:textId="7FB731A4" w:rsidR="00973443" w:rsidRPr="00D70FC0" w:rsidRDefault="00973443" w:rsidP="005A0FB3">
      <w:pPr>
        <w:tabs>
          <w:tab w:val="left" w:pos="426"/>
        </w:tabs>
      </w:pPr>
    </w:p>
    <w:p w14:paraId="017CAA58" w14:textId="026B3B77" w:rsidR="00973443" w:rsidRDefault="00973443" w:rsidP="00E867BA">
      <w:pPr>
        <w:pStyle w:val="Heading3"/>
      </w:pPr>
      <w:r>
        <w:t>Produits chimiques de traitement et médias filtrants</w:t>
      </w:r>
    </w:p>
    <w:p w14:paraId="66D4F814" w14:textId="54EE625D" w:rsidR="00A6395A" w:rsidRPr="00D878C8" w:rsidRDefault="00A6395A" w:rsidP="00A6395A">
      <w:pPr>
        <w:rPr>
          <w:i/>
        </w:rPr>
      </w:pPr>
      <w:r>
        <w:rPr>
          <w:i/>
        </w:rPr>
        <w:t>Section 16</w:t>
      </w:r>
    </w:p>
    <w:p w14:paraId="4059DE06" w14:textId="61F9E656" w:rsidR="007F61E2" w:rsidRDefault="00FA26D9" w:rsidP="007F61E2">
      <w:r>
        <w:t>Le producteur d’eau destinée à la consommation humaine veille à ce que les produits chimiques de traitement et les médias filtrants qui entrent en contact avec les eaux destinées à la consommation humaine ne compromettent pas directement ou indirectement la protection de la santé humaine, n’altèrent pas la couleur, l’odeur ou le goût de l’eau, ne favorisent pas par inadvertance la croissance microbienne et ne polluent pas l’eau plus que nécessaire aux fins prévues.</w:t>
      </w:r>
    </w:p>
    <w:p w14:paraId="4B06689A" w14:textId="37285AAD" w:rsidR="00FA26D9" w:rsidRDefault="00FA26D9" w:rsidP="007F61E2"/>
    <w:p w14:paraId="222B729F" w14:textId="65684172" w:rsidR="00FA26D9" w:rsidRDefault="00FA26D9" w:rsidP="007F61E2">
      <w:r>
        <w:t>L’annexe 2 du règlement contient une liste des produits chimiques de traitement qui peuvent être utilisés dans le traitement de l’eau destinée à la consommation humaine. La liste contient également les buts et conditions d’utilisation.</w:t>
      </w:r>
    </w:p>
    <w:p w14:paraId="6BA3A161" w14:textId="5855BE3B" w:rsidR="00FA26D9" w:rsidRDefault="00FA26D9" w:rsidP="007F61E2"/>
    <w:p w14:paraId="7DF9E96A" w14:textId="0A412C9A" w:rsidR="003E5459" w:rsidRDefault="00FA26D9" w:rsidP="007F61E2">
      <w:r>
        <w:t xml:space="preserve">En ce qui concerne l’utilisation des médias filtrants, la proposition prévoit qu’il incombe au producteur d’eau destinée à la consommation humaine de veiller à ce que les critères susmentionnés soient respectés. L’Agence suédoise de l’alimentation considère que la même procédure que pour les produits chimiques de traitement, avec une liste de médias filtrants pouvant être utilisés, ne peut pas être mise en œuvre dans la pratique. Les médias </w:t>
      </w:r>
      <w:r>
        <w:lastRenderedPageBreak/>
        <w:t>filtrants sont constitués de matériaux finement dispersés, tels que le sable, et il peut être difficile de spécifier dans une liste quel sable peut être utilisé. Au lieu de cela, des orientations seront élaborées et l’Agence suédoise de l’alimentation recommande que des normes appropriées soient utilisées, lorsqu’elles sont disponibles pour l’utilisation du milieu filtrant respectif. Toute contamination dérivée du milieu filtrant est un danger qui peut être identifié lors de l’analyse des dangers, après quoi des procédures basées sur HACCP peuvent être établies et le programme de suivi peut être conçu pour surveiller le danger. Cela garantit que les médias filtrants répondent aux critères énoncés dans la nouvelle directive sur l’eau potable.</w:t>
      </w:r>
    </w:p>
    <w:p w14:paraId="6CD03387" w14:textId="242E7BEA" w:rsidR="00973443" w:rsidRDefault="00973443" w:rsidP="00E867BA">
      <w:pPr>
        <w:pStyle w:val="Heading3"/>
      </w:pPr>
    </w:p>
    <w:p w14:paraId="4E2D47EC" w14:textId="77777777" w:rsidR="00A6395A" w:rsidRDefault="00973443" w:rsidP="00E867BA">
      <w:pPr>
        <w:pStyle w:val="Heading3"/>
      </w:pPr>
      <w:r>
        <w:t>Programme de suivi</w:t>
      </w:r>
    </w:p>
    <w:p w14:paraId="5654F5BF" w14:textId="46655723" w:rsidR="00973443" w:rsidRPr="00D878C8" w:rsidRDefault="00A6395A" w:rsidP="00D878C8">
      <w:pPr>
        <w:rPr>
          <w:i/>
        </w:rPr>
      </w:pPr>
      <w:r>
        <w:rPr>
          <w:i/>
        </w:rPr>
        <w:t>Sections 17 à 22</w:t>
      </w:r>
    </w:p>
    <w:p w14:paraId="0AD1B90D" w14:textId="5AB70D09" w:rsidR="00973443" w:rsidRPr="00C1138D" w:rsidRDefault="00E219F9" w:rsidP="00E219F9">
      <w:pPr>
        <w:rPr>
          <w:noProof/>
        </w:rPr>
      </w:pPr>
      <w:r>
        <w:t xml:space="preserve">Les producteurs et les fournisseurs d’eau destinée à la consommation humaine, ainsi que ceux qui mettent de l’eau destinée à la consommation humaine dans des bouteilles ou des conteneurs, documentent les propositions de programmes de suivi conformément aux paramètres, points de prélèvement et fréquences indiqués dans les annexes. Pour les producteurs d’eau destinée à la consommation humaine, la surveillance de l’eau brute et le contrôle opérationnel de la turbidité à l’usine d’approvisionnement en eau sont également effectués et inclus dans le programmes de suivi. Les producteurs et les fournisseurs d’eau destinée à la consommation humaine surveillent également la concentration en potassium et calculent la dureté de l’eau au moins tous les trois ans afin de pouvoir fournir ces informations aux consommateurs. Ce dernier ne s’applique pas aux APC ni aux navires. </w:t>
      </w:r>
    </w:p>
    <w:p w14:paraId="09C170F3" w14:textId="5567213A" w:rsidR="00E219F9" w:rsidRPr="00C1138D" w:rsidRDefault="00E219F9" w:rsidP="00E219F9">
      <w:pPr>
        <w:rPr>
          <w:noProof/>
        </w:rPr>
      </w:pPr>
    </w:p>
    <w:p w14:paraId="70728270" w14:textId="7D331362" w:rsidR="00E219F9" w:rsidRPr="00C1138D" w:rsidRDefault="00E219F9" w:rsidP="00E219F9">
      <w:pPr>
        <w:rPr>
          <w:noProof/>
        </w:rPr>
      </w:pPr>
      <w:r>
        <w:t>Lors de la documentation du programmes de suivi, les résultats de l’analyse des dangers sont pris en considération et, si l’une des conditions énoncées à l’annexe 3, section C, est remplie, le nombre de paramètres ou la fréquence de surveillance est augmenté. Les conditions de réduction du nombre de paramètres ou de la fréquence de surveillance sont également précisées dans l’annexe. Pour les exploitants qui ne sont pas soumis à des exigences en matière d’analyse des dangers, les paramètres énoncés à l’annexe 1 sont surveillés selon les fréquences spécifiées à la section B de l’annexe 3, mais il est possible de réduire le nombre de paramètres pour les substances radioactives également pour les opérateurs qui ne sont pas soumis aux exigences en matière d’analyse des dangers.</w:t>
      </w:r>
    </w:p>
    <w:p w14:paraId="1825B306" w14:textId="478B0041" w:rsidR="00E219F9" w:rsidRPr="00C1138D" w:rsidRDefault="00E219F9" w:rsidP="00E219F9">
      <w:pPr>
        <w:rPr>
          <w:noProof/>
        </w:rPr>
      </w:pPr>
    </w:p>
    <w:p w14:paraId="00F6BB61" w14:textId="1E7054AE" w:rsidR="00E219F9" w:rsidRPr="00C1138D" w:rsidRDefault="00F6505F" w:rsidP="00E219F9">
      <w:pPr>
        <w:rPr>
          <w:noProof/>
        </w:rPr>
      </w:pPr>
      <w:r>
        <w:t>Le programme de suivi est réexaminé en permanence, au moins tous les six ans, et mis à jour si nécessaire. L’autorité de contrôle adopte le programme de suivi. La décision est valable pour une durée maximale de six ans, ce qui signifie que l’autorité de contrôle devra, après cela, prendre une nouvelle décision.</w:t>
      </w:r>
    </w:p>
    <w:p w14:paraId="3A95A89D" w14:textId="56D693F3" w:rsidR="00E219F9" w:rsidRDefault="00E219F9" w:rsidP="00E219F9">
      <w:r>
        <w:rPr>
          <w:color w:val="FF0000"/>
        </w:rPr>
        <w:t xml:space="preserve"> </w:t>
      </w:r>
    </w:p>
    <w:p w14:paraId="7418AC8F" w14:textId="22CDEC0C" w:rsidR="00973443" w:rsidRDefault="00973443" w:rsidP="004A64C1">
      <w:pPr>
        <w:pStyle w:val="Heading3"/>
      </w:pPr>
      <w:r>
        <w:lastRenderedPageBreak/>
        <w:t>Surveillance</w:t>
      </w:r>
    </w:p>
    <w:p w14:paraId="51BDD704" w14:textId="7455C0B6" w:rsidR="00D878C8" w:rsidRDefault="005A653E" w:rsidP="004A64C1">
      <w:pPr>
        <w:keepNext/>
        <w:keepLines/>
        <w:rPr>
          <w:i/>
        </w:rPr>
      </w:pPr>
      <w:r>
        <w:rPr>
          <w:i/>
        </w:rPr>
        <w:t xml:space="preserve">Sections 23 à 25 </w:t>
      </w:r>
    </w:p>
    <w:p w14:paraId="6C62C7F4" w14:textId="6187772D" w:rsidR="00C42C1B" w:rsidRDefault="00C42C1B" w:rsidP="00C42C1B">
      <w:r>
        <w:t>La réglementation relative à l’eau potable régit la responsabilité du producteur et du fournisseur d’effectuer le suivi adopté dans le programme de suivi. Les substances et micro-organismes, autres que ceux spécifiés dans le programme de suivi, font également l’objet d’une surveillance s’il y a lieu de soupçonner qu’ils sont présents à des niveaux susceptibles de présenter un risque pour la santé humaine. Il prévoit également que les échantillons de plomb, de cuivre et de nickel doivent être prélevés sans rinçage préalable et pour une période de la journée choisie au hasard et que les échantillons destinés à l’analyse microbiologique doivent être prélevés conformément à une norme ISO désignée.</w:t>
      </w:r>
    </w:p>
    <w:p w14:paraId="1B9685F3" w14:textId="77777777" w:rsidR="00F6416F" w:rsidRDefault="00F6416F" w:rsidP="00C42C1B"/>
    <w:p w14:paraId="0FDA9306" w14:textId="3F2B3EC7" w:rsidR="00F6416F" w:rsidRPr="00F6105F" w:rsidRDefault="00F6416F" w:rsidP="00C42C1B">
      <w:pPr>
        <w:rPr>
          <w:i/>
        </w:rPr>
      </w:pPr>
      <w:r>
        <w:rPr>
          <w:i/>
        </w:rPr>
        <w:t>Section 26</w:t>
      </w:r>
    </w:p>
    <w:p w14:paraId="4FE4CB56" w14:textId="5EBF1FC6" w:rsidR="00C42C1B" w:rsidRDefault="00C42C1B" w:rsidP="00C42C1B">
      <w:r>
        <w:t xml:space="preserve">Les analyses des eaux destinées à la consommation humaine sont effectuées dans un laboratoire accrédité pour ces méthodes d’analyse. L’annexe 4 présente les exigences à respecter pour les analyses. L’Agence suédoise de l’alimentation peut compléter les méthodes d’analyse microbiologique de l’annexe 4 après avoir évalué que la nouvelle méthode fournit des résultats au moins aussi fiables. Des orientations sur l’évaluation des méthodes alternatives seront élaborées dans </w:t>
      </w:r>
      <w:proofErr w:type="spellStart"/>
      <w:r>
        <w:t>Kontrollwiki</w:t>
      </w:r>
      <w:proofErr w:type="spellEnd"/>
      <w:r>
        <w:t>.</w:t>
      </w:r>
    </w:p>
    <w:p w14:paraId="79F1E30D" w14:textId="411E89AF" w:rsidR="00EF6043" w:rsidRDefault="00EF6043" w:rsidP="00C42C1B"/>
    <w:p w14:paraId="4B94C90D" w14:textId="7438B10E" w:rsidR="00F6416F" w:rsidRPr="00F6105F" w:rsidRDefault="00F6416F" w:rsidP="00C42C1B">
      <w:pPr>
        <w:rPr>
          <w:i/>
        </w:rPr>
      </w:pPr>
      <w:r>
        <w:rPr>
          <w:i/>
        </w:rPr>
        <w:t>Section 27</w:t>
      </w:r>
    </w:p>
    <w:p w14:paraId="5E6172AF" w14:textId="026E7665" w:rsidR="00EF6043" w:rsidRDefault="00EF6043" w:rsidP="00C42C1B">
      <w:r>
        <w:t>L’exploitation produisant de l’eau destinée à la consommation humaine ou la fournissant à partir d’une installation de distribution ou d’un réservoir et l’exploitant qui met l’eau destinée à la consommation humaine dans des bouteilles ou des conteneurs veille à ce que le laboratoire l’informe immédiatement si un échantillon d’eau potable n’est pas évalué ou qu’il est peu susceptible de l’être, afin de respecter les valeurs limites. Cela signifie que le laboratoire doit fournir des informations sur les dépassements, que le dépassement d’une valeur limite pour un paramètre signifie que l’eau destinée à la consommation humaine n’est pas potable ou non. Il appartient alors à l’exploitant de déterminer si boire l’eau présente un risque pour la santé humaine.</w:t>
      </w:r>
    </w:p>
    <w:p w14:paraId="5708D8F1" w14:textId="2A0E3691" w:rsidR="00F6416F" w:rsidRPr="00C17282" w:rsidRDefault="00F6416F" w:rsidP="00C42C1B"/>
    <w:p w14:paraId="7E501271" w14:textId="5836E659" w:rsidR="00F6416F" w:rsidRPr="00C17282" w:rsidRDefault="00C17282" w:rsidP="00C42C1B">
      <w:pPr>
        <w:rPr>
          <w:i/>
        </w:rPr>
      </w:pPr>
      <w:r>
        <w:rPr>
          <w:i/>
        </w:rPr>
        <w:t>Section 28</w:t>
      </w:r>
    </w:p>
    <w:p w14:paraId="543D9376" w14:textId="5FFB8484" w:rsidR="00F6416F" w:rsidRDefault="00F6416F" w:rsidP="00C42C1B">
      <w:r>
        <w:t>Lors des contrôles officiels, l’autorité de contrôle utilise la même méthode d’échantillonnage et d’analyse que l’exploitant. De même, les méthodes d’analyse d’un laboratoire sous contrat doivent être accréditées conformément à la section 26.</w:t>
      </w:r>
    </w:p>
    <w:p w14:paraId="395C0F2B" w14:textId="69D537B6" w:rsidR="00E82EDB" w:rsidRDefault="00E82EDB" w:rsidP="00C42C1B"/>
    <w:p w14:paraId="71EA8248" w14:textId="77777777" w:rsidR="00484659" w:rsidRPr="00C17282" w:rsidRDefault="00484659" w:rsidP="00484659">
      <w:r>
        <w:t xml:space="preserve">Le sens de cette disposition est le même que prévu précédemment aux sections 17a et 18a du règlement de l’Agence suédoise de l’alimentation (LIVSFS 2005:21) relatif aux contrôles officiels des produits alimentaires. L’intention est de déplacer les dispositions du nouveau règlement sur l’eau potable. </w:t>
      </w:r>
    </w:p>
    <w:p w14:paraId="080FBE78" w14:textId="77777777" w:rsidR="00C42C1B" w:rsidRPr="00C17282" w:rsidRDefault="00C42C1B" w:rsidP="00C42C1B"/>
    <w:p w14:paraId="6C24551A" w14:textId="0414FE7B" w:rsidR="00973443" w:rsidRDefault="00973443" w:rsidP="00E867BA">
      <w:pPr>
        <w:pStyle w:val="Heading3"/>
      </w:pPr>
      <w:r>
        <w:lastRenderedPageBreak/>
        <w:t>Enquêtes et mesures</w:t>
      </w:r>
    </w:p>
    <w:p w14:paraId="34574D82" w14:textId="736631AD" w:rsidR="00D878C8" w:rsidRPr="00D878C8" w:rsidRDefault="00174404" w:rsidP="00174404">
      <w:pPr>
        <w:rPr>
          <w:i/>
        </w:rPr>
      </w:pPr>
      <w:r>
        <w:rPr>
          <w:i/>
        </w:rPr>
        <w:t xml:space="preserve">Sections 29 à 31 </w:t>
      </w:r>
    </w:p>
    <w:p w14:paraId="56B546F9" w14:textId="4FD6DD53" w:rsidR="00973443" w:rsidRPr="00C1138D" w:rsidRDefault="00A2500B" w:rsidP="00C42C1B">
      <w:r>
        <w:t>En cas d’écart par rapport aux exigences de qualité énoncées à l’annexe 1, l’exploitant qui produit de l’eau destinée à la consommation humaine ou qui la fournit à partir d’une installation de distribution ou d’un réservoir examine immédiatement la cause de la non-conformité et évalue si la non-conformité présente un risque pour la santé humaine. Les mesures nécessaires sont également prises pour remédier à l’écart. Lors de l’évaluation des mesures à prendre, il est tenu compte, entre autres, de l’ampleur de l’écart et du risque pour la santé humaine. Cela s’applique même s’il y a des substances dans l’eau destinées à la consommation humaine qui ne sont pas incluses dans l’annexe 1, mais qui peuvent néanmoins présenter un risque pour la santé. Lorsque des mesures immédiates sont prises pour protéger la santé humaine, l’autorité de contrôle est informée.</w:t>
      </w:r>
    </w:p>
    <w:p w14:paraId="69F71883" w14:textId="58588ADA" w:rsidR="00A2500B" w:rsidRDefault="00A2500B" w:rsidP="00C42C1B"/>
    <w:p w14:paraId="57D3A4A3" w14:textId="2495F2DF" w:rsidR="00165069" w:rsidRPr="00F6105F" w:rsidRDefault="00165069" w:rsidP="00C42C1B">
      <w:pPr>
        <w:rPr>
          <w:i/>
        </w:rPr>
      </w:pPr>
      <w:r>
        <w:rPr>
          <w:i/>
        </w:rPr>
        <w:t>Section 32</w:t>
      </w:r>
    </w:p>
    <w:p w14:paraId="67029CE8" w14:textId="57ECE1C5" w:rsidR="00A2500B" w:rsidRDefault="00A2500B" w:rsidP="00C42C1B">
      <w:r>
        <w:t>Lorsque l’écart par rapport aux exigences de qualité énoncées à l’annexe 1 ou lorsque le risque pour la santé humaine associé à l’eau destinée à la consommation humaine a été causé par un réseau de distribution national ou son entretien, le producteur ou fournisseur d’eau destinée à la consommation humaine informe le propriétaire du bien de la nécessité de prendre des mesures.</w:t>
      </w:r>
    </w:p>
    <w:p w14:paraId="09717165" w14:textId="2132899A" w:rsidR="00241F38" w:rsidRDefault="00241F38" w:rsidP="00C42C1B"/>
    <w:p w14:paraId="4400351B" w14:textId="14A1A363" w:rsidR="00973443" w:rsidRDefault="00B6551A" w:rsidP="00E867BA">
      <w:pPr>
        <w:pStyle w:val="Heading3"/>
      </w:pPr>
      <w:r>
        <w:t>Informations</w:t>
      </w:r>
    </w:p>
    <w:p w14:paraId="4C55A07D" w14:textId="5CE370F6" w:rsidR="00174404" w:rsidRPr="00174404" w:rsidRDefault="00DF26A2" w:rsidP="00174404">
      <w:r>
        <w:rPr>
          <w:i/>
        </w:rPr>
        <w:t xml:space="preserve">Section 33 </w:t>
      </w:r>
    </w:p>
    <w:p w14:paraId="5DE165FA" w14:textId="0C10FF3E" w:rsidR="000479B0" w:rsidRDefault="00E63BCF" w:rsidP="000479B0">
      <w:pPr>
        <w:tabs>
          <w:tab w:val="left" w:pos="426"/>
        </w:tabs>
      </w:pPr>
      <w:r>
        <w:t xml:space="preserve">Les informations sur la limitation de l’utilisation des eaux destinées à la consommation humaine sont fournies immédiatement aux consommateurs, par exemple si les eaux destinées à la consommation humaine doivent être bouillies. Le producteur ou fournisseur d’eau destinée à la consommation humaine veille également à ce que les consommateurs soient informés lorsque le service revient à la normale. Les consommateurs sont également informés des mesures prises pour remédier aux écarts par rapport aux exigences de qualité. Par exemple, il pourrait s’agir d’un nouveau traitement devant être installé dans l’usine d’approvisionnement en eau afin de réduire les concentrations d’un certain paramètre.  </w:t>
      </w:r>
    </w:p>
    <w:p w14:paraId="1C5FAFC3" w14:textId="33A280D7" w:rsidR="00D61D88" w:rsidRDefault="00D61D88" w:rsidP="00FA1B54">
      <w:pPr>
        <w:tabs>
          <w:tab w:val="left" w:pos="426"/>
        </w:tabs>
      </w:pPr>
    </w:p>
    <w:p w14:paraId="2AAEE716" w14:textId="6AEAFFCF" w:rsidR="00E63BCF" w:rsidRPr="00EA73E3" w:rsidRDefault="00DF26A2" w:rsidP="00FA1B54">
      <w:pPr>
        <w:tabs>
          <w:tab w:val="left" w:pos="426"/>
        </w:tabs>
        <w:rPr>
          <w:i/>
        </w:rPr>
      </w:pPr>
      <w:r>
        <w:rPr>
          <w:i/>
        </w:rPr>
        <w:t>Section 34</w:t>
      </w:r>
    </w:p>
    <w:p w14:paraId="66369D51" w14:textId="605684AD" w:rsidR="00FA1B54" w:rsidRDefault="00E63BCF" w:rsidP="005A0FB3">
      <w:pPr>
        <w:tabs>
          <w:tab w:val="left" w:pos="426"/>
        </w:tabs>
      </w:pPr>
      <w:r>
        <w:t>De nouvelles règles sont introduites selon lesquelles le producteur et le fournisseur d’eau destinée à la consommation humaine mettent certaines informations à la disposition du consommateur d’une manière conviviale et appropriée sur internet. L’information est présentée à la section A de l’annexe 5.</w:t>
      </w:r>
    </w:p>
    <w:p w14:paraId="7A1A8261" w14:textId="226AE477" w:rsidR="00FA1B54" w:rsidRDefault="00FA1B54" w:rsidP="005A0FB3">
      <w:pPr>
        <w:tabs>
          <w:tab w:val="left" w:pos="426"/>
        </w:tabs>
        <w:rPr>
          <w:i/>
        </w:rPr>
      </w:pPr>
    </w:p>
    <w:p w14:paraId="79CB5F8D" w14:textId="5463F96C" w:rsidR="00E63BCF" w:rsidRPr="00E63BCF" w:rsidRDefault="00DF26A2" w:rsidP="008E741A">
      <w:pPr>
        <w:keepNext/>
        <w:tabs>
          <w:tab w:val="left" w:pos="426"/>
        </w:tabs>
        <w:rPr>
          <w:i/>
        </w:rPr>
      </w:pPr>
      <w:r>
        <w:rPr>
          <w:i/>
        </w:rPr>
        <w:t>Section 35</w:t>
      </w:r>
    </w:p>
    <w:p w14:paraId="22CC9FB4" w14:textId="3505F6B8" w:rsidR="00FA1B54" w:rsidRDefault="00E63BCF" w:rsidP="005A0FB3">
      <w:pPr>
        <w:tabs>
          <w:tab w:val="left" w:pos="426"/>
        </w:tabs>
      </w:pPr>
      <w:r>
        <w:t xml:space="preserve">Certaines informations doivent également être fournies par d’autres moyens au consommateur, par exemple sur les factures. Cette exigence ne s’applique qu’aux exploitants qui fournissent des eaux destinées à la consommation humaine à des </w:t>
      </w:r>
      <w:r>
        <w:lastRenderedPageBreak/>
        <w:t xml:space="preserve">résidences permanentes ou secondaires. Les informations à fournir sont précisées à la section B de l’annexe 5. </w:t>
      </w:r>
    </w:p>
    <w:p w14:paraId="5228C8D8" w14:textId="758A2235" w:rsidR="0050095F" w:rsidRDefault="0050095F" w:rsidP="005A0FB3">
      <w:pPr>
        <w:tabs>
          <w:tab w:val="left" w:pos="426"/>
        </w:tabs>
      </w:pPr>
    </w:p>
    <w:p w14:paraId="4F4F422A" w14:textId="1A259064" w:rsidR="005A653E" w:rsidRPr="005A653E" w:rsidRDefault="00DF26A2" w:rsidP="005A0FB3">
      <w:pPr>
        <w:tabs>
          <w:tab w:val="left" w:pos="426"/>
        </w:tabs>
        <w:rPr>
          <w:i/>
        </w:rPr>
      </w:pPr>
      <w:r>
        <w:rPr>
          <w:i/>
        </w:rPr>
        <w:t>Section 36</w:t>
      </w:r>
    </w:p>
    <w:p w14:paraId="103A970D" w14:textId="18DF20FE" w:rsidR="00D04B8D" w:rsidRDefault="00233EC6" w:rsidP="00D04B8D">
      <w:pPr>
        <w:tabs>
          <w:tab w:val="left" w:pos="426"/>
        </w:tabs>
      </w:pPr>
      <w:r>
        <w:t>La Suède est tenue de communiquer certaines données à la Commission en vertu de l’article 18, paragraphe 1, points c) et d), de la nouvelle directive sur l’eau potable. Afin de s’acquitter de cette obligation, des données doivent être collectées auprès des opérateurs et, pour cette raison, une obligation de déclaration à l’Agence suédoise de l’alimentation est introduite. Cette exigence s’adresse aux producteurs ou aux fournisseurs d’eau destinée à la consommation humaine, à l’exception des APC. Le rapport comprend des informations sur les résultats analytiques des programmes de surveillance, des informations sur les incidents lorsque la qualité de l’eau potable s’est détériorée et est considérée comme présentant un risque pour la santé humaine, ainsi que des informations sur les mesures prises lorsqu’un paramètre dépasse les valeurs limites fixées dans ce règlement. Certaines informations, telles que les informations classifiées et les informations susceptibles de nuire aux relations internationales, sont exemptées de l’obligation de déclaration.</w:t>
      </w:r>
    </w:p>
    <w:p w14:paraId="59B02A0F" w14:textId="6F48E210" w:rsidR="0090082F" w:rsidRDefault="0090082F" w:rsidP="005A0FB3">
      <w:pPr>
        <w:tabs>
          <w:tab w:val="left" w:pos="426"/>
        </w:tabs>
      </w:pPr>
    </w:p>
    <w:p w14:paraId="3802AE22" w14:textId="15AAE9F4" w:rsidR="009D75C6" w:rsidRDefault="009D75C6" w:rsidP="009D75C6">
      <w:pPr>
        <w:pStyle w:val="Heading3"/>
      </w:pPr>
      <w:r>
        <w:t>Dérogations</w:t>
      </w:r>
    </w:p>
    <w:p w14:paraId="13E45806" w14:textId="184343EF" w:rsidR="003B6EA5" w:rsidRPr="00D52EB8" w:rsidRDefault="00174404" w:rsidP="00D52EB8">
      <w:pPr>
        <w:rPr>
          <w:i/>
        </w:rPr>
      </w:pPr>
      <w:r>
        <w:rPr>
          <w:i/>
        </w:rPr>
        <w:t>Section 37</w:t>
      </w:r>
    </w:p>
    <w:p w14:paraId="206340AB" w14:textId="1960D8A6" w:rsidR="003B6EA5" w:rsidRDefault="00FF6B2E" w:rsidP="003B6EA5">
      <w:pPr>
        <w:tabs>
          <w:tab w:val="left" w:pos="426"/>
        </w:tabs>
      </w:pPr>
      <w:r>
        <w:t>En vertu de l’article 9, paragraphe 6, de la nouvelle directive sur l’eau potable, l’État membre a la possibilité d’introduire, sous certaines conditions, une dérogation nationale de l’obligation d’évaluation et de gestion des risques du système d’approvisionnement (analyse des dangers) pour les opérateurs fournissant en moyenne entre 10 m</w:t>
      </w:r>
      <w:r>
        <w:rPr>
          <w:vertAlign w:val="superscript"/>
        </w:rPr>
        <w:t>3</w:t>
      </w:r>
      <w:r>
        <w:t xml:space="preserve"> et 100 m</w:t>
      </w:r>
      <w:r>
        <w:rPr>
          <w:vertAlign w:val="superscript"/>
        </w:rPr>
        <w:t>3</w:t>
      </w:r>
      <w:r>
        <w:t xml:space="preserve"> d’eau destinée à la consommation humaine par jour ou fournissant entre 50 et 500 personnes en eau destinée à la consommation humaine. Pour une telle dérogation, l’autorité de contrôle doit considérer qu’elle ne met pas en péril la qualité des eaux destinées à la consommation humaine. Si une dérogation a été accordée, il n’est pas possible d’apporter des ajustements au programme de suivi conformément à la section 20.</w:t>
      </w:r>
    </w:p>
    <w:p w14:paraId="3F44882F" w14:textId="6DFEC1D1" w:rsidR="00DE6143" w:rsidRDefault="00DE6143" w:rsidP="003B6EA5">
      <w:pPr>
        <w:tabs>
          <w:tab w:val="left" w:pos="426"/>
        </w:tabs>
      </w:pPr>
    </w:p>
    <w:p w14:paraId="615E5367" w14:textId="61DD3971" w:rsidR="004F5152" w:rsidRPr="00D52EB8" w:rsidRDefault="004F5152" w:rsidP="003B6EA5">
      <w:pPr>
        <w:tabs>
          <w:tab w:val="left" w:pos="426"/>
        </w:tabs>
        <w:rPr>
          <w:i/>
        </w:rPr>
      </w:pPr>
      <w:r>
        <w:rPr>
          <w:i/>
        </w:rPr>
        <w:t>Section 38</w:t>
      </w:r>
    </w:p>
    <w:p w14:paraId="453334E0" w14:textId="7E756C70" w:rsidR="00DE6143" w:rsidRDefault="00DE6143" w:rsidP="00DE6143">
      <w:pPr>
        <w:tabs>
          <w:tab w:val="left" w:pos="426"/>
        </w:tabs>
      </w:pPr>
      <w:r>
        <w:t xml:space="preserve">L’autorité de contrôle peut décider, dans des cas individuels, d’exempter un exploitant du secteur alimentaire des exigences du règlement sur l’eau potable si la qualité de l’eau destinée à la consommation humaine n’affecte pas la sécurité de l’aliment fini. Lorsque l’eau entre en contact direct avec les aliments ou est utilisée comme ingrédient dans les aliments, le point de départ devrait être que l’eau destinée à la consommation humaine, répondant aux exigences de qualité du règlement sur l’eau potable, devrait être utilisée. En l’absence de risque d’affecter la sécurité des aliments, des décisions de dérogation peuvent être prises, à condition que l’exploitant du secteur alimentaire puisse démontrer la conformité avec les exigences pertinentes de la législation alimentaire commune de l’Union, notamment en ce qui concerne les procédures relatives aux principes d’analyse des dangers et des HACCP. Il ne devrait jamais être possible d’utiliser la dérogation dans </w:t>
      </w:r>
      <w:r>
        <w:lastRenderedPageBreak/>
        <w:t xml:space="preserve">les cas où il existe des règles spécifiques exigeant explicitement des eaux d’une certaine qualité, par exemple en vertu du règlement (CE) no 853/2004 du Parlement européen et du Conseil fixant des règles spécifiques d’hygiène applicables aux denrées alimentaires d’origine animale. L’Agence suédoise de l’alimentation fournira des orientations à ce sujet dans </w:t>
      </w:r>
      <w:proofErr w:type="spellStart"/>
      <w:r>
        <w:t>Kontrollwiki</w:t>
      </w:r>
      <w:proofErr w:type="spellEnd"/>
      <w:r>
        <w:t>.</w:t>
      </w:r>
    </w:p>
    <w:p w14:paraId="49913C45" w14:textId="7F3CCA7B" w:rsidR="004F5152" w:rsidRDefault="004F5152" w:rsidP="00DE6143">
      <w:pPr>
        <w:tabs>
          <w:tab w:val="left" w:pos="426"/>
        </w:tabs>
      </w:pPr>
    </w:p>
    <w:p w14:paraId="234D3765" w14:textId="58B3B953" w:rsidR="003A7395" w:rsidRPr="00D52EB8" w:rsidRDefault="005A653E" w:rsidP="00DE6143">
      <w:pPr>
        <w:tabs>
          <w:tab w:val="left" w:pos="426"/>
        </w:tabs>
        <w:rPr>
          <w:i/>
        </w:rPr>
      </w:pPr>
      <w:r>
        <w:rPr>
          <w:i/>
        </w:rPr>
        <w:t>Section 39</w:t>
      </w:r>
    </w:p>
    <w:p w14:paraId="7640867E" w14:textId="4A21FA3D" w:rsidR="003B6EA5" w:rsidRDefault="003B6EA5" w:rsidP="00174404">
      <w:r>
        <w:t xml:space="preserve">L’Agence suédoise de l’alimentation peut accorder des dérogations aux valeurs limites chimiques fixées à l’annexe 1. Des dérogations ne peuvent être accordées que dans certains cas, par exemple en raison d’un nouveau bassin versant pour le captage des eaux destinées à la consommation humaine, ou si une nouvelle source de contamination est détectée dans le bassin versant, et à condition que ces dérogations ne présentent pas de risque potentiel pour la santé humaine. En outre, il est exigé que l’approvisionnement en eau destinée à la consommation humaine ne puisse être maintenu par d’autres moyens raisonnables. L’option de dérogation correspondante est prévue dans l’ancienne directive sur l’eau potable et dans SLVFS 2001:30; toutefois, elle a été clarifiée par la proposition. </w:t>
      </w:r>
    </w:p>
    <w:p w14:paraId="42956053" w14:textId="2E968E72" w:rsidR="00D2387F" w:rsidRPr="009D75C6" w:rsidRDefault="003B6EA5" w:rsidP="00D2387F">
      <w:r>
        <w:t xml:space="preserve"> </w:t>
      </w:r>
    </w:p>
    <w:p w14:paraId="61F1793C" w14:textId="04D142E0" w:rsidR="00DD5663" w:rsidRPr="00DD5663" w:rsidRDefault="0090082F" w:rsidP="00570275">
      <w:pPr>
        <w:pStyle w:val="Heading3"/>
      </w:pPr>
      <w:r>
        <w:t>Annexe 1</w:t>
      </w:r>
    </w:p>
    <w:p w14:paraId="23417BEC" w14:textId="392BE8CF" w:rsidR="0090082F" w:rsidRDefault="004D35AF" w:rsidP="005A0FB3">
      <w:pPr>
        <w:tabs>
          <w:tab w:val="left" w:pos="426"/>
        </w:tabs>
      </w:pPr>
      <w:r>
        <w:t xml:space="preserve">L’annexe définit les paramètres pour les micro-organismes ainsi que les paramètres pour les substances chimiques et radioactives à surveiller aux points de prélèvement des eaux sortantes destinées à la consommation humaine, de l’eau au consommateur et de l’eau mise dans des bouteilles ou des récipients. L’annexe définit la valeur limite applicable au point d’échantillonnage respectif, le groupe d’échantillons dans lequel le paramètre est inclus et s’il existe des conditions spécifiques pour la surveillance des différents paramètres. Pour l’uranium, il a été précisé que le paramètre doit être surveillé, si l’eau destinée à la consommation humaine provient des eaux souterraines ou des eaux de surface affectées par les eaux souterraines. Cela n’est pas évident dans la nouvelle directive sur l’eau potable, mais comme l’uranium n’est pertinent que dans ces cas, l’Agence suédoise de l’alimentation a choisi de le préciser afin d’éviter les ambiguïtés et les contrôles inutiles. Pour le </w:t>
      </w:r>
      <w:proofErr w:type="spellStart"/>
      <w:r>
        <w:t>microcystin</w:t>
      </w:r>
      <w:proofErr w:type="spellEnd"/>
      <w:r>
        <w:t>-LR, un addendum a été introduit précisant que le paramètre doit être surveillé en cas de prolifération potentielle d’algues pendant le traitement, en plus de l’alimentation en eau spécifiée par la directive. En effet, l’Agence suédoise de l’alimentation est au courant de plusieurs cas où des proliférations d’algues se sont produites dans, entre autres, des filtres lents dans l’usine d’approvisionnement en eau.</w:t>
      </w:r>
    </w:p>
    <w:p w14:paraId="0CEBFE20" w14:textId="5408169D" w:rsidR="00E867BA" w:rsidRDefault="00E867BA" w:rsidP="005A0FB3">
      <w:pPr>
        <w:tabs>
          <w:tab w:val="left" w:pos="426"/>
        </w:tabs>
      </w:pPr>
    </w:p>
    <w:p w14:paraId="55585C53" w14:textId="6E9495F0" w:rsidR="00E867BA" w:rsidRDefault="00E867BA" w:rsidP="005A0FB3">
      <w:pPr>
        <w:tabs>
          <w:tab w:val="left" w:pos="426"/>
        </w:tabs>
      </w:pPr>
      <w:r>
        <w:t xml:space="preserve">Dans la nouvelle directive sur l’eau potable, l’annexe correspondante avec les paramètres est divisée en paramètres pour les micro-organismes, paramètres pour les substances chimiques et paramètres indicateurs. La directive (considérant 11) précise que les paramètres indicateurs sont importants pour déterminer le fonctionnement des installations de production et de distribution des eaux destinées à la consommation humaine et jouent un rôle important dans le renforcement et le maintien de la confiance </w:t>
      </w:r>
      <w:r>
        <w:lastRenderedPageBreak/>
        <w:t xml:space="preserve">des consommateurs dans la qualité de l’eau. L’article 14, paragraphe 6, dispose que des mesures sont prises pour rétablir la qualité des eaux destinées à la consommation humaine, par rapport aux paramètres indicateurs, lorsque cela est nécessaire à la protection de la santé humaine. Dans le nouveau règlement sur l’eau potable, les paramètres indicateurs sont inclus parmi les paramètres pour les micro-organismes et les substances chimiques. L’Agence suédoise de l’alimentation considère qu’il est important que les paramètres indicateurs, qui indiquent souvent la qualité technique et esthétique de l’eau destinée à la consommation humaine, aient le même statut que d’autres paramètres lorsqu’il s’agit d’exigences telles que la surveillance et les mesures. Il est tout aussi important, même s’il n’est pas aussi aigu, d'étudier et de remédier aux problèmes dus à l’augmentation du nombre de micro-organismes cultivables ou à des niveaux élevés de fer comme pour des niveaux élevés d’E. coli ou de PFAS. En effet, certains paramètres indicateurs, tels que le fer, peuvent décolorer l’eau potable, ce qui ne répond donc pas à l’exigence selon laquelle l’eau destinée à la consommation humaine doit être saine et propre. Cependant, une plus longue période d’investigation et d’action peut être acceptée pour les paramètres qui ne présentent pas de risque aigu pour la santé humaine, comme le montrera </w:t>
      </w:r>
      <w:proofErr w:type="spellStart"/>
      <w:r>
        <w:t>Kontrollwiki</w:t>
      </w:r>
      <w:proofErr w:type="spellEnd"/>
      <w:r>
        <w:t>.</w:t>
      </w:r>
    </w:p>
    <w:p w14:paraId="45FD4F61" w14:textId="3ACED545" w:rsidR="009B64FC" w:rsidRDefault="009B64FC" w:rsidP="005A0FB3">
      <w:pPr>
        <w:tabs>
          <w:tab w:val="left" w:pos="426"/>
        </w:tabs>
      </w:pPr>
    </w:p>
    <w:p w14:paraId="2BD89B7F" w14:textId="3D529893" w:rsidR="009B64FC" w:rsidRDefault="009B64FC" w:rsidP="005A0FB3">
      <w:pPr>
        <w:tabs>
          <w:tab w:val="left" w:pos="426"/>
        </w:tabs>
      </w:pPr>
      <w:r>
        <w:t xml:space="preserve">Dans SLVFS 2001:30, les termes </w:t>
      </w:r>
      <w:r>
        <w:rPr>
          <w:i/>
        </w:rPr>
        <w:t>apte à l’emploi</w:t>
      </w:r>
      <w:r>
        <w:t xml:space="preserve">, </w:t>
      </w:r>
      <w:r>
        <w:rPr>
          <w:i/>
        </w:rPr>
        <w:t>apte à l’emploi avec commentaires</w:t>
      </w:r>
      <w:r>
        <w:t xml:space="preserve"> et </w:t>
      </w:r>
      <w:r>
        <w:rPr>
          <w:i/>
        </w:rPr>
        <w:t>inapte à l’emploi</w:t>
      </w:r>
      <w:r>
        <w:t xml:space="preserve"> ont été utilisés pour évaluer la qualité de l’eau destinée à la consommation humaine. Dans l’ancienne directive sur l’eau potable, il n’y avait qu’une seule valeur limite par paramètre. La raison pour laquelle il y avait deux valeurs limites pour certains paramètres dans SLVFS 2001:30 est un ancien reliquat de directives sur l’eau potable et de réglementations nationales encore plus anciennes. Même dans la nouvelle directive sur l’eau potable, il n’y a qu’une seule valeur limite par paramètre et l’Agence suédoise de l’alimentation estime qu’il n’y a aucune raison de maintenir des valeurs limites doubles dans les réglementations nationales. L’exploitant produisant et fournissant des eaux destinées à la consommation humaine est responsable de veiller à ce que l’eau destinée à la consommation humaine réponde à toutes les exigences de qualité et à ce qu’aucun changement anormal ne se produise pour certains paramètres. L’exploitant peut lui-même avoir besoin de fixer des valeurs directrices pour certains paramètres de ses activités afin d’assurer une bonne qualité des eaux destinées à la consommation humaine. Dans de nombreux cas, toutefois, il devrait suffire à l’Agence suédoise de l’alimentation d’élargir les orientations relatives à certaines valeurs directrices pour des paramètres spécifiés.</w:t>
      </w:r>
    </w:p>
    <w:p w14:paraId="6D701FF0" w14:textId="6DDB0B05" w:rsidR="00E867BA" w:rsidRDefault="00E867BA" w:rsidP="005A0FB3">
      <w:pPr>
        <w:tabs>
          <w:tab w:val="left" w:pos="426"/>
        </w:tabs>
      </w:pPr>
    </w:p>
    <w:p w14:paraId="075B50E1" w14:textId="0BFB5208" w:rsidR="00D3400A" w:rsidRDefault="00557C4C" w:rsidP="005A0FB3">
      <w:pPr>
        <w:tabs>
          <w:tab w:val="left" w:pos="426"/>
        </w:tabs>
      </w:pPr>
      <w:r>
        <w:t xml:space="preserve">La nouvelle directive sur l’eau potable spécifie pour certains paramètres, tels que la couleur, le carbone organique total (COT) et la turbidité, la valeur limite </w:t>
      </w:r>
      <w:r>
        <w:rPr>
          <w:i/>
        </w:rPr>
        <w:t>acceptable pour les consommateurs</w:t>
      </w:r>
      <w:r>
        <w:t xml:space="preserve"> et </w:t>
      </w:r>
      <w:r>
        <w:rPr>
          <w:i/>
        </w:rPr>
        <w:t>pas de changement anormal</w:t>
      </w:r>
      <w:r>
        <w:t xml:space="preserve">. Dans la mesure du possible, l’Agence suédoise de l’alimentation estime qu’une valeur devrait être spécifiée afin que chaque opérateur n’ait pas à procéder à une évaluation subjective de ce qui est considéré comme </w:t>
      </w:r>
      <w:r>
        <w:rPr>
          <w:i/>
        </w:rPr>
        <w:t>acceptable pour les consommateurs</w:t>
      </w:r>
      <w:r>
        <w:t xml:space="preserve"> et </w:t>
      </w:r>
      <w:r>
        <w:rPr>
          <w:i/>
        </w:rPr>
        <w:t>pas de changement anormal</w:t>
      </w:r>
      <w:r>
        <w:t xml:space="preserve">. Pour cette raison, le règlement contient une valeur spécifiée pour certains paramètres lorsqu’elle n’est pas </w:t>
      </w:r>
      <w:r>
        <w:lastRenderedPageBreak/>
        <w:t xml:space="preserve">contenue dans la directive. Ces valeurs sont les mêmes que dans SLVFS 2001:30, car il a été démontré qu’elles fonctionnent bien. Cependant, pour le COT, la valeur limite </w:t>
      </w:r>
      <w:r>
        <w:rPr>
          <w:i/>
        </w:rPr>
        <w:t>pas de changement anormal</w:t>
      </w:r>
      <w:r>
        <w:t xml:space="preserve"> est spécifiée. L’Agence suédoise de l’alimentation a étudié la possibilité d’introduire une valeur pour le COT, mais a décidé qu’elle n’était pas réalisable. L’Agence suédoise de l’alimentation n’a pas eu l’occasion de fournir une base permettant d’évaluer ce qui pourrait constituer une valeur limite appropriée pour le COT. L’Agence n’a pas non plus été en mesure d’obtenir des preuves de l’industrie qui pourraient servir de base à une valeur limite. Plusieurs de nos pays voisins réglementent également le COT de la manière prévue dans la nouvelle directive sur l’eau potable.</w:t>
      </w:r>
    </w:p>
    <w:p w14:paraId="5306F3D8" w14:textId="0B6604AA" w:rsidR="00557C4C" w:rsidRDefault="00D3400A" w:rsidP="005A0FB3">
      <w:pPr>
        <w:tabs>
          <w:tab w:val="left" w:pos="426"/>
        </w:tabs>
      </w:pPr>
      <w:r>
        <w:t xml:space="preserve"> </w:t>
      </w:r>
    </w:p>
    <w:p w14:paraId="63CDA85A" w14:textId="282495C6" w:rsidR="0017612E" w:rsidRPr="0017612E" w:rsidRDefault="00AA52D6" w:rsidP="005A0FB3">
      <w:pPr>
        <w:tabs>
          <w:tab w:val="left" w:pos="426"/>
        </w:tabs>
      </w:pPr>
      <w:r>
        <w:t xml:space="preserve">Selon la nouvelle directive sur l’eau potable, le paramètre </w:t>
      </w:r>
      <w:r>
        <w:rPr>
          <w:i/>
        </w:rPr>
        <w:t>Clostridium perfringens</w:t>
      </w:r>
      <w:r>
        <w:t xml:space="preserve"> doit être inclus dans le groupe d’échantillons B et analysé, si l’analyse des dangers montre que cela est nécessaire. Selon SLVFS 2001:30, le paramètre doit toujours être analysé en cas de surveillance accrue, ainsi que dans le cadre d’une surveillance normale, si l’eau brute est des eaux de surface ou affectées par des eaux de surface. Étant donné que les APC ne sont pas soumis à des exigences en matière d’analyse des dangers, ils n’analyseraient pas le paramètre tel que la directive est formulée. Cependant, la surveillance du paramètre est toujours justifiée dans les cas où l’eau brute provient des eaux de surface, où il existe un risque évident que le parasite se produise. Pour cette raison, une exigence a été introduite selon laquelle le paramètre doit être analysé, si l’eau brute provient des eaux de surface, est affectée par les eaux de surface ou si l’analyse des dangers montre qu’une surveillance est nécessaire. Ainsi, l’exigence proposée dans le règlement va au-delà des exigences de la directive, mais apportera en pratique un allègement par rapport à SLVFS 2001:30 pour les entreprises qui ont des eaux souterraines non affectées, car ces entreprises n’auront pas à surveiller le paramètre. Pour les opérateurs qui prélèvent l’eau brute des eaux de surface, la réglementation nationale, plus large, ne fera aucune différence pratique dans la surveillance du groupe d’échantillons B, car elle correspondra à la surveillance accrue selon SLVFS 2001:30. </w:t>
      </w:r>
    </w:p>
    <w:p w14:paraId="20A31DFA" w14:textId="77777777" w:rsidR="0017612E" w:rsidRDefault="0017612E" w:rsidP="005A0FB3">
      <w:pPr>
        <w:tabs>
          <w:tab w:val="left" w:pos="426"/>
        </w:tabs>
      </w:pPr>
    </w:p>
    <w:p w14:paraId="48656ED7" w14:textId="106ADC94" w:rsidR="00E867BA" w:rsidRDefault="00E867BA" w:rsidP="005A0FB3">
      <w:pPr>
        <w:tabs>
          <w:tab w:val="left" w:pos="426"/>
        </w:tabs>
      </w:pPr>
      <w:r>
        <w:t>Outre les paramètres énoncés dans la nouvelle directive sur l’eau potable, le nouveau règlement sur l’eau potable contient un nombre supplémentaire de paramètres à surveiller. Ces paramètres sont également inclus à l’annexe 2 de SLVFS 2001:30, avec quelques exemples d’actinomycètes, de bactéries à croissance lente, de nitrite et de chlore. L’objectif est que ces paramètres fournissent une meilleure image globale de la qualité de l’eau destinée à la consommation humaine.</w:t>
      </w:r>
    </w:p>
    <w:p w14:paraId="4E094C79" w14:textId="2853576B" w:rsidR="009C4705" w:rsidRDefault="009C4705" w:rsidP="005A0FB3">
      <w:pPr>
        <w:tabs>
          <w:tab w:val="left" w:pos="426"/>
        </w:tabs>
      </w:pPr>
    </w:p>
    <w:p w14:paraId="1822F16E" w14:textId="24F22AAC" w:rsidR="00F707B2" w:rsidRDefault="009C4705" w:rsidP="005A0FB3">
      <w:pPr>
        <w:tabs>
          <w:tab w:val="left" w:pos="426"/>
        </w:tabs>
      </w:pPr>
      <w:r>
        <w:t xml:space="preserve">Le manganèse, conformément à la nouvelle directive sur l’eau potable, fait partie du groupe d’échantillons B. Selon SLVFS 2001:30, le paramètre est soumis à une surveillance normale, qui, dans le nouveau règlement sur l’eau potable, correspond au groupe d’échantillons A. L’Agence suédoise de l’alimentation estime que ce paramètre devrait être inclus dans le groupe d’échantillons A, car la Suède présente de fortes concentrations de manganèse dans de nombreuses eaux souterraines. Les concentrations élevées de manganèse sont principalement un problème esthétique, mais l’eau ne peut </w:t>
      </w:r>
      <w:r>
        <w:lastRenderedPageBreak/>
        <w:t>être considérée comme saine et propre si elle est décolorée. Cela nécessitera plus d’analyses que ne l’exige la nouvelle directive sur l’eau potable, qui se justifie toutefois par le problème unique des concentrations élevées de manganèse en Suède. Les conséquences pour les opérateurs résultant de la présente proposition sont exposées ci-après à la section 8.</w:t>
      </w:r>
    </w:p>
    <w:p w14:paraId="0742BB33" w14:textId="497157C6" w:rsidR="00E867BA" w:rsidRDefault="00E867BA" w:rsidP="005A0FB3">
      <w:pPr>
        <w:tabs>
          <w:tab w:val="left" w:pos="426"/>
        </w:tabs>
      </w:pPr>
    </w:p>
    <w:p w14:paraId="147DC2F3" w14:textId="58A80466" w:rsidR="007050C3" w:rsidRDefault="007050C3" w:rsidP="005A0FB3">
      <w:pPr>
        <w:tabs>
          <w:tab w:val="left" w:pos="426"/>
        </w:tabs>
      </w:pPr>
      <w:r>
        <w:t>Pour le paramètre chrome, la nouvelle directive sur l’eau potable fixe la valeur limite à 25 µg/l, qui s’applique au plus tard le 12 janvier 2036. D’ici là, la valeur limite de 50 µg/l peut être appliquée. L’annexe 1 du nouveau règlement sur l’eau potable introduit la valeur limite de 25 µg/l à partir du 1er janvier 2026, car le chrome ne pose pas de problème pour les producteurs suédois d’eau destinée à la consommation humaine, tandis qu’une certaine période transitoire devrait être introduite pour d’éventuels ajustements dans les laboratoires. Les données de deux des principaux laboratoires d’analyse des eaux destinées à la consommation humaine montrent que plus de 200 producteurs d’eau destinée à la consommation humaine ont effectué une analyse du chrome en 2019, dont aucun producteur n’avait une concentration maximale supérieure à 2 µg/l. Il n’est donc pas nécessaire de prévoir une période transitoire plus longue pour réduire les concentrations de chrome dans les eaux destinées à la consommation humaine.</w:t>
      </w:r>
    </w:p>
    <w:p w14:paraId="1E97EFE7" w14:textId="5FDBB496" w:rsidR="001340AE" w:rsidRDefault="001340AE" w:rsidP="005A0FB3">
      <w:pPr>
        <w:tabs>
          <w:tab w:val="left" w:pos="426"/>
        </w:tabs>
      </w:pPr>
    </w:p>
    <w:p w14:paraId="0AABDA81" w14:textId="775C0332" w:rsidR="00C467A4" w:rsidRDefault="00C467A4" w:rsidP="005A0FB3">
      <w:pPr>
        <w:tabs>
          <w:tab w:val="left" w:pos="426"/>
        </w:tabs>
      </w:pPr>
      <w:r>
        <w:t>Les paramètres chlorite et chlorate ont une valeur limite de 0,25 mg/l dans la nouvelle directive sur l’eau potable. Toutefois, il ressort clairement des notes relatives au paramètre respectif que les paramètres ne doivent être surveillés que si des méthodes de désinfection permettant de générer ces substances sont utilisées (l’utilisation du dioxyde de chlore). Lorsque de telles méthodes de désinfection sont utilisées, la valeur paramétrique est de 0,7 mg/l. Dans la pratique, cela signifie que la valeur paramétrique 0,25 mg/l n’a aucune signification pratique, raison pour laquelle le projet de règlement ne contient que la valeur limite de 0,7 mg/l. Ce raisonnement a également été confirmé lors des discussions avec la Commission.</w:t>
      </w:r>
    </w:p>
    <w:p w14:paraId="14833C92" w14:textId="0AE88DF5" w:rsidR="00014194" w:rsidRDefault="00014194" w:rsidP="005A0FB3">
      <w:pPr>
        <w:tabs>
          <w:tab w:val="left" w:pos="426"/>
        </w:tabs>
      </w:pPr>
    </w:p>
    <w:p w14:paraId="169A9579" w14:textId="720E1D03" w:rsidR="00014194" w:rsidRDefault="00014194" w:rsidP="005A0FB3">
      <w:pPr>
        <w:tabs>
          <w:tab w:val="left" w:pos="426"/>
        </w:tabs>
      </w:pPr>
      <w:r>
        <w:t>La réglementation des PFAS, de l’arsenic, du plomb et du cadmium est décrite ci-dessous sous leurs propres rubriques.</w:t>
      </w:r>
    </w:p>
    <w:p w14:paraId="168D66DF" w14:textId="77777777" w:rsidR="00C467A4" w:rsidRPr="0090082F" w:rsidRDefault="00C467A4" w:rsidP="005A0FB3">
      <w:pPr>
        <w:tabs>
          <w:tab w:val="left" w:pos="426"/>
        </w:tabs>
      </w:pPr>
    </w:p>
    <w:p w14:paraId="03C322F6" w14:textId="109D1F9F" w:rsidR="004E3C41" w:rsidRDefault="0090082F" w:rsidP="0079484F">
      <w:pPr>
        <w:pStyle w:val="Heading3"/>
      </w:pPr>
      <w:r>
        <w:t>Annexe 2</w:t>
      </w:r>
    </w:p>
    <w:p w14:paraId="60EFD7BE" w14:textId="34E9A4AE" w:rsidR="00985126" w:rsidRDefault="004E3C41" w:rsidP="00985126">
      <w:r>
        <w:t xml:space="preserve">Les producteurs d’eau destinée à la consommation humaine traitent l’eau brute de différentes manières pour s’assurer que l’eau destinée à la consommation humaine produite est de qualité supérieure suffisante. Conformément à la section 16 du règlement sur l’eau potable, le producteur d’eau destinée à la consommation humaine veille à ce que les produits chimiques de traitement et les médias filtrants qui entrent en contact avec l’eau destinée à la consommation humaine ne compromettent pas directement ou indirectement la protection de la santé humaine, n’altèrent pas la couleur, l’odeur ou le goût de l’eau, ne favorisent pas par inadvertance la croissance microbienne et ne polluent pas l’eau plus que nécessaire aux fins prévues. L’annexe énumère les produits chimiques </w:t>
      </w:r>
      <w:r>
        <w:lastRenderedPageBreak/>
        <w:t>qui peuvent être utilisés dans le traitement des eaux destinées à la consommation humaine ainsi que les fins et conditions d’utilisation. À l’exception d’</w:t>
      </w:r>
      <w:proofErr w:type="spellStart"/>
      <w:r>
        <w:t>Ameroyal</w:t>
      </w:r>
      <w:proofErr w:type="spellEnd"/>
      <w:r>
        <w:t xml:space="preserve"> 710 et de </w:t>
      </w:r>
      <w:proofErr w:type="spellStart"/>
      <w:r>
        <w:t>Vitec</w:t>
      </w:r>
      <w:proofErr w:type="spellEnd"/>
      <w:r>
        <w:t xml:space="preserve"> 1141, ces produits chimiques de traitement ont déjà été évalués par l’Agence suédoise de l’alimentation et sont inclus dans la liste correspondante de SLVFS 2001:30.</w:t>
      </w:r>
    </w:p>
    <w:p w14:paraId="05E95F96" w14:textId="79B29B20" w:rsidR="004E3C41" w:rsidRDefault="004E3C41" w:rsidP="004E3C41"/>
    <w:p w14:paraId="6855E6DD" w14:textId="4352D35A" w:rsidR="004E3C41" w:rsidRDefault="004E3C41" w:rsidP="004E3C41">
      <w:r>
        <w:t xml:space="preserve">La technologie de traitement des eaux destinées à la consommation humaine est en cours d’élaboration et l’Agence suédoise de l’alimentation a donc estimé que deux nouveaux produits chimiques de traitement, les produits </w:t>
      </w:r>
      <w:proofErr w:type="spellStart"/>
      <w:r>
        <w:t>Ameroyal</w:t>
      </w:r>
      <w:proofErr w:type="spellEnd"/>
      <w:r>
        <w:t xml:space="preserve"> 710 et </w:t>
      </w:r>
      <w:proofErr w:type="spellStart"/>
      <w:r>
        <w:t>Vitec</w:t>
      </w:r>
      <w:proofErr w:type="spellEnd"/>
      <w:r>
        <w:t xml:space="preserve"> 1141, sont aptes à être utilisés dans le traitement des eaux destinées à la consommation humaine et doivent être inclus dans l’annexe. Les produits sont des inhibiteurs de revêtement utilisés pour éviter les revêtements dans les équipements de membrane d’osmose ou de nanofiltration et sont dosés sous forme liquide au débit d’eau brute avant le filtre sur membrane. Les produits augmentent la solubilité des minéraux de formation de revêtement les plus courants pour les empêcher de se cristalliser et de précipiter sur les membranes, avec un revêtement dur sur la membrane en conséquence. Les produits empêchent également les particules non solubles dans le flux d’eau brute de coller aux surfaces de la membrane et, au lieu de cela, accompagnent le concentré à drainer. Les précipitations de sels difficiles à dissoudre réduisent l’écoulement à travers la membrane, nuisent au processus de purification et entraînent l’obstruction de l’équipement membranaire. Les avantages sont principalement financiers mais aussi en termes de technologie de traitement. L’utilisation d’inhibiteurs de revêtement signifie également que la durée de vie des membranes augmente. L’introduction de l’</w:t>
      </w:r>
      <w:proofErr w:type="spellStart"/>
      <w:r>
        <w:t>Ameroyal</w:t>
      </w:r>
      <w:proofErr w:type="spellEnd"/>
      <w:r>
        <w:t xml:space="preserve"> 710 et du </w:t>
      </w:r>
      <w:proofErr w:type="spellStart"/>
      <w:r>
        <w:t>Vitec</w:t>
      </w:r>
      <w:proofErr w:type="spellEnd"/>
      <w:r>
        <w:t xml:space="preserve"> 1141 repose sur des évaluations toxicologiques des produits chimiques liés aux risques pour la santé des consommateurs d’eau destinée à la consommation humaine. L’évaluation toxicologique est basée sur la dose entière des produits chimiques passant par le filtre avec l’eau, ce qui, cependant, n’est pas l’intention pendant le fonctionnement normal.</w:t>
      </w:r>
    </w:p>
    <w:p w14:paraId="3D08AAED" w14:textId="39CE61D6" w:rsidR="0090082F" w:rsidRPr="00D735D2" w:rsidRDefault="0090082F" w:rsidP="00D735D2"/>
    <w:p w14:paraId="1E4EF2EF" w14:textId="237249EC" w:rsidR="00DD5663" w:rsidRPr="00DD5663" w:rsidRDefault="0090082F" w:rsidP="00C46A97">
      <w:pPr>
        <w:pStyle w:val="Heading3"/>
      </w:pPr>
      <w:r>
        <w:t>Annexe 3</w:t>
      </w:r>
    </w:p>
    <w:p w14:paraId="5F7F74B3" w14:textId="2580681A" w:rsidR="004745F1" w:rsidRDefault="004745F1" w:rsidP="0090082F">
      <w:pPr>
        <w:tabs>
          <w:tab w:val="left" w:pos="426"/>
        </w:tabs>
        <w:rPr>
          <w:i/>
        </w:rPr>
      </w:pPr>
      <w:r>
        <w:rPr>
          <w:i/>
        </w:rPr>
        <w:t>Programme de suivi opérationnel</w:t>
      </w:r>
    </w:p>
    <w:p w14:paraId="4A26692A" w14:textId="18599C94" w:rsidR="004745F1" w:rsidRDefault="004745F1" w:rsidP="0090082F">
      <w:pPr>
        <w:tabs>
          <w:tab w:val="left" w:pos="426"/>
        </w:tabs>
      </w:pPr>
      <w:r>
        <w:t xml:space="preserve">La nouvelle directive sur l’eau potable contient des exigences de surveillance opérationnelle qui comprennent une surveillance spécifique des paramètres </w:t>
      </w:r>
      <w:r>
        <w:rPr>
          <w:i/>
        </w:rPr>
        <w:t>turbidité à l’usine d’approvisionnement en eau</w:t>
      </w:r>
      <w:r>
        <w:t xml:space="preserve"> et </w:t>
      </w:r>
      <w:proofErr w:type="spellStart"/>
      <w:r>
        <w:rPr>
          <w:i/>
        </w:rPr>
        <w:t>coliphages</w:t>
      </w:r>
      <w:proofErr w:type="spellEnd"/>
      <w:r>
        <w:rPr>
          <w:i/>
        </w:rPr>
        <w:t xml:space="preserve"> somatiques</w:t>
      </w:r>
      <w:r>
        <w:t xml:space="preserve"> dans l’eau brute. Dans le nouveau règlement sur l’eau potable, c’est ce qu’on appelle le </w:t>
      </w:r>
      <w:r>
        <w:rPr>
          <w:i/>
        </w:rPr>
        <w:t>programme de suivi opérationnelle</w:t>
      </w:r>
      <w:r>
        <w:t>. L’annexe définit les conditions dans lesquelles, ainsi que la fréquence, les paramètres doivent être surveillés.</w:t>
      </w:r>
    </w:p>
    <w:p w14:paraId="1DE6DE83" w14:textId="11049737" w:rsidR="008E3897" w:rsidRDefault="008E3897" w:rsidP="0090082F">
      <w:pPr>
        <w:tabs>
          <w:tab w:val="left" w:pos="426"/>
        </w:tabs>
      </w:pPr>
    </w:p>
    <w:p w14:paraId="7829DFA2" w14:textId="53B6132F" w:rsidR="008E3897" w:rsidRPr="008E3897" w:rsidRDefault="008E3897" w:rsidP="0090082F">
      <w:pPr>
        <w:tabs>
          <w:tab w:val="left" w:pos="426"/>
        </w:tabs>
      </w:pPr>
      <w:r>
        <w:t xml:space="preserve">La nouvelle directive sur l’eau potable définit deux méthodes d’analyse qui </w:t>
      </w:r>
      <w:r>
        <w:rPr>
          <w:i/>
        </w:rPr>
        <w:t>peuvent</w:t>
      </w:r>
      <w:r>
        <w:t xml:space="preserve"> être utilisées pour la surveillance des </w:t>
      </w:r>
      <w:proofErr w:type="spellStart"/>
      <w:r>
        <w:t>coliphages</w:t>
      </w:r>
      <w:proofErr w:type="spellEnd"/>
      <w:r>
        <w:t xml:space="preserve"> somatiques, EN ISO 10705-2 et EN ISO 10705-3. La directive n’exige l’utilisation d’aucune de ces méthodes. De l’avis de l’Agence suédoise de l’alimentation, les </w:t>
      </w:r>
      <w:proofErr w:type="spellStart"/>
      <w:r>
        <w:t>coliphages</w:t>
      </w:r>
      <w:proofErr w:type="spellEnd"/>
      <w:r>
        <w:t xml:space="preserve"> somatiques n’ont pas été surveillés dans une large mesure dans l’eau brute en Suède auparavant. Pour cette raison, l’Agence suédoise de l’alimentation estime qu’il ne devrait pas exister, à l’heure actuelle, de </w:t>
      </w:r>
      <w:r>
        <w:lastRenderedPageBreak/>
        <w:t xml:space="preserve">méthode prescrite pour l’analyse des </w:t>
      </w:r>
      <w:proofErr w:type="spellStart"/>
      <w:r>
        <w:t>coliphages</w:t>
      </w:r>
      <w:proofErr w:type="spellEnd"/>
      <w:r>
        <w:t xml:space="preserve"> somatiques; au lieu de cela, les producteurs d’eau destinée à la consommation humaine et les laboratoires devraient être autorisés à décider eux-mêmes de la méthode accréditée qu’ils souhaitent utiliser. Il y aura des orientations dans </w:t>
      </w:r>
      <w:proofErr w:type="spellStart"/>
      <w:r>
        <w:t>Kontrollwiki</w:t>
      </w:r>
      <w:proofErr w:type="spellEnd"/>
      <w:r>
        <w:t xml:space="preserve"> recommandant les méthodes énoncées dans la nouvelle directive sur l’eau potable. </w:t>
      </w:r>
    </w:p>
    <w:p w14:paraId="07921436" w14:textId="311975B5" w:rsidR="004745F1" w:rsidRDefault="004745F1" w:rsidP="0090082F">
      <w:pPr>
        <w:tabs>
          <w:tab w:val="left" w:pos="426"/>
        </w:tabs>
      </w:pPr>
    </w:p>
    <w:p w14:paraId="38C57F77" w14:textId="3E3594FF" w:rsidR="004745F1" w:rsidRDefault="004745F1" w:rsidP="0090082F">
      <w:pPr>
        <w:tabs>
          <w:tab w:val="left" w:pos="426"/>
        </w:tabs>
        <w:rPr>
          <w:i/>
        </w:rPr>
      </w:pPr>
      <w:r>
        <w:rPr>
          <w:i/>
        </w:rPr>
        <w:t>Surveillance de l’eau brute</w:t>
      </w:r>
    </w:p>
    <w:p w14:paraId="1BF8670E" w14:textId="1E27474E" w:rsidR="00116327" w:rsidRDefault="00427B19" w:rsidP="00116327">
      <w:r>
        <w:t xml:space="preserve">L’enquête 2020 sur l’eau potable suggère de clarifier l’exigence pour le producteur d’eau destinée à la consommation humaine de contrôler l’eau brute par rapport à la façon dont elle est réglementée dans SLVFS 2001:30. Le libellé de SLVFS 2001:30, selon lequel le producteur doit prendre en considération la nature de l’eau brute dans son traitement, a conduit à une grande variation pratique de la surveillance de l’eau brute qui a effectivement lieu. L’Agence suédoise de l’alimentation a également reçu des indications selon lesquelles, dans certains cas, la qualité de l’eau brute n’est pas surveillée du tout. Il y a donc lieu d’introduire une exigence relative au nombre minimal d’enquêtes. La fréquence de la surveillance dépend de la taille de la production et suit le même nombre et la même fréquence que la surveillance au point </w:t>
      </w:r>
      <w:r>
        <w:rPr>
          <w:i/>
        </w:rPr>
        <w:t>eau sortante destinée à la consommation humaine,</w:t>
      </w:r>
      <w:r>
        <w:t xml:space="preserve"> reliant clairement la qualité de l’eau brute aux eaux de sortie destinées à la consommation humaine. Il n’y a pas de différence de fréquence entre les paramètres pour les micro-organismes et les substances chimiques, mais une distinction est faite dans la fréquence selon que les eaux souterraines ou les eaux de surface (y compris les eaux de surface affectées par les eaux souterraines) sont utilisées comme eau brute, car elles affectent la composition et les besoins de traitement de l’eau. Les conséquences pour les producteurs d’eau destinée à la consommation humaine de la présente proposition sont exposées ci-après à la section 8.</w:t>
      </w:r>
    </w:p>
    <w:p w14:paraId="5120F13F" w14:textId="7A843DDB" w:rsidR="00503133" w:rsidRDefault="00503133" w:rsidP="00116327"/>
    <w:p w14:paraId="3E45E316" w14:textId="7E42DC90" w:rsidR="00503133" w:rsidRDefault="00503133" w:rsidP="00116327">
      <w:r>
        <w:t xml:space="preserve">Les paramètres à surveiller au minimum dans l’eau brute sont ceux qui sont réputés être en mesure de fournir des informations de valeur pour le traitement de l’eau brute dans l’eau destinée à la consommation humaine. L’intention est que ces paramètres fassent l’objet d’un suivi auprès de tous les producteurs. Toutefois, les résultats de l’analyse des dangers sont pris en considération lors de l’élaboration d’un programme de suivi. Cela devrait avoir pour conséquence que plus de paramètres que les paramètres prescrits sont surveillés au point d’échantillonnage </w:t>
      </w:r>
      <w:r>
        <w:rPr>
          <w:i/>
        </w:rPr>
        <w:t xml:space="preserve">eau brute </w:t>
      </w:r>
      <w:r>
        <w:t>pour les opérateurs assujettis à l’exigence d’analyse des dangers. Cela ressort clairement de l’identification de l’eau brute à la section C de l’annexe 3, qui réglemente l’augmentation et la réduction du nombre de paramètres et de fréquences de surveillance.</w:t>
      </w:r>
    </w:p>
    <w:p w14:paraId="0BD24761" w14:textId="22E55249" w:rsidR="00427B19" w:rsidRDefault="00427B19" w:rsidP="00116327"/>
    <w:p w14:paraId="52927BA2" w14:textId="0D716487" w:rsidR="00427B19" w:rsidRDefault="00AB711B" w:rsidP="00116327">
      <w:r>
        <w:t>Pour les plus petits producteurs d’eau destinée à la consommation humaine, une dérogation à l’obligation de surveillance de l’eau brute est introduite s’il n’y a pas de traitement de l’eau destinée à la consommation humaine et que le volume produit n’excède pas 10 m</w:t>
      </w:r>
      <w:r>
        <w:rPr>
          <w:vertAlign w:val="superscript"/>
        </w:rPr>
        <w:t>3</w:t>
      </w:r>
      <w:r>
        <w:t xml:space="preserve">/jour. Ceci a pour but de réduire le coût pour les plus petites activités publiques et commerciales et où la qualité de l’eau brute de ces activités peut être </w:t>
      </w:r>
      <w:r>
        <w:lastRenderedPageBreak/>
        <w:t xml:space="preserve">assimilée à la qualité de l’eau sortante destinée à la consommation humaine ou de l’eau potable chez le consommateur. </w:t>
      </w:r>
    </w:p>
    <w:p w14:paraId="28A1C052" w14:textId="0F5D7EDF" w:rsidR="004745F1" w:rsidRPr="004369BD" w:rsidRDefault="004745F1" w:rsidP="0090082F">
      <w:pPr>
        <w:tabs>
          <w:tab w:val="left" w:pos="426"/>
        </w:tabs>
      </w:pPr>
    </w:p>
    <w:p w14:paraId="10D8DB0D" w14:textId="2B11DF7B" w:rsidR="004745F1" w:rsidRDefault="004745F1" w:rsidP="0090082F">
      <w:pPr>
        <w:tabs>
          <w:tab w:val="left" w:pos="426"/>
        </w:tabs>
        <w:rPr>
          <w:i/>
        </w:rPr>
      </w:pPr>
      <w:r>
        <w:rPr>
          <w:i/>
        </w:rPr>
        <w:t>Eaux sortantes destinées à la consommation humaine</w:t>
      </w:r>
    </w:p>
    <w:p w14:paraId="67B74A9F" w14:textId="4ECB1DAA" w:rsidR="004745F1" w:rsidRDefault="004745F1" w:rsidP="0090082F">
      <w:pPr>
        <w:tabs>
          <w:tab w:val="left" w:pos="426"/>
        </w:tabs>
      </w:pPr>
      <w:r>
        <w:t>L’eau sortante destinée à la consommation humaine est un point d’échantillonnage national qui n’est pas réglementé par la nouvelle directive sur l’eau potable. Le point d’échantillonnage est réglementé à l’échelle nationale depuis longtemps. Pour cette raison, l’Agence suédoise de l’alimentation estime qu’il est important de la maintenir afin de s’assurer que l’eau destinée à la consommation humaine répond déjà à certaines exigences de qualité lorsqu’elle quitte l’usine d’approvisionnement en eau et qu’elle prouve que le traitement dans l’usine d’approvisionnement en eau fonctionne correctement. Un ajustement des fréquences pour la surveillance des eaux sortantes destinées à la consommation humaine a été effectué dans le nouveau règlement par rapport à SLVFS 2001:30. Les conséquences éventuelles de la modification sont exposées ci-après à la section 8.</w:t>
      </w:r>
    </w:p>
    <w:p w14:paraId="2258D382" w14:textId="77777777" w:rsidR="00C9367D" w:rsidRPr="004745F1" w:rsidRDefault="00C9367D" w:rsidP="0090082F">
      <w:pPr>
        <w:tabs>
          <w:tab w:val="left" w:pos="426"/>
        </w:tabs>
      </w:pPr>
    </w:p>
    <w:p w14:paraId="5546CF5F" w14:textId="20330048" w:rsidR="004745F1" w:rsidRDefault="004745F1" w:rsidP="0090082F">
      <w:pPr>
        <w:tabs>
          <w:tab w:val="left" w:pos="426"/>
        </w:tabs>
        <w:rPr>
          <w:i/>
        </w:rPr>
      </w:pPr>
      <w:r>
        <w:rPr>
          <w:i/>
        </w:rPr>
        <w:t>L’eau potable chez le consommateur</w:t>
      </w:r>
    </w:p>
    <w:p w14:paraId="5F9E8460" w14:textId="1B2B401B" w:rsidR="004745F1" w:rsidRDefault="00AD4472" w:rsidP="007D2AFB">
      <w:r>
        <w:t>Le tableau définit les fréquences de surveillance de l’eau potable chez le consommateur en fonction du volume d’eau produit ou distribué destiné à la consommation humaine. La nouvelle directive sur l’eau potable fixe des fréquences minimales pour la surveillance de l’eau destinée à la consommation humaine au point du consommateur. Il indique que les installations d’eau potable produisant ou distribuant moins de 10 m</w:t>
      </w:r>
      <w:r>
        <w:rPr>
          <w:vertAlign w:val="superscript"/>
        </w:rPr>
        <w:t>3</w:t>
      </w:r>
      <w:r>
        <w:t>/jour doivent être analysées en moyenne au moins une fois par an pour les deux groupes d’échantillons A et B. Le nouveau règlement traduit cette analyse en une analyse du groupe A une fois par an et en une analyse du groupe B tous les six ans. SLVFS 2001:30 exige une surveillance normale (groupe A) deux fois par an et une surveillance prolongée (groupe B) tous les trois ans pour ces installations. Pour les plus petits producteurs d’eau destinée à la consommation humaine, dont une grande partie n’est active que pendant une partie de l’année, il est inutilement lourd d’avoir une analyse du groupe A deux fois par an. Afin de réduire les coûts des plus petits producteurs d’eau destinée à la consommation humaine, l’Agence suédoise de l’alimentation considère que la surveillance peut être réduite à un échantillon par an. Pour l’analyse du groupe B, l’intervalle passe de tous les trois ans à tous les six ans. L’Agence suédoise de l’alimentation considère que cette fréquence n’aura pas d’effets négatifs sur la santé, étant donné que les paramètres les plus importants à surveiller du point de vue de la santé sont surveillés dans le groupe A. En outre, elle estime qu’il doit y avoir une continuité dans la surveillance des paramètres inclus dans le groupe B et qu’il ne devrait pas y avoir de temps excessif entre la surveillance. Si l’exploitant constate, dans le cadre de sa surveillance des paramètres du groupe B, que toute valeur limite est dépassée, il y a, à un intervalle de six ans, du temps d’enquête, de correction et de nouvelle surveillance afin de s’assurer que les problèmes de qualité sont résolus avant la prochaine analyse régulière des paramètres du groupe B. Les conséquences de ce règlement sur les coûts sont exposées ci-après à la section 8.</w:t>
      </w:r>
    </w:p>
    <w:p w14:paraId="1D0DA9C8" w14:textId="29750105" w:rsidR="007D2AFB" w:rsidRDefault="007D2AFB" w:rsidP="007D2AFB"/>
    <w:p w14:paraId="08B4F29D" w14:textId="09EE2560" w:rsidR="007D2AFB" w:rsidRDefault="007D2AFB" w:rsidP="007D2AFB">
      <w:r>
        <w:lastRenderedPageBreak/>
        <w:t>Pour les installations produisant ou distribuant 10 à 100 m</w:t>
      </w:r>
      <w:r>
        <w:rPr>
          <w:vertAlign w:val="superscript"/>
        </w:rPr>
        <w:t>3</w:t>
      </w:r>
      <w:r>
        <w:t xml:space="preserve"> d’eau destinée à la consommation humaine par jour, la nouvelle directive sur l’eau potable prévoit que l’analyse du groupe A est effectuée deux fois par an et que l’analyse du groupe B est effectuée chaque année. La fréquence d’échantillonnage pour le groupe d’échantillons B peut être réduite par les États membres, si tous les paramètres énumérés à l’annexe 1 sont analysés au moins une fois tous les six ans et analysés dans les cas où un nouvel approvisionnement en eau est intégré dans le réseau d’approvisionnement en eau, ou lorsque des modifications du système d’alimentation en eau sont apportées qui peuvent avoir un effet négatif sur la qualité de l’eau. Selon le nouveau règlement sur l’eau potable, ces installations sont tenues de surveiller le groupe d’échantillons B tous les deux ans. Cela réduit ainsi la fréquence par rapport à la fréquence d’échantillonnage prévue par la directive et réduit les coûts des activités. L’Agence suédoise de l’alimentation estime que la réduction de la fréquence d’échantillonnage pour le groupe d’échantillons B signifie un allègement administratif et des coûts pour les entreprises sans compromettre la sécurité de l’eau destinée à la consommation humaine. Les conditions de réduction de la fréquence prévues par la nouvelle directive sur l’eau potable sont réputées remplies avec la fréquence proposée et que l’analyse des dangers doit tenir compte de toute modification de l’eau brute et du traitement.</w:t>
      </w:r>
    </w:p>
    <w:p w14:paraId="100B7F11" w14:textId="104DD650" w:rsidR="00AD4472" w:rsidRDefault="00AD4472" w:rsidP="0090082F">
      <w:pPr>
        <w:tabs>
          <w:tab w:val="left" w:pos="426"/>
        </w:tabs>
      </w:pPr>
    </w:p>
    <w:p w14:paraId="15236C5E" w14:textId="27DA42D6" w:rsidR="0026424C" w:rsidRDefault="00E7195D" w:rsidP="0090082F">
      <w:pPr>
        <w:tabs>
          <w:tab w:val="left" w:pos="426"/>
        </w:tabs>
        <w:rPr>
          <w:i/>
        </w:rPr>
      </w:pPr>
      <w:r>
        <w:rPr>
          <w:i/>
        </w:rPr>
        <w:t>Eau destinée à la consommation humaine mises en bouteilles ou en récipients</w:t>
      </w:r>
    </w:p>
    <w:p w14:paraId="578CA54C" w14:textId="4E968BB6" w:rsidR="0026424C" w:rsidRDefault="0026424C" w:rsidP="0090082F">
      <w:pPr>
        <w:tabs>
          <w:tab w:val="left" w:pos="426"/>
        </w:tabs>
      </w:pPr>
      <w:r>
        <w:t>Parallèlement à la révision de SLVFS 2001:30 en 2021 (le règlement modificatif LIVSFS 2021:10), un tableau avec des fréquences minimales pour la surveillance de l’eau potable mise dans des bouteilles ou des conteneurs a été réintroduit pour répondre à toutes les exigences de l’E-DWD. Le tableau est transféré inchangé au nouveau règlement sur l’eau potable.</w:t>
      </w:r>
    </w:p>
    <w:p w14:paraId="7A4D851F" w14:textId="77777777" w:rsidR="0026424C" w:rsidRPr="0026424C" w:rsidRDefault="0026424C" w:rsidP="0090082F">
      <w:pPr>
        <w:tabs>
          <w:tab w:val="left" w:pos="426"/>
        </w:tabs>
      </w:pPr>
    </w:p>
    <w:p w14:paraId="70D95D3C" w14:textId="0631ACA4" w:rsidR="004745F1" w:rsidRDefault="004F0069" w:rsidP="0090082F">
      <w:pPr>
        <w:tabs>
          <w:tab w:val="left" w:pos="426"/>
        </w:tabs>
        <w:rPr>
          <w:i/>
        </w:rPr>
      </w:pPr>
      <w:r>
        <w:rPr>
          <w:i/>
        </w:rPr>
        <w:t>Augmentation ou réduction de la fréquence d’échantillonnage et extension ou réduction du nombre de paramètres</w:t>
      </w:r>
    </w:p>
    <w:p w14:paraId="2FF135C8" w14:textId="2C44436D" w:rsidR="00AD4472" w:rsidRDefault="00AD4472" w:rsidP="0090082F">
      <w:pPr>
        <w:tabs>
          <w:tab w:val="left" w:pos="426"/>
        </w:tabs>
      </w:pPr>
      <w:r>
        <w:t>La possibilité de réduire le nombre de paramètres ou de réduire la fréquence d’échantillonnage ainsi que des exigences relatives à l’augmentation des paramètres ou à l’augmentation de la fréquence d’échantillonnage ont été introduites dans SLVFS 2001:30 dans le cadre de la transposition de la directive (UE) 2015/1787 de la Commission (règlement modificatif LIVSFS 2017:2). Ces possibilités et exigences sont globalement similaires dans la nouvelle directive sur l’eau potable, raison pour laquelle aucune modification majeure n’a été apportée. Étant donné que l’eau brute est incluse de manière plus claire dans le nouveau règlement sur l’eau potable, la fréquence et les paramètres de l’eau brute sont également inclus lorsqu’il s’agit d’augmenter le nombre de paramètres ou d’augmenter la fréquence d’échantillonnage en raison des résultats de l’analyse des dangers. Le programme de suivi est également étendu si des substances figurant sur la liste de surveillance, qui doivent être incluses dans l’évaluation des risques du bassin versant, sont constatées à des concentrations supérieures aux valeurs indicatives disponibles.</w:t>
      </w:r>
    </w:p>
    <w:p w14:paraId="7908B790" w14:textId="5D6E4B1C" w:rsidR="00466C69" w:rsidRDefault="00466C69" w:rsidP="0090082F">
      <w:pPr>
        <w:tabs>
          <w:tab w:val="left" w:pos="426"/>
        </w:tabs>
      </w:pPr>
    </w:p>
    <w:p w14:paraId="420C7AD8" w14:textId="6F47FECC" w:rsidR="00662A52" w:rsidRDefault="00E51F53" w:rsidP="0090082F">
      <w:pPr>
        <w:tabs>
          <w:tab w:val="left" w:pos="426"/>
        </w:tabs>
      </w:pPr>
      <w:r>
        <w:lastRenderedPageBreak/>
        <w:t>Il ne sera pas possible pour les APC de réduire leur surveillance, que ce soit en termes de paramètres ou de fréquence, à l’exception d’une réduction du nombre de paramètres pour les substances radioactives résultant d’une option de dérogation dans E-DWD. Ces installations ne sont pas couvertes par l’article 9, paragraphe 4, de la nouvelle directive sur l’eau potable, lorsque la possibilité d’adapter le programme de suivi est prévue. Étant donné qu’il n’est pas permis d’introduire des réglementations nationales moins strictes que la directive, sauf lorsqu’une telle possibilité est expressément prévue, la Suède n’a pas la possibilité d’introduire des règles nationales permettant aux APC de réduire la surveillance des paramètres ou des fréquences. Il en résultera une différence pour les installations de cette catégorie par rapport à la situation actuelle. Le dernier rapport du gouvernement à l’Agence suédoise de l’alimentation montre qu’une dérogation pour un ou plusieurs paramètres a été accordée pour environ 100 installations produisant ou fournissant moins de 10 m</w:t>
      </w:r>
      <w:r>
        <w:rPr>
          <w:vertAlign w:val="superscript"/>
        </w:rPr>
        <w:t>3</w:t>
      </w:r>
      <w:r>
        <w:t xml:space="preserve"> d’eau destinée à la consommation humaine par jour. Des dérogations similaires ont été accordées pour plus de 70 installations des autres catégories de taille. Cependant, il y a un peu moins de 3000 installations dans la catégorie de taille &lt;10 m</w:t>
      </w:r>
      <w:r>
        <w:rPr>
          <w:vertAlign w:val="superscript"/>
        </w:rPr>
        <w:t>3</w:t>
      </w:r>
      <w:r>
        <w:t xml:space="preserve"> d’ eau potable/jour, ce qui signifie que l’option de dérogation a été utilisée par moins de 1 % de ces installations. Dans l’ensemble, cela signifie que la conséquence de la disparition de la possibilité d’APC est jugée marginale au niveau national. </w:t>
      </w:r>
    </w:p>
    <w:p w14:paraId="2334E697" w14:textId="77777777" w:rsidR="004745F1" w:rsidRPr="004745F1" w:rsidRDefault="004745F1" w:rsidP="0090082F">
      <w:pPr>
        <w:tabs>
          <w:tab w:val="left" w:pos="426"/>
        </w:tabs>
      </w:pPr>
    </w:p>
    <w:p w14:paraId="5DDF3041" w14:textId="32670B46" w:rsidR="004745F1" w:rsidRPr="004745F1" w:rsidRDefault="004745F1" w:rsidP="0090082F">
      <w:pPr>
        <w:tabs>
          <w:tab w:val="left" w:pos="426"/>
        </w:tabs>
        <w:rPr>
          <w:i/>
        </w:rPr>
      </w:pPr>
      <w:r>
        <w:rPr>
          <w:i/>
        </w:rPr>
        <w:t>Suivi de la dose indicative</w:t>
      </w:r>
    </w:p>
    <w:p w14:paraId="786B5BC9" w14:textId="730EA9D3" w:rsidR="0090082F" w:rsidRDefault="0090082F" w:rsidP="0090082F">
      <w:pPr>
        <w:tabs>
          <w:tab w:val="left" w:pos="426"/>
        </w:tabs>
      </w:pPr>
      <w:r>
        <w:t>L’annexe indique comment la surveillance de la dose indicative doit être effectuée si la valeur de l’activité alpha totale, de l’activité bêta totale ou du tritium a été dépassée. Dans SLVFS 2001:30, la formule de calcul de l’indice de la dose indicative a été incluse. L’évaluation de l’Agence suédoise de l’alimentation est que le calcul des indices n’a pas besoin d’être inclus dans le règlement pour satisfaire aux exigences de l’E-DWD. Cette question a également fait l’objet d’une discussion avec l’autorité suédoise de sûreté radiologique, qui soutient également le raisonnement. À la suite d’un contact avec des laboratoires et des producteurs d’eau destinée à la consommation humaine, il est également apparu que le calcul de l’indice n’a pas lieu et que la dose indicative est calculée directement. Par conséquent, l’Agence suédoise de l’alimentation estime qu’il n’est pas nécessaire d’inclure le calcul des indices dans le règlement.</w:t>
      </w:r>
    </w:p>
    <w:p w14:paraId="1F0A4530" w14:textId="074E9D4C" w:rsidR="0090082F" w:rsidRDefault="0090082F" w:rsidP="005A0FB3">
      <w:pPr>
        <w:tabs>
          <w:tab w:val="left" w:pos="426"/>
        </w:tabs>
        <w:rPr>
          <w:i/>
        </w:rPr>
      </w:pPr>
    </w:p>
    <w:p w14:paraId="7922FE0E" w14:textId="50882614" w:rsidR="00CF1E56" w:rsidRPr="00CF1E56" w:rsidRDefault="0090082F" w:rsidP="00C46A97">
      <w:pPr>
        <w:pStyle w:val="Heading3"/>
      </w:pPr>
      <w:r>
        <w:t>Annexe 4</w:t>
      </w:r>
    </w:p>
    <w:p w14:paraId="439AD6AE" w14:textId="1E4889A0" w:rsidR="00F616E4" w:rsidRDefault="00AD4472" w:rsidP="00AD4472">
      <w:r>
        <w:t xml:space="preserve">La nouvelle directive sur l’eau potable définit les mêmes méthodes d’analyse pour les paramètres microbiologiques que dans l’ancienne directive sur l’eau potable. Pour cette raison, le nouveau règlement sur l’eau potable introduit ces méthodes d’analyse ainsi que les méthodes alternatives déjà acceptées par l’Agence suédoise de l’alimentation. Les méthodes alternatives s’appliquent à l’analyse des bactéries coliformes et de l’E. coli, où la méthode SS 02 81 67 peut également être utilisée, ainsi que des méthodes d’analyse spécifiées pour les paramètres nationaux actinomycètes, bactéries à croissance lente et micromycètes. </w:t>
      </w:r>
    </w:p>
    <w:p w14:paraId="2C0631A8" w14:textId="654DDB44" w:rsidR="00E13C66" w:rsidRPr="00097E8D" w:rsidRDefault="00AD4472">
      <w:r>
        <w:t xml:space="preserve"> </w:t>
      </w:r>
    </w:p>
    <w:p w14:paraId="45B05C19" w14:textId="0505010E" w:rsidR="00CF1E56" w:rsidRDefault="0090082F" w:rsidP="00C46A97">
      <w:pPr>
        <w:pStyle w:val="Heading3"/>
      </w:pPr>
      <w:r>
        <w:lastRenderedPageBreak/>
        <w:t>Annexe 5</w:t>
      </w:r>
    </w:p>
    <w:p w14:paraId="28C1DA59" w14:textId="5583A737" w:rsidR="00530BA7" w:rsidRDefault="00451D8A" w:rsidP="00451D8A">
      <w:r>
        <w:t xml:space="preserve">L’annexe énonce les renseignements qui doivent être mis à la disposition du public conformément aux sections 34 et 35. </w:t>
      </w:r>
    </w:p>
    <w:p w14:paraId="716382EC" w14:textId="77777777" w:rsidR="00530BA7" w:rsidRDefault="00530BA7" w:rsidP="00451D8A"/>
    <w:p w14:paraId="0ED3DAD8" w14:textId="1C74B3CE" w:rsidR="00D87B37" w:rsidRDefault="00D87B37" w:rsidP="003817F2">
      <w:r>
        <w:t>Les informations visées à la section A sont fournies par le producteur ou le fournisseur d’eau destinée à la consommation humaine. Les informations à mettre à disposition sont, entre autres, la surveillance des résultats au point d’échantillonnage de l’eau potable chez le consommateur pour les paramètres énoncés à l’annexe 1. Les résultats ne doivent pas avoir plus d’un an, sauf si la fréquence d’échantillonnage adoptée indique que la surveillance est effectuée moins d’une fois par an. La nouvelle directive sur l’eau potable exprime cette exigence d’une manière quelque peu contradictoire en indiquant que les résultats les plus récents doivent être mis à disposition, tout en précisant que les résultats ne doivent pas dépasser un an, sauf dans les cas où la fréquence de la surveillance est moins fréquente. La nouvelle directive sur l’eau potable prévoit l’information du public sur la qualité de l’eau destinée à la consommation humaine afin de renforcer la confiance du public dans l’eau qui lui est fournie et dans les services liés à l’eau en général. Le libellé de l’annexe vise à ce que les opérateurs qui surveillent chaque semaine ou plusieurs fois par mois ne soient pas tenus de mettre à jour les informations à chaque échantillonnage effectué. Cela signifierait que certains opérateurs devraient passer beaucoup de temps à tenir leurs données à jour, ce qui imposerait une lourde charge administrative à l’opérateur. L’Agence suédoise de l’alimentation estime que c’est la qualité moyenne de l’eau destinée à la consommation humaine qui intéresse le consommateur et que le libellé de la proposition ne contredit pas l’objectif de la directive sans imposer une charge déraisonnable à l’opérateur.</w:t>
      </w:r>
    </w:p>
    <w:p w14:paraId="25DCD570" w14:textId="51565CC0" w:rsidR="005D49C1" w:rsidRDefault="005D49C1" w:rsidP="00451D8A"/>
    <w:p w14:paraId="1FC7BE5D" w14:textId="1FDBAE32" w:rsidR="00D87B37" w:rsidRDefault="005D49C1" w:rsidP="00451D8A">
      <w:r>
        <w:t xml:space="preserve">Conformément à l’annexe, des informations pertinentes sur l’analyse des dangers doivent également être fournies. Ces informations doivent être rédigées </w:t>
      </w:r>
      <w:proofErr w:type="gramStart"/>
      <w:r>
        <w:t>de manière à ce</w:t>
      </w:r>
      <w:proofErr w:type="gramEnd"/>
      <w:r>
        <w:t xml:space="preserve"> qu’aucune information sensible ne soit divulguée. Plus d’informations sur ce qu’il peut être pertinent d’inclure dans les informations destinées aux consommateurs seront décrites dans </w:t>
      </w:r>
      <w:proofErr w:type="spellStart"/>
      <w:r>
        <w:t>Kontrollwiki</w:t>
      </w:r>
      <w:proofErr w:type="spellEnd"/>
      <w:r>
        <w:t>.</w:t>
      </w:r>
    </w:p>
    <w:p w14:paraId="478BE84E" w14:textId="0CC13B02" w:rsidR="00DB687D" w:rsidRDefault="00DB687D" w:rsidP="00451D8A"/>
    <w:p w14:paraId="6C016157" w14:textId="2FE6BD4D" w:rsidR="00DB687D" w:rsidRPr="00451D8A" w:rsidRDefault="00DB687D" w:rsidP="00451D8A">
      <w:r>
        <w:t>Les informations visées à la section B sont fournies par le fournisseur d’eau destinée à la consommation humaine aux résidences permanentes et secondaires.</w:t>
      </w:r>
    </w:p>
    <w:p w14:paraId="7A7A425E" w14:textId="63B7582C" w:rsidR="008874B1" w:rsidRDefault="008874B1" w:rsidP="00990058">
      <w:pPr>
        <w:tabs>
          <w:tab w:val="left" w:pos="426"/>
        </w:tabs>
      </w:pPr>
    </w:p>
    <w:p w14:paraId="64F5A4A5" w14:textId="77481E0F" w:rsidR="008874B1" w:rsidRDefault="008874B1" w:rsidP="008874B1">
      <w:pPr>
        <w:pStyle w:val="Heading3"/>
      </w:pPr>
      <w:r>
        <w:t>Réglementation nationale des PFAS dans les eaux destinées à la consommation humaine</w:t>
      </w:r>
    </w:p>
    <w:p w14:paraId="32967EB2" w14:textId="61B2DE26" w:rsidR="00DE3C19" w:rsidRDefault="00DE3C19" w:rsidP="00DE3C19">
      <w:r>
        <w:t xml:space="preserve">La nouvelle directive sur l’eau potable contient les paramètres </w:t>
      </w:r>
      <w:r>
        <w:rPr>
          <w:i/>
        </w:rPr>
        <w:t>Somme de PFAS</w:t>
      </w:r>
      <w:r>
        <w:t xml:space="preserve"> et </w:t>
      </w:r>
      <w:r>
        <w:rPr>
          <w:i/>
        </w:rPr>
        <w:t>Total PFAS</w:t>
      </w:r>
      <w:r>
        <w:t xml:space="preserve"> avec des valeurs paramétriques respectivement 100 </w:t>
      </w:r>
      <w:proofErr w:type="spellStart"/>
      <w:r>
        <w:t>ng</w:t>
      </w:r>
      <w:proofErr w:type="spellEnd"/>
      <w:r>
        <w:t xml:space="preserve">/l et 500 </w:t>
      </w:r>
      <w:proofErr w:type="spellStart"/>
      <w:r>
        <w:t>ng</w:t>
      </w:r>
      <w:proofErr w:type="spellEnd"/>
      <w:r>
        <w:t xml:space="preserve">/l. La somme des PFAS comprend 20 substances PFAS différentes et le paramètre est surveillé au point d’échantillonnage de l’eau potable chez le consommateur, si l’évaluation des risques du bassin versant révèle que les substances sont susceptibles d’être présentes dans une source d’eau donnée. Cela signifie que les APC et les exploitants qui mettent de l’eau </w:t>
      </w:r>
      <w:r>
        <w:lastRenderedPageBreak/>
        <w:t xml:space="preserve">destinée à la consommation humaine dans des bouteilles ou des récipients n’ont pas à surveiller les PFAS dans l’eau destinée à la consommation humaine, puisque ces installations ne sont pas assujetties aux exigences d’analyse des dangers prévues à la section 11 du nouveau règlement sur l’eau potable. Le paramètre Total PFAS dans la directive sur l’eau potable fait référence à «la somme des substances alkylées per- et </w:t>
      </w:r>
      <w:proofErr w:type="spellStart"/>
      <w:r>
        <w:t>polyfluorées</w:t>
      </w:r>
      <w:proofErr w:type="spellEnd"/>
      <w:r>
        <w:t>». La valeur paramétrique pour Total PFAS ne doit être appliquée que lorsque des lignes directrices techniques pour la surveillance du paramètre ont été élaborées conformément aux exigences énoncées dans la nouvelle directive sur l’eau potable. La Commission élabore les présentes lignes directrices techniques au plus tard le 12 janvier 2024. Les États membres peuvent alors décider d’utiliser l’un ou l’autre des paramètres Total PFAS et Somme des PFAS. L’Agence suédoise de l’alimentation a actuellement l’intention de réglementer uniquement le paramètre Somme des PFAS, car il n’y a pas actuellement de base suffisante pour réguler le paramètre Total PFAS.</w:t>
      </w:r>
    </w:p>
    <w:p w14:paraId="52873221" w14:textId="77777777" w:rsidR="00DE3C19" w:rsidRDefault="00DE3C19" w:rsidP="00DE3C19"/>
    <w:p w14:paraId="5B0840E4" w14:textId="622C0675" w:rsidR="008874B1" w:rsidRDefault="00DE3C19" w:rsidP="00DE3C19">
      <w:r>
        <w:t xml:space="preserve">La Suède est depuis longtemps à l’avant-garde en ce qui concerne les SPFA dans les eaux destinées à la consommation humaine. L’Agence suédoise de l’alimentation a, depuis 2014, une limite d’action recommandée qui précise lorsqu’elle considère que les concentrations de PFAS dans l’eau destinée à la consommation humaine doivent être corrigées. La limite d’action couvre 11 substances PFAS différentes d’une valeur de 90 </w:t>
      </w:r>
      <w:proofErr w:type="spellStart"/>
      <w:r>
        <w:t>ng</w:t>
      </w:r>
      <w:proofErr w:type="spellEnd"/>
      <w:r>
        <w:t xml:space="preserve">/l. La limite d’action est fondée sur les évaluations des risques du SPFO et de l’APFO effectuées en 2008 par l’Autorité européenne de sécurité des aliments (EFSA). En septembre 2020, l’EFSA a publié une nouvelle évaluation des risques liés aux SPFA et a élaboré une dose hebdomadaire tolérable (TWI, 4,4 </w:t>
      </w:r>
      <w:proofErr w:type="spellStart"/>
      <w:r>
        <w:t>ng</w:t>
      </w:r>
      <w:proofErr w:type="spellEnd"/>
      <w:r>
        <w:t xml:space="preserve">/kg de poids corporel et par jour) couvrant quatre substances différentes — le SPFO, l’APFO, le PFNA et le </w:t>
      </w:r>
      <w:proofErr w:type="spellStart"/>
      <w:r>
        <w:t>PFHxS</w:t>
      </w:r>
      <w:proofErr w:type="spellEnd"/>
      <w:r>
        <w:t xml:space="preserve"> — toutes incluses dans la limite d’action suédoise. La valeur paramétrique de la nouvelle directive sur l’eau potable pour PFAS 20 est de 100 </w:t>
      </w:r>
      <w:proofErr w:type="spellStart"/>
      <w:r>
        <w:t>ng</w:t>
      </w:r>
      <w:proofErr w:type="spellEnd"/>
      <w:r>
        <w:t xml:space="preserve">/l et couvre tous les PFAS dans la limite d’action de l’Agence suédoise de l’alimentation, à l’exception de 6:2 FTS. Sur la base de l’avis de l’EFSA, il est difficile de considérer que l’eau destinée à la consommation humaine contenant 100 </w:t>
      </w:r>
      <w:proofErr w:type="spellStart"/>
      <w:r>
        <w:t>ng</w:t>
      </w:r>
      <w:proofErr w:type="spellEnd"/>
      <w:r>
        <w:t xml:space="preserve"> de PFAS/l est sûre. Par conséquent, l’Agence suédoise de l’alimentation estime qu’il est justifié d’introduire une limite nationale plus stricte pour les PFAS que ne l’indique la directive.</w:t>
      </w:r>
    </w:p>
    <w:p w14:paraId="243DFA3B" w14:textId="12A9A9B9" w:rsidR="00DE3C19" w:rsidRDefault="00DE3C19" w:rsidP="00DE3C19"/>
    <w:p w14:paraId="11E0C998" w14:textId="77777777" w:rsidR="00BA14FF" w:rsidRDefault="00BA14FF" w:rsidP="00DE3C19"/>
    <w:p w14:paraId="7A54DAC1" w14:textId="7E6C956E" w:rsidR="008874B1" w:rsidRDefault="008874B1" w:rsidP="008874B1">
      <w:pPr>
        <w:rPr>
          <w:i/>
        </w:rPr>
      </w:pPr>
      <w:r>
        <w:rPr>
          <w:i/>
        </w:rPr>
        <w:t>Évaluation des risques par l’Agence suédoise de l’alimentation</w:t>
      </w:r>
    </w:p>
    <w:p w14:paraId="6BDE630D" w14:textId="77777777" w:rsidR="00EF5962" w:rsidRDefault="008874B1" w:rsidP="0014308A">
      <w:r>
        <w:t>Dans l’évaluation des risques de SPFA dans l’eau destinée à la consommation humaine par l’Agence suédoise de l’alimentation</w:t>
      </w:r>
      <w:r w:rsidR="00BA2FB2">
        <w:rPr>
          <w:rStyle w:val="FootnoteReference"/>
        </w:rPr>
        <w:footnoteReference w:id="2"/>
      </w:r>
      <w:r>
        <w:t xml:space="preserve">, sur la base du nouveau DHT de l’EFSA, des calculs de l’apport ont été effectués sur la base des données de concentration des PFAS de </w:t>
      </w:r>
      <w:proofErr w:type="spellStart"/>
      <w:r>
        <w:t>Matkorgen</w:t>
      </w:r>
      <w:proofErr w:type="spellEnd"/>
      <w:r>
        <w:t xml:space="preserve"> 2015 et des données de consommation des enquêtes nationales de l’Agence suédoise de l’alimentation sur les habitudes alimentaires, ainsi que des enquêtes sur </w:t>
      </w:r>
      <w:r>
        <w:lastRenderedPageBreak/>
        <w:t xml:space="preserve">l’alimentation des enfants </w:t>
      </w:r>
      <w:proofErr w:type="spellStart"/>
      <w:r>
        <w:t>Riksmaten</w:t>
      </w:r>
      <w:proofErr w:type="spellEnd"/>
      <w:r>
        <w:t xml:space="preserve"> 2003 et adultes </w:t>
      </w:r>
      <w:proofErr w:type="spellStart"/>
      <w:r>
        <w:t>Riksmaten</w:t>
      </w:r>
      <w:proofErr w:type="spellEnd"/>
      <w:r>
        <w:t xml:space="preserve"> 2010-2011. Ces données posent certaines incertitudes, car les niveaux sont susceptibles de changer au fil du temps. Pour les données relatives à la consommation d’eau destinée à la consommation humaine pour différents groupes d’âge, les valeurs standard de 2017 de l’EFSA ont été utilisées. Les calculs des valeurs directrices pour les PFAS dans l’eau destinée à la consommation humaine ont été effectués sur la base du DHT de l’EFSA pour quatre substances PFAS et en tenant compte de la contribution de l’alimentation. Le DHT de l’EFSA contient des incertitudes, qui sont décrites plus en détail dans l’évaluation des risques de PFAS de l’Agence suédoise de l’alimentation dans l’eau destinée à la consommation humaine, qui peut être consultée dans son intégralité sur le site web de l’Agence suédoise de l’alimentation. L’évaluation des risques fournit des valeurs d’orientation pour les PFAS 4 dans l’eau destinée à la consommation humaine, calculées à partir du tableau 1 du DHT de l’EFSA.</w:t>
      </w:r>
    </w:p>
    <w:p w14:paraId="34138A39" w14:textId="77777777" w:rsidR="00EF5962" w:rsidRDefault="00EF5962" w:rsidP="0014308A"/>
    <w:p w14:paraId="4A8EA900" w14:textId="07286767" w:rsidR="008874B1" w:rsidRPr="00EF5962" w:rsidRDefault="008874B1" w:rsidP="0014308A">
      <w:r>
        <w:rPr>
          <w:b/>
        </w:rPr>
        <w:t>Tableau 1.</w:t>
      </w:r>
      <w:r>
        <w:t xml:space="preserve"> Les valeurs directrices pour la concentration de PFAS 4 dans l’eau destinée à la consommation humaine, calculées sur la base du DHT de l’EFSA, des âges différents et des valeurs standard pour la consommation d’eau potable, ainsi que la déduction de la contribution du PFAS 4 de l’alimentation.</w:t>
      </w:r>
    </w:p>
    <w:tbl>
      <w:tblPr>
        <w:tblStyle w:val="TableGrid"/>
        <w:tblW w:w="9640" w:type="dxa"/>
        <w:tblInd w:w="-851"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51"/>
        <w:gridCol w:w="1559"/>
        <w:gridCol w:w="1134"/>
        <w:gridCol w:w="1417"/>
        <w:gridCol w:w="1560"/>
        <w:gridCol w:w="1559"/>
      </w:tblGrid>
      <w:tr w:rsidR="008874B1" w14:paraId="6ECEB468" w14:textId="77777777" w:rsidTr="004A64C1">
        <w:tc>
          <w:tcPr>
            <w:tcW w:w="1560" w:type="dxa"/>
            <w:tcBorders>
              <w:top w:val="single" w:sz="8" w:space="0" w:color="auto"/>
              <w:bottom w:val="nil"/>
            </w:tcBorders>
            <w:vAlign w:val="bottom"/>
          </w:tcPr>
          <w:p w14:paraId="5DF63612" w14:textId="77777777" w:rsidR="008874B1" w:rsidRPr="00D429D0" w:rsidRDefault="008874B1" w:rsidP="001042B4">
            <w:pPr>
              <w:pStyle w:val="BodyText"/>
              <w:rPr>
                <w:sz w:val="20"/>
                <w:szCs w:val="20"/>
              </w:rPr>
            </w:pPr>
            <w:r>
              <w:rPr>
                <w:sz w:val="20"/>
              </w:rPr>
              <w:t>Groupe de population</w:t>
            </w:r>
          </w:p>
        </w:tc>
        <w:tc>
          <w:tcPr>
            <w:tcW w:w="851" w:type="dxa"/>
            <w:tcBorders>
              <w:top w:val="single" w:sz="8" w:space="0" w:color="auto"/>
              <w:bottom w:val="nil"/>
            </w:tcBorders>
            <w:vAlign w:val="bottom"/>
          </w:tcPr>
          <w:p w14:paraId="49853EE8" w14:textId="77777777" w:rsidR="008874B1" w:rsidRPr="00D429D0" w:rsidRDefault="008874B1" w:rsidP="001042B4">
            <w:pPr>
              <w:pStyle w:val="BodyText"/>
              <w:rPr>
                <w:sz w:val="20"/>
                <w:szCs w:val="20"/>
                <w:vertAlign w:val="superscript"/>
              </w:rPr>
            </w:pPr>
            <w:r>
              <w:rPr>
                <w:sz w:val="20"/>
              </w:rPr>
              <w:t>Poids</w:t>
            </w:r>
          </w:p>
        </w:tc>
        <w:tc>
          <w:tcPr>
            <w:tcW w:w="1559" w:type="dxa"/>
            <w:tcBorders>
              <w:top w:val="single" w:sz="8" w:space="0" w:color="auto"/>
              <w:bottom w:val="nil"/>
            </w:tcBorders>
            <w:vAlign w:val="bottom"/>
          </w:tcPr>
          <w:p w14:paraId="17CB397A" w14:textId="77777777" w:rsidR="008874B1" w:rsidRPr="00D429D0" w:rsidRDefault="008874B1" w:rsidP="001042B4">
            <w:pPr>
              <w:pStyle w:val="BodyText"/>
              <w:rPr>
                <w:sz w:val="20"/>
                <w:szCs w:val="20"/>
                <w:vertAlign w:val="superscript"/>
              </w:rPr>
            </w:pPr>
            <w:proofErr w:type="spellStart"/>
            <w:r>
              <w:rPr>
                <w:sz w:val="20"/>
              </w:rPr>
              <w:t>Consommation</w:t>
            </w:r>
            <w:r>
              <w:rPr>
                <w:sz w:val="20"/>
                <w:vertAlign w:val="superscript"/>
              </w:rPr>
              <w:t>a</w:t>
            </w:r>
            <w:proofErr w:type="spellEnd"/>
            <w:r>
              <w:rPr>
                <w:sz w:val="20"/>
                <w:vertAlign w:val="superscript"/>
              </w:rPr>
              <w:t xml:space="preserve"> </w:t>
            </w:r>
          </w:p>
        </w:tc>
        <w:tc>
          <w:tcPr>
            <w:tcW w:w="1134" w:type="dxa"/>
            <w:tcBorders>
              <w:top w:val="single" w:sz="8" w:space="0" w:color="auto"/>
              <w:bottom w:val="nil"/>
            </w:tcBorders>
          </w:tcPr>
          <w:p w14:paraId="6A68C613" w14:textId="77777777" w:rsidR="008874B1" w:rsidRPr="00D429D0" w:rsidRDefault="008874B1" w:rsidP="001042B4">
            <w:pPr>
              <w:pStyle w:val="BodyText"/>
              <w:rPr>
                <w:sz w:val="20"/>
                <w:szCs w:val="20"/>
                <w:vertAlign w:val="superscript"/>
              </w:rPr>
            </w:pPr>
            <w:r>
              <w:rPr>
                <w:sz w:val="20"/>
              </w:rPr>
              <w:t>Valeur de la ligne directrice</w:t>
            </w:r>
          </w:p>
          <w:p w14:paraId="5083AF0D" w14:textId="77777777" w:rsidR="008874B1" w:rsidRPr="00D429D0" w:rsidRDefault="008874B1" w:rsidP="001042B4">
            <w:pPr>
              <w:pStyle w:val="BodyText"/>
              <w:rPr>
                <w:sz w:val="20"/>
                <w:szCs w:val="20"/>
              </w:rPr>
            </w:pPr>
            <w:r>
              <w:rPr>
                <w:sz w:val="20"/>
              </w:rPr>
              <w:t>Eau potable seulement</w:t>
            </w:r>
          </w:p>
          <w:p w14:paraId="66DF71FE" w14:textId="77777777" w:rsidR="008874B1" w:rsidRPr="00D429D0" w:rsidRDefault="008874B1" w:rsidP="001042B4">
            <w:pPr>
              <w:pStyle w:val="BodyText"/>
              <w:rPr>
                <w:sz w:val="20"/>
                <w:szCs w:val="20"/>
              </w:rPr>
            </w:pPr>
          </w:p>
        </w:tc>
        <w:tc>
          <w:tcPr>
            <w:tcW w:w="1417" w:type="dxa"/>
            <w:tcBorders>
              <w:top w:val="single" w:sz="8" w:space="0" w:color="auto"/>
              <w:bottom w:val="nil"/>
            </w:tcBorders>
          </w:tcPr>
          <w:p w14:paraId="2525092C" w14:textId="77777777" w:rsidR="008874B1" w:rsidRPr="00D429D0" w:rsidRDefault="008874B1" w:rsidP="001042B4">
            <w:pPr>
              <w:pStyle w:val="BodyText"/>
              <w:rPr>
                <w:sz w:val="20"/>
                <w:szCs w:val="20"/>
              </w:rPr>
            </w:pPr>
            <w:r>
              <w:rPr>
                <w:sz w:val="20"/>
              </w:rPr>
              <w:t>Valeur de la ligne directrice</w:t>
            </w:r>
          </w:p>
          <w:p w14:paraId="18DDA60B" w14:textId="77777777" w:rsidR="008874B1" w:rsidRPr="00D429D0" w:rsidRDefault="008874B1" w:rsidP="001042B4">
            <w:pPr>
              <w:pStyle w:val="BodyText"/>
              <w:rPr>
                <w:sz w:val="20"/>
                <w:szCs w:val="20"/>
              </w:rPr>
            </w:pPr>
            <w:r>
              <w:rPr>
                <w:sz w:val="20"/>
              </w:rPr>
              <w:t>Prise en compte de la contribution du régime alimentaire</w:t>
            </w:r>
          </w:p>
          <w:p w14:paraId="0A37AB4C" w14:textId="77777777" w:rsidR="008874B1" w:rsidRPr="00D429D0" w:rsidRDefault="008874B1" w:rsidP="001042B4">
            <w:pPr>
              <w:pStyle w:val="BodyText"/>
              <w:rPr>
                <w:sz w:val="20"/>
                <w:szCs w:val="20"/>
              </w:rPr>
            </w:pPr>
            <w:r>
              <w:rPr>
                <w:sz w:val="20"/>
              </w:rPr>
              <w:t>Médiane</w:t>
            </w:r>
          </w:p>
        </w:tc>
        <w:tc>
          <w:tcPr>
            <w:tcW w:w="1560" w:type="dxa"/>
            <w:tcBorders>
              <w:top w:val="single" w:sz="8" w:space="0" w:color="auto"/>
              <w:bottom w:val="nil"/>
            </w:tcBorders>
          </w:tcPr>
          <w:p w14:paraId="14B33809" w14:textId="77777777" w:rsidR="008874B1" w:rsidRPr="00D429D0" w:rsidRDefault="008874B1" w:rsidP="001042B4">
            <w:pPr>
              <w:pStyle w:val="BodyText"/>
              <w:rPr>
                <w:sz w:val="20"/>
                <w:szCs w:val="20"/>
              </w:rPr>
            </w:pPr>
            <w:r>
              <w:rPr>
                <w:sz w:val="20"/>
              </w:rPr>
              <w:t>Valeur de la ligne directrice</w:t>
            </w:r>
          </w:p>
          <w:p w14:paraId="3A79784D" w14:textId="77777777" w:rsidR="008874B1" w:rsidRPr="00D429D0" w:rsidRDefault="008874B1" w:rsidP="001042B4">
            <w:pPr>
              <w:pStyle w:val="BodyText"/>
              <w:rPr>
                <w:sz w:val="20"/>
                <w:szCs w:val="20"/>
              </w:rPr>
            </w:pPr>
            <w:r>
              <w:rPr>
                <w:sz w:val="20"/>
              </w:rPr>
              <w:t xml:space="preserve">Prise en compte de la contribution du régime alimentaire </w:t>
            </w:r>
          </w:p>
          <w:p w14:paraId="6109034E" w14:textId="77777777" w:rsidR="008874B1" w:rsidRPr="00D429D0" w:rsidRDefault="008874B1" w:rsidP="001042B4">
            <w:pPr>
              <w:pStyle w:val="BodyText"/>
              <w:rPr>
                <w:sz w:val="20"/>
                <w:szCs w:val="20"/>
              </w:rPr>
            </w:pPr>
            <w:r>
              <w:rPr>
                <w:sz w:val="20"/>
              </w:rPr>
              <w:t>75e percentile</w:t>
            </w:r>
          </w:p>
        </w:tc>
        <w:tc>
          <w:tcPr>
            <w:tcW w:w="1559" w:type="dxa"/>
            <w:tcBorders>
              <w:top w:val="single" w:sz="8" w:space="0" w:color="auto"/>
              <w:bottom w:val="nil"/>
            </w:tcBorders>
          </w:tcPr>
          <w:p w14:paraId="31D09F4E" w14:textId="77777777" w:rsidR="008874B1" w:rsidRPr="00D429D0" w:rsidRDefault="008874B1" w:rsidP="001042B4">
            <w:pPr>
              <w:pStyle w:val="BodyText"/>
              <w:rPr>
                <w:sz w:val="20"/>
                <w:szCs w:val="20"/>
              </w:rPr>
            </w:pPr>
            <w:r>
              <w:rPr>
                <w:sz w:val="20"/>
              </w:rPr>
              <w:t>Valeur de la ligne directrice</w:t>
            </w:r>
          </w:p>
          <w:p w14:paraId="2B7C3041" w14:textId="77777777" w:rsidR="008874B1" w:rsidRPr="00D429D0" w:rsidRDefault="008874B1" w:rsidP="001042B4">
            <w:pPr>
              <w:pStyle w:val="BodyText"/>
              <w:rPr>
                <w:sz w:val="20"/>
                <w:szCs w:val="20"/>
              </w:rPr>
            </w:pPr>
            <w:r>
              <w:rPr>
                <w:sz w:val="20"/>
              </w:rPr>
              <w:t xml:space="preserve">Prise en compte de la contribution du régime alimentaire </w:t>
            </w:r>
          </w:p>
          <w:p w14:paraId="5653FAF0" w14:textId="77777777" w:rsidR="008874B1" w:rsidRPr="00D429D0" w:rsidRDefault="008874B1" w:rsidP="001042B4">
            <w:pPr>
              <w:pStyle w:val="BodyText"/>
              <w:rPr>
                <w:sz w:val="20"/>
                <w:szCs w:val="20"/>
              </w:rPr>
            </w:pPr>
            <w:r>
              <w:rPr>
                <w:sz w:val="20"/>
              </w:rPr>
              <w:t>95e percentile</w:t>
            </w:r>
          </w:p>
        </w:tc>
      </w:tr>
      <w:tr w:rsidR="008874B1" w14:paraId="0858D51B" w14:textId="77777777" w:rsidTr="004A64C1">
        <w:tc>
          <w:tcPr>
            <w:tcW w:w="1560" w:type="dxa"/>
            <w:tcBorders>
              <w:top w:val="nil"/>
              <w:bottom w:val="single" w:sz="4" w:space="0" w:color="auto"/>
            </w:tcBorders>
            <w:vAlign w:val="bottom"/>
          </w:tcPr>
          <w:p w14:paraId="0AEBF737" w14:textId="77777777" w:rsidR="008874B1" w:rsidRPr="00D429D0" w:rsidRDefault="008874B1" w:rsidP="001042B4">
            <w:pPr>
              <w:pStyle w:val="BodyText"/>
              <w:rPr>
                <w:sz w:val="20"/>
                <w:szCs w:val="20"/>
              </w:rPr>
            </w:pPr>
          </w:p>
        </w:tc>
        <w:tc>
          <w:tcPr>
            <w:tcW w:w="851" w:type="dxa"/>
            <w:tcBorders>
              <w:top w:val="nil"/>
              <w:bottom w:val="single" w:sz="4" w:space="0" w:color="auto"/>
            </w:tcBorders>
            <w:vAlign w:val="bottom"/>
          </w:tcPr>
          <w:p w14:paraId="1977AF28" w14:textId="77777777" w:rsidR="008874B1" w:rsidRPr="00D429D0" w:rsidRDefault="008874B1" w:rsidP="001042B4">
            <w:pPr>
              <w:pStyle w:val="BodyText"/>
              <w:rPr>
                <w:sz w:val="20"/>
                <w:szCs w:val="20"/>
              </w:rPr>
            </w:pPr>
            <w:r>
              <w:rPr>
                <w:sz w:val="20"/>
              </w:rPr>
              <w:t>kg</w:t>
            </w:r>
          </w:p>
        </w:tc>
        <w:tc>
          <w:tcPr>
            <w:tcW w:w="1559" w:type="dxa"/>
            <w:tcBorders>
              <w:top w:val="nil"/>
              <w:bottom w:val="single" w:sz="4" w:space="0" w:color="auto"/>
            </w:tcBorders>
            <w:vAlign w:val="bottom"/>
          </w:tcPr>
          <w:p w14:paraId="1F875186" w14:textId="77777777" w:rsidR="008874B1" w:rsidRPr="00D429D0" w:rsidRDefault="008874B1" w:rsidP="001042B4">
            <w:pPr>
              <w:pStyle w:val="BodyText"/>
              <w:rPr>
                <w:sz w:val="20"/>
                <w:szCs w:val="20"/>
              </w:rPr>
            </w:pPr>
            <w:r>
              <w:rPr>
                <w:sz w:val="20"/>
              </w:rPr>
              <w:t>L/jour</w:t>
            </w:r>
          </w:p>
        </w:tc>
        <w:tc>
          <w:tcPr>
            <w:tcW w:w="1134" w:type="dxa"/>
            <w:tcBorders>
              <w:top w:val="nil"/>
              <w:bottom w:val="single" w:sz="4" w:space="0" w:color="auto"/>
            </w:tcBorders>
          </w:tcPr>
          <w:p w14:paraId="254F39CE" w14:textId="77777777" w:rsidR="008874B1" w:rsidRPr="00D429D0" w:rsidRDefault="008874B1" w:rsidP="001042B4">
            <w:pPr>
              <w:pStyle w:val="BodyText"/>
              <w:rPr>
                <w:sz w:val="20"/>
                <w:szCs w:val="20"/>
              </w:rPr>
            </w:pPr>
            <w:proofErr w:type="spellStart"/>
            <w:r>
              <w:rPr>
                <w:sz w:val="20"/>
              </w:rPr>
              <w:t>ng</w:t>
            </w:r>
            <w:proofErr w:type="spellEnd"/>
            <w:r>
              <w:rPr>
                <w:sz w:val="20"/>
              </w:rPr>
              <w:t>/L</w:t>
            </w:r>
          </w:p>
        </w:tc>
        <w:tc>
          <w:tcPr>
            <w:tcW w:w="1417" w:type="dxa"/>
            <w:tcBorders>
              <w:top w:val="nil"/>
              <w:bottom w:val="single" w:sz="4" w:space="0" w:color="auto"/>
            </w:tcBorders>
          </w:tcPr>
          <w:p w14:paraId="6B69492F" w14:textId="77777777" w:rsidR="008874B1" w:rsidRPr="00D429D0" w:rsidRDefault="008874B1" w:rsidP="001042B4">
            <w:pPr>
              <w:pStyle w:val="BodyText"/>
              <w:rPr>
                <w:sz w:val="20"/>
                <w:szCs w:val="20"/>
              </w:rPr>
            </w:pPr>
            <w:proofErr w:type="spellStart"/>
            <w:r>
              <w:rPr>
                <w:sz w:val="20"/>
              </w:rPr>
              <w:t>ng</w:t>
            </w:r>
            <w:proofErr w:type="spellEnd"/>
            <w:r>
              <w:rPr>
                <w:sz w:val="20"/>
              </w:rPr>
              <w:t>/L</w:t>
            </w:r>
          </w:p>
        </w:tc>
        <w:tc>
          <w:tcPr>
            <w:tcW w:w="1560" w:type="dxa"/>
            <w:tcBorders>
              <w:top w:val="nil"/>
              <w:bottom w:val="single" w:sz="4" w:space="0" w:color="auto"/>
            </w:tcBorders>
          </w:tcPr>
          <w:p w14:paraId="41297680" w14:textId="77777777" w:rsidR="008874B1" w:rsidRPr="00D429D0" w:rsidRDefault="008874B1" w:rsidP="001042B4">
            <w:pPr>
              <w:pStyle w:val="BodyText"/>
              <w:rPr>
                <w:sz w:val="20"/>
                <w:szCs w:val="20"/>
              </w:rPr>
            </w:pPr>
            <w:proofErr w:type="spellStart"/>
            <w:r>
              <w:rPr>
                <w:sz w:val="20"/>
              </w:rPr>
              <w:t>ng</w:t>
            </w:r>
            <w:proofErr w:type="spellEnd"/>
            <w:r>
              <w:rPr>
                <w:sz w:val="20"/>
              </w:rPr>
              <w:t>/L</w:t>
            </w:r>
          </w:p>
        </w:tc>
        <w:tc>
          <w:tcPr>
            <w:tcW w:w="1559" w:type="dxa"/>
            <w:tcBorders>
              <w:top w:val="nil"/>
              <w:bottom w:val="single" w:sz="4" w:space="0" w:color="auto"/>
            </w:tcBorders>
          </w:tcPr>
          <w:p w14:paraId="6EB3F206" w14:textId="77777777" w:rsidR="008874B1" w:rsidRPr="00D429D0" w:rsidRDefault="008874B1" w:rsidP="001042B4">
            <w:pPr>
              <w:pStyle w:val="BodyText"/>
              <w:rPr>
                <w:sz w:val="20"/>
                <w:szCs w:val="20"/>
              </w:rPr>
            </w:pPr>
            <w:proofErr w:type="spellStart"/>
            <w:r>
              <w:rPr>
                <w:sz w:val="20"/>
              </w:rPr>
              <w:t>ng</w:t>
            </w:r>
            <w:proofErr w:type="spellEnd"/>
            <w:r>
              <w:rPr>
                <w:sz w:val="20"/>
              </w:rPr>
              <w:t>/L</w:t>
            </w:r>
          </w:p>
        </w:tc>
      </w:tr>
      <w:tr w:rsidR="008874B1" w14:paraId="0967408A" w14:textId="77777777" w:rsidTr="004A64C1">
        <w:trPr>
          <w:trHeight w:val="340"/>
        </w:trPr>
        <w:tc>
          <w:tcPr>
            <w:tcW w:w="1560" w:type="dxa"/>
            <w:tcBorders>
              <w:top w:val="single" w:sz="4" w:space="0" w:color="auto"/>
            </w:tcBorders>
            <w:vAlign w:val="center"/>
          </w:tcPr>
          <w:p w14:paraId="52F42946" w14:textId="77777777" w:rsidR="008874B1" w:rsidRPr="00D429D0" w:rsidRDefault="008874B1" w:rsidP="001042B4">
            <w:pPr>
              <w:pStyle w:val="BodyText"/>
              <w:rPr>
                <w:sz w:val="20"/>
                <w:szCs w:val="20"/>
              </w:rPr>
            </w:pPr>
            <w:r>
              <w:rPr>
                <w:sz w:val="20"/>
              </w:rPr>
              <w:t>Enfants de 4 ans</w:t>
            </w:r>
          </w:p>
        </w:tc>
        <w:tc>
          <w:tcPr>
            <w:tcW w:w="851" w:type="dxa"/>
            <w:tcBorders>
              <w:top w:val="single" w:sz="4" w:space="0" w:color="auto"/>
            </w:tcBorders>
            <w:vAlign w:val="center"/>
          </w:tcPr>
          <w:p w14:paraId="7BE052AB" w14:textId="77777777" w:rsidR="008874B1" w:rsidRPr="006C0175" w:rsidRDefault="008874B1" w:rsidP="001042B4">
            <w:pPr>
              <w:pStyle w:val="BodyText"/>
              <w:rPr>
                <w:vertAlign w:val="superscript"/>
              </w:rPr>
            </w:pPr>
            <w:r>
              <w:t>18</w:t>
            </w:r>
            <w:r>
              <w:rPr>
                <w:vertAlign w:val="superscript"/>
              </w:rPr>
              <w:t>b</w:t>
            </w:r>
          </w:p>
        </w:tc>
        <w:tc>
          <w:tcPr>
            <w:tcW w:w="1559" w:type="dxa"/>
            <w:tcBorders>
              <w:top w:val="single" w:sz="4" w:space="0" w:color="auto"/>
            </w:tcBorders>
            <w:vAlign w:val="center"/>
          </w:tcPr>
          <w:p w14:paraId="67D06E11" w14:textId="77777777" w:rsidR="008874B1" w:rsidRDefault="008874B1" w:rsidP="001042B4">
            <w:pPr>
              <w:pStyle w:val="BodyText"/>
            </w:pPr>
            <w:r>
              <w:t>1.6</w:t>
            </w:r>
          </w:p>
        </w:tc>
        <w:tc>
          <w:tcPr>
            <w:tcW w:w="1134" w:type="dxa"/>
            <w:tcBorders>
              <w:top w:val="single" w:sz="4" w:space="0" w:color="auto"/>
            </w:tcBorders>
            <w:vAlign w:val="center"/>
          </w:tcPr>
          <w:p w14:paraId="421B7D6F" w14:textId="77777777" w:rsidR="008874B1" w:rsidRPr="006D2678" w:rsidRDefault="008874B1" w:rsidP="001042B4">
            <w:pPr>
              <w:pStyle w:val="BodyText"/>
              <w:rPr>
                <w:vertAlign w:val="superscript"/>
              </w:rPr>
            </w:pPr>
            <w:r>
              <w:t xml:space="preserve">7 </w:t>
            </w:r>
          </w:p>
        </w:tc>
        <w:tc>
          <w:tcPr>
            <w:tcW w:w="1417" w:type="dxa"/>
            <w:tcBorders>
              <w:top w:val="single" w:sz="4" w:space="0" w:color="auto"/>
            </w:tcBorders>
            <w:shd w:val="clear" w:color="auto" w:fill="auto"/>
            <w:vAlign w:val="center"/>
          </w:tcPr>
          <w:p w14:paraId="33A7DD72" w14:textId="77777777" w:rsidR="008874B1" w:rsidRPr="00813CBE" w:rsidRDefault="008874B1" w:rsidP="001042B4">
            <w:pPr>
              <w:pStyle w:val="BodyText"/>
              <w:rPr>
                <w:vertAlign w:val="superscript"/>
              </w:rPr>
            </w:pPr>
            <w:r>
              <w:t>0,3</w:t>
            </w:r>
          </w:p>
        </w:tc>
        <w:tc>
          <w:tcPr>
            <w:tcW w:w="1560" w:type="dxa"/>
            <w:tcBorders>
              <w:top w:val="single" w:sz="4" w:space="0" w:color="auto"/>
            </w:tcBorders>
          </w:tcPr>
          <w:p w14:paraId="49E73B40" w14:textId="77777777" w:rsidR="008874B1" w:rsidRPr="00813CBE" w:rsidRDefault="008874B1" w:rsidP="001042B4">
            <w:pPr>
              <w:pStyle w:val="BodyText"/>
            </w:pPr>
            <w:r>
              <w:t>-</w:t>
            </w:r>
          </w:p>
        </w:tc>
        <w:tc>
          <w:tcPr>
            <w:tcW w:w="1559" w:type="dxa"/>
            <w:tcBorders>
              <w:top w:val="single" w:sz="4" w:space="0" w:color="auto"/>
            </w:tcBorders>
            <w:shd w:val="clear" w:color="auto" w:fill="auto"/>
          </w:tcPr>
          <w:p w14:paraId="46D8E21D" w14:textId="77777777" w:rsidR="008874B1" w:rsidRPr="00813CBE" w:rsidRDefault="008874B1" w:rsidP="001042B4">
            <w:pPr>
              <w:pStyle w:val="BodyText"/>
              <w:rPr>
                <w:vertAlign w:val="superscript"/>
              </w:rPr>
            </w:pPr>
            <w:r>
              <w:t xml:space="preserve">- </w:t>
            </w:r>
          </w:p>
        </w:tc>
      </w:tr>
      <w:tr w:rsidR="008874B1" w14:paraId="27EF1507" w14:textId="77777777" w:rsidTr="004A64C1">
        <w:trPr>
          <w:trHeight w:val="340"/>
        </w:trPr>
        <w:tc>
          <w:tcPr>
            <w:tcW w:w="1560" w:type="dxa"/>
            <w:vAlign w:val="center"/>
          </w:tcPr>
          <w:p w14:paraId="5923A4FB" w14:textId="77777777" w:rsidR="008874B1" w:rsidRPr="00D429D0" w:rsidRDefault="008874B1" w:rsidP="001042B4">
            <w:pPr>
              <w:pStyle w:val="BodyText"/>
              <w:rPr>
                <w:sz w:val="20"/>
                <w:szCs w:val="20"/>
              </w:rPr>
            </w:pPr>
            <w:r>
              <w:rPr>
                <w:sz w:val="20"/>
              </w:rPr>
              <w:t>Enfants de 8 ans</w:t>
            </w:r>
          </w:p>
        </w:tc>
        <w:tc>
          <w:tcPr>
            <w:tcW w:w="851" w:type="dxa"/>
            <w:vAlign w:val="center"/>
          </w:tcPr>
          <w:p w14:paraId="477D0986" w14:textId="77777777" w:rsidR="008874B1" w:rsidRPr="006C0175" w:rsidRDefault="008874B1" w:rsidP="001042B4">
            <w:pPr>
              <w:pStyle w:val="BodyText"/>
              <w:rPr>
                <w:vertAlign w:val="superscript"/>
              </w:rPr>
            </w:pPr>
            <w:r>
              <w:t>31</w:t>
            </w:r>
            <w:r>
              <w:rPr>
                <w:vertAlign w:val="superscript"/>
              </w:rPr>
              <w:t>b</w:t>
            </w:r>
          </w:p>
        </w:tc>
        <w:tc>
          <w:tcPr>
            <w:tcW w:w="1559" w:type="dxa"/>
            <w:vAlign w:val="center"/>
          </w:tcPr>
          <w:p w14:paraId="22E33971" w14:textId="77777777" w:rsidR="008874B1" w:rsidRDefault="008874B1" w:rsidP="001042B4">
            <w:pPr>
              <w:pStyle w:val="BodyText"/>
            </w:pPr>
            <w:r>
              <w:t>1.6</w:t>
            </w:r>
          </w:p>
        </w:tc>
        <w:tc>
          <w:tcPr>
            <w:tcW w:w="1134" w:type="dxa"/>
            <w:vAlign w:val="center"/>
          </w:tcPr>
          <w:p w14:paraId="021F5CC7" w14:textId="77777777" w:rsidR="008874B1" w:rsidRPr="006D2678" w:rsidRDefault="008874B1" w:rsidP="001042B4">
            <w:pPr>
              <w:pStyle w:val="BodyText"/>
              <w:rPr>
                <w:vertAlign w:val="superscript"/>
              </w:rPr>
            </w:pPr>
            <w:r>
              <w:t xml:space="preserve">12 </w:t>
            </w:r>
          </w:p>
        </w:tc>
        <w:tc>
          <w:tcPr>
            <w:tcW w:w="1417" w:type="dxa"/>
            <w:shd w:val="clear" w:color="auto" w:fill="auto"/>
            <w:vAlign w:val="center"/>
          </w:tcPr>
          <w:p w14:paraId="0836DEAA" w14:textId="77777777" w:rsidR="008874B1" w:rsidRPr="00813CBE" w:rsidRDefault="008874B1" w:rsidP="001042B4">
            <w:pPr>
              <w:pStyle w:val="BodyText"/>
              <w:rPr>
                <w:vertAlign w:val="superscript"/>
              </w:rPr>
            </w:pPr>
            <w:r>
              <w:t xml:space="preserve">3 </w:t>
            </w:r>
          </w:p>
        </w:tc>
        <w:tc>
          <w:tcPr>
            <w:tcW w:w="1560" w:type="dxa"/>
          </w:tcPr>
          <w:p w14:paraId="3C08E538" w14:textId="77777777" w:rsidR="008874B1" w:rsidRPr="00813CBE" w:rsidRDefault="008874B1" w:rsidP="001042B4">
            <w:pPr>
              <w:pStyle w:val="BodyText"/>
            </w:pPr>
            <w:r>
              <w:t>1</w:t>
            </w:r>
          </w:p>
        </w:tc>
        <w:tc>
          <w:tcPr>
            <w:tcW w:w="1559" w:type="dxa"/>
            <w:shd w:val="clear" w:color="auto" w:fill="auto"/>
          </w:tcPr>
          <w:p w14:paraId="3C4E6E6D" w14:textId="77777777" w:rsidR="008874B1" w:rsidRPr="00813CBE" w:rsidRDefault="008874B1" w:rsidP="001042B4">
            <w:pPr>
              <w:pStyle w:val="BodyText"/>
              <w:rPr>
                <w:vertAlign w:val="superscript"/>
              </w:rPr>
            </w:pPr>
            <w:r>
              <w:t xml:space="preserve">- </w:t>
            </w:r>
          </w:p>
        </w:tc>
      </w:tr>
      <w:tr w:rsidR="008874B1" w14:paraId="0F7F3A24" w14:textId="77777777" w:rsidTr="004A64C1">
        <w:trPr>
          <w:trHeight w:val="340"/>
        </w:trPr>
        <w:tc>
          <w:tcPr>
            <w:tcW w:w="1560" w:type="dxa"/>
            <w:vAlign w:val="center"/>
          </w:tcPr>
          <w:p w14:paraId="1A0687AF" w14:textId="77777777" w:rsidR="008874B1" w:rsidRPr="00D429D0" w:rsidRDefault="008874B1" w:rsidP="001042B4">
            <w:pPr>
              <w:pStyle w:val="BodyText"/>
              <w:rPr>
                <w:sz w:val="20"/>
                <w:szCs w:val="20"/>
              </w:rPr>
            </w:pPr>
            <w:r>
              <w:rPr>
                <w:sz w:val="20"/>
              </w:rPr>
              <w:t>Enfants de 12 ans</w:t>
            </w:r>
          </w:p>
        </w:tc>
        <w:tc>
          <w:tcPr>
            <w:tcW w:w="851" w:type="dxa"/>
            <w:vAlign w:val="center"/>
          </w:tcPr>
          <w:p w14:paraId="07900BC3" w14:textId="77777777" w:rsidR="008874B1" w:rsidRPr="006C0175" w:rsidRDefault="008874B1" w:rsidP="001042B4">
            <w:pPr>
              <w:pStyle w:val="BodyText"/>
              <w:rPr>
                <w:vertAlign w:val="superscript"/>
              </w:rPr>
            </w:pPr>
            <w:r>
              <w:t>42</w:t>
            </w:r>
            <w:r>
              <w:rPr>
                <w:vertAlign w:val="superscript"/>
              </w:rPr>
              <w:t>b</w:t>
            </w:r>
          </w:p>
        </w:tc>
        <w:tc>
          <w:tcPr>
            <w:tcW w:w="1559" w:type="dxa"/>
            <w:vAlign w:val="center"/>
          </w:tcPr>
          <w:p w14:paraId="3C1FDA62" w14:textId="77777777" w:rsidR="008874B1" w:rsidRDefault="008874B1" w:rsidP="001042B4">
            <w:pPr>
              <w:pStyle w:val="BodyText"/>
            </w:pPr>
            <w:r>
              <w:t>2</w:t>
            </w:r>
          </w:p>
        </w:tc>
        <w:tc>
          <w:tcPr>
            <w:tcW w:w="1134" w:type="dxa"/>
            <w:vAlign w:val="center"/>
          </w:tcPr>
          <w:p w14:paraId="2D09B154" w14:textId="77777777" w:rsidR="008874B1" w:rsidRDefault="008874B1" w:rsidP="001042B4">
            <w:pPr>
              <w:pStyle w:val="BodyText"/>
            </w:pPr>
            <w:r>
              <w:t>13</w:t>
            </w:r>
          </w:p>
        </w:tc>
        <w:tc>
          <w:tcPr>
            <w:tcW w:w="1417" w:type="dxa"/>
            <w:shd w:val="clear" w:color="auto" w:fill="auto"/>
            <w:vAlign w:val="center"/>
          </w:tcPr>
          <w:p w14:paraId="67E4A12E" w14:textId="77777777" w:rsidR="008874B1" w:rsidRPr="00752C46" w:rsidRDefault="008874B1" w:rsidP="001042B4">
            <w:pPr>
              <w:pStyle w:val="BodyText"/>
            </w:pPr>
            <w:r>
              <w:t>6</w:t>
            </w:r>
          </w:p>
        </w:tc>
        <w:tc>
          <w:tcPr>
            <w:tcW w:w="1560" w:type="dxa"/>
          </w:tcPr>
          <w:p w14:paraId="49084E5B" w14:textId="77777777" w:rsidR="008874B1" w:rsidRPr="00752C46" w:rsidRDefault="008874B1" w:rsidP="001042B4">
            <w:pPr>
              <w:pStyle w:val="BodyText"/>
            </w:pPr>
            <w:r>
              <w:t>4</w:t>
            </w:r>
          </w:p>
        </w:tc>
        <w:tc>
          <w:tcPr>
            <w:tcW w:w="1559" w:type="dxa"/>
            <w:shd w:val="clear" w:color="auto" w:fill="auto"/>
          </w:tcPr>
          <w:p w14:paraId="5EB2E16F" w14:textId="77777777" w:rsidR="008874B1" w:rsidRPr="00752C46" w:rsidRDefault="008874B1" w:rsidP="001042B4">
            <w:pPr>
              <w:pStyle w:val="BodyText"/>
            </w:pPr>
            <w:r>
              <w:t>-</w:t>
            </w:r>
          </w:p>
        </w:tc>
      </w:tr>
      <w:tr w:rsidR="008874B1" w14:paraId="3E3BAA94" w14:textId="77777777" w:rsidTr="004A64C1">
        <w:trPr>
          <w:trHeight w:val="340"/>
        </w:trPr>
        <w:tc>
          <w:tcPr>
            <w:tcW w:w="1560" w:type="dxa"/>
            <w:vAlign w:val="center"/>
          </w:tcPr>
          <w:p w14:paraId="1EE63040" w14:textId="77777777" w:rsidR="008874B1" w:rsidRPr="00D429D0" w:rsidRDefault="008874B1" w:rsidP="001042B4">
            <w:pPr>
              <w:pStyle w:val="BodyText"/>
              <w:rPr>
                <w:sz w:val="20"/>
                <w:szCs w:val="20"/>
              </w:rPr>
            </w:pPr>
            <w:r>
              <w:rPr>
                <w:sz w:val="20"/>
              </w:rPr>
              <w:t>Femmes</w:t>
            </w:r>
          </w:p>
        </w:tc>
        <w:tc>
          <w:tcPr>
            <w:tcW w:w="851" w:type="dxa"/>
            <w:vAlign w:val="center"/>
          </w:tcPr>
          <w:p w14:paraId="7FD5D16D" w14:textId="77777777" w:rsidR="008874B1" w:rsidRPr="006C0175" w:rsidRDefault="008874B1" w:rsidP="001042B4">
            <w:pPr>
              <w:pStyle w:val="BodyText"/>
              <w:rPr>
                <w:vertAlign w:val="superscript"/>
              </w:rPr>
            </w:pPr>
            <w:r>
              <w:t>68</w:t>
            </w:r>
            <w:r>
              <w:rPr>
                <w:vertAlign w:val="superscript"/>
              </w:rPr>
              <w:t>c</w:t>
            </w:r>
          </w:p>
        </w:tc>
        <w:tc>
          <w:tcPr>
            <w:tcW w:w="1559" w:type="dxa"/>
            <w:vAlign w:val="center"/>
          </w:tcPr>
          <w:p w14:paraId="48D03C0E" w14:textId="77777777" w:rsidR="008874B1" w:rsidRDefault="008874B1" w:rsidP="001042B4">
            <w:pPr>
              <w:pStyle w:val="BodyText"/>
            </w:pPr>
            <w:r>
              <w:t>2</w:t>
            </w:r>
          </w:p>
        </w:tc>
        <w:tc>
          <w:tcPr>
            <w:tcW w:w="1134" w:type="dxa"/>
            <w:vAlign w:val="center"/>
          </w:tcPr>
          <w:p w14:paraId="779CCFDB" w14:textId="77777777" w:rsidR="008874B1" w:rsidRDefault="008874B1" w:rsidP="001042B4">
            <w:pPr>
              <w:pStyle w:val="BodyText"/>
            </w:pPr>
            <w:r>
              <w:t>21</w:t>
            </w:r>
          </w:p>
        </w:tc>
        <w:tc>
          <w:tcPr>
            <w:tcW w:w="1417" w:type="dxa"/>
            <w:shd w:val="clear" w:color="auto" w:fill="auto"/>
            <w:vAlign w:val="center"/>
          </w:tcPr>
          <w:p w14:paraId="55DEFE8A" w14:textId="77777777" w:rsidR="008874B1" w:rsidRPr="00752C46" w:rsidRDefault="008874B1" w:rsidP="001042B4">
            <w:pPr>
              <w:pStyle w:val="BodyText"/>
            </w:pPr>
            <w:r>
              <w:t>11</w:t>
            </w:r>
          </w:p>
        </w:tc>
        <w:tc>
          <w:tcPr>
            <w:tcW w:w="1560" w:type="dxa"/>
          </w:tcPr>
          <w:p w14:paraId="66D7E93E" w14:textId="77777777" w:rsidR="008874B1" w:rsidRDefault="008874B1" w:rsidP="001042B4">
            <w:pPr>
              <w:pStyle w:val="BodyText"/>
            </w:pPr>
            <w:r>
              <w:t>8</w:t>
            </w:r>
          </w:p>
        </w:tc>
        <w:tc>
          <w:tcPr>
            <w:tcW w:w="1559" w:type="dxa"/>
            <w:shd w:val="clear" w:color="auto" w:fill="auto"/>
          </w:tcPr>
          <w:p w14:paraId="041BEC0F" w14:textId="77777777" w:rsidR="008874B1" w:rsidRPr="00752C46" w:rsidRDefault="008874B1" w:rsidP="001042B4">
            <w:pPr>
              <w:pStyle w:val="BodyText"/>
            </w:pPr>
            <w:r>
              <w:t>1</w:t>
            </w:r>
          </w:p>
        </w:tc>
      </w:tr>
      <w:tr w:rsidR="008874B1" w14:paraId="6B878F12" w14:textId="77777777" w:rsidTr="004A64C1">
        <w:trPr>
          <w:trHeight w:val="340"/>
        </w:trPr>
        <w:tc>
          <w:tcPr>
            <w:tcW w:w="1560" w:type="dxa"/>
            <w:tcBorders>
              <w:bottom w:val="single" w:sz="8" w:space="0" w:color="auto"/>
            </w:tcBorders>
            <w:vAlign w:val="center"/>
          </w:tcPr>
          <w:p w14:paraId="120BD346" w14:textId="77777777" w:rsidR="008874B1" w:rsidRPr="00D429D0" w:rsidRDefault="008874B1" w:rsidP="001042B4">
            <w:pPr>
              <w:pStyle w:val="BodyText"/>
              <w:rPr>
                <w:sz w:val="20"/>
                <w:szCs w:val="20"/>
              </w:rPr>
            </w:pPr>
            <w:r>
              <w:rPr>
                <w:sz w:val="20"/>
              </w:rPr>
              <w:t>Hommes</w:t>
            </w:r>
          </w:p>
        </w:tc>
        <w:tc>
          <w:tcPr>
            <w:tcW w:w="851" w:type="dxa"/>
            <w:tcBorders>
              <w:bottom w:val="single" w:sz="8" w:space="0" w:color="auto"/>
            </w:tcBorders>
            <w:vAlign w:val="center"/>
          </w:tcPr>
          <w:p w14:paraId="6AB4E04C" w14:textId="77777777" w:rsidR="008874B1" w:rsidRPr="00116FBD" w:rsidRDefault="008874B1" w:rsidP="001042B4">
            <w:pPr>
              <w:pStyle w:val="BodyText"/>
            </w:pPr>
            <w:r>
              <w:t>82</w:t>
            </w:r>
            <w:r>
              <w:rPr>
                <w:vertAlign w:val="superscript"/>
              </w:rPr>
              <w:t>c</w:t>
            </w:r>
          </w:p>
        </w:tc>
        <w:tc>
          <w:tcPr>
            <w:tcW w:w="1559" w:type="dxa"/>
            <w:tcBorders>
              <w:bottom w:val="single" w:sz="8" w:space="0" w:color="auto"/>
            </w:tcBorders>
            <w:vAlign w:val="center"/>
          </w:tcPr>
          <w:p w14:paraId="380DA278" w14:textId="77777777" w:rsidR="008874B1" w:rsidRDefault="008874B1" w:rsidP="001042B4">
            <w:pPr>
              <w:pStyle w:val="BodyText"/>
            </w:pPr>
            <w:r>
              <w:t>2.5</w:t>
            </w:r>
          </w:p>
        </w:tc>
        <w:tc>
          <w:tcPr>
            <w:tcW w:w="1134" w:type="dxa"/>
            <w:tcBorders>
              <w:bottom w:val="single" w:sz="8" w:space="0" w:color="auto"/>
            </w:tcBorders>
            <w:vAlign w:val="center"/>
          </w:tcPr>
          <w:p w14:paraId="7E1EADC8" w14:textId="77777777" w:rsidR="008874B1" w:rsidRDefault="008874B1" w:rsidP="001042B4">
            <w:pPr>
              <w:pStyle w:val="BodyText"/>
            </w:pPr>
            <w:r>
              <w:t>21</w:t>
            </w:r>
          </w:p>
        </w:tc>
        <w:tc>
          <w:tcPr>
            <w:tcW w:w="1417" w:type="dxa"/>
            <w:tcBorders>
              <w:bottom w:val="single" w:sz="8" w:space="0" w:color="auto"/>
            </w:tcBorders>
            <w:shd w:val="clear" w:color="auto" w:fill="auto"/>
            <w:vAlign w:val="center"/>
          </w:tcPr>
          <w:p w14:paraId="79FDC9D7" w14:textId="77777777" w:rsidR="008874B1" w:rsidRPr="00752C46" w:rsidRDefault="008874B1" w:rsidP="001042B4">
            <w:pPr>
              <w:pStyle w:val="BodyText"/>
            </w:pPr>
            <w:r>
              <w:t>11</w:t>
            </w:r>
          </w:p>
        </w:tc>
        <w:tc>
          <w:tcPr>
            <w:tcW w:w="1560" w:type="dxa"/>
            <w:tcBorders>
              <w:bottom w:val="single" w:sz="8" w:space="0" w:color="auto"/>
            </w:tcBorders>
          </w:tcPr>
          <w:p w14:paraId="1835246F" w14:textId="77777777" w:rsidR="008874B1" w:rsidRDefault="008874B1" w:rsidP="001042B4">
            <w:pPr>
              <w:pStyle w:val="BodyText"/>
            </w:pPr>
            <w:r>
              <w:t>9</w:t>
            </w:r>
          </w:p>
        </w:tc>
        <w:tc>
          <w:tcPr>
            <w:tcW w:w="1559" w:type="dxa"/>
            <w:tcBorders>
              <w:bottom w:val="single" w:sz="8" w:space="0" w:color="auto"/>
            </w:tcBorders>
            <w:shd w:val="clear" w:color="auto" w:fill="auto"/>
          </w:tcPr>
          <w:p w14:paraId="49C37C62" w14:textId="77777777" w:rsidR="008874B1" w:rsidRPr="00752C46" w:rsidRDefault="008874B1" w:rsidP="001042B4">
            <w:pPr>
              <w:pStyle w:val="BodyText"/>
            </w:pPr>
            <w:r>
              <w:t>4</w:t>
            </w:r>
          </w:p>
        </w:tc>
      </w:tr>
    </w:tbl>
    <w:p w14:paraId="4A888CB7" w14:textId="7E6CE72F" w:rsidR="008874B1" w:rsidRPr="005878B7" w:rsidRDefault="008874B1" w:rsidP="008874B1">
      <w:pPr>
        <w:pStyle w:val="BodyText"/>
      </w:pPr>
      <w:r>
        <w:rPr>
          <w:vertAlign w:val="superscript"/>
        </w:rPr>
        <w:t xml:space="preserve">a </w:t>
      </w:r>
      <w:r>
        <w:t xml:space="preserve">EFSA, 2017. </w:t>
      </w:r>
      <w:r>
        <w:rPr>
          <w:vertAlign w:val="superscript"/>
        </w:rPr>
        <w:t xml:space="preserve">b </w:t>
      </w:r>
      <w:r>
        <w:t xml:space="preserve">L’Agence suédoise de l’alimentation, 2003. </w:t>
      </w:r>
      <w:r>
        <w:rPr>
          <w:vertAlign w:val="superscript"/>
        </w:rPr>
        <w:t xml:space="preserve">c </w:t>
      </w:r>
      <w:r>
        <w:t>L’Agence suédoise de l’alimentation, 2012. - = la valeur est négative.</w:t>
      </w:r>
    </w:p>
    <w:p w14:paraId="75BAB814" w14:textId="58CD8FA8" w:rsidR="008874B1" w:rsidRDefault="008874B1" w:rsidP="008874B1"/>
    <w:p w14:paraId="6B68D418" w14:textId="7E484845" w:rsidR="008874B1" w:rsidRDefault="008874B1" w:rsidP="008874B1">
      <w:r>
        <w:t xml:space="preserve">Le tableau montre que si les contributions du régime alimentaire sont prises en considération, il n’y a pas de valeur directrice qui protège les enfants de 4 ans. La contribution du régime alimentaire est pour ce groupe si important que l’apport hebdomadaire tolérable pour PFAS 4 est déjà rempli. Afin de protéger 95 % des adultes </w:t>
      </w:r>
      <w:r>
        <w:lastRenderedPageBreak/>
        <w:t xml:space="preserve">(hommes et femmes) et 75 % des 8 et 12 ans, les valeurs 1 ou 4 </w:t>
      </w:r>
      <w:proofErr w:type="spellStart"/>
      <w:r>
        <w:t>ng</w:t>
      </w:r>
      <w:proofErr w:type="spellEnd"/>
      <w:r>
        <w:t>/l devraient également être prises en considération.</w:t>
      </w:r>
    </w:p>
    <w:p w14:paraId="7394349E" w14:textId="77777777" w:rsidR="00BA14FF" w:rsidRDefault="00BA14FF" w:rsidP="008874B1"/>
    <w:p w14:paraId="5FA53E94" w14:textId="5CBB0BA9" w:rsidR="008874B1" w:rsidRDefault="008874B1" w:rsidP="008874B1">
      <w:pPr>
        <w:rPr>
          <w:i/>
        </w:rPr>
      </w:pPr>
      <w:r>
        <w:rPr>
          <w:i/>
        </w:rPr>
        <w:t>Méthodes d’analyse</w:t>
      </w:r>
    </w:p>
    <w:p w14:paraId="0D5D46A7" w14:textId="4DFCD655" w:rsidR="008874B1" w:rsidRDefault="008874B1" w:rsidP="008874B1">
      <w:r>
        <w:t>L’un des principaux laboratoires commerciaux effectuant des analyses PFAS dispose déjà de méthodes accréditées pour l’analyse des PFAS 4 dans les eaux brutes et les eaux destinées à la consommation humaine</w:t>
      </w:r>
      <w:r w:rsidR="000F726E">
        <w:rPr>
          <w:rStyle w:val="FootnoteReference"/>
        </w:rPr>
        <w:footnoteReference w:id="3"/>
      </w:r>
      <w:r>
        <w:t xml:space="preserve">. La limite de quantification (LOQ) est de 0,1 </w:t>
      </w:r>
      <w:proofErr w:type="spellStart"/>
      <w:r>
        <w:t>ng</w:t>
      </w:r>
      <w:proofErr w:type="spellEnd"/>
      <w:r>
        <w:t xml:space="preserve">/l pour chaque PFAS individuel, ce qui signifie un LOQ total pour les PFAS 4 de 0,4 </w:t>
      </w:r>
      <w:proofErr w:type="spellStart"/>
      <w:r>
        <w:t>ng</w:t>
      </w:r>
      <w:proofErr w:type="spellEnd"/>
      <w:r>
        <w:t>/l. Le laboratoire déclare également que cette méthode satisfait aux exigences relatives à la limite de quantification et d’incertitude de mesure énoncée à la section B de l’annexe 4 du nouveau règlement sur l’eau potable. En conclusion, il est déjà possible d’effectuer une analyse des PFAS 4 jusqu’à ces faibles niveaux proposés dans l’évaluation des risques de l’Agence suédoise de l’alimentation.</w:t>
      </w:r>
    </w:p>
    <w:p w14:paraId="222FF2BB" w14:textId="77777777" w:rsidR="008874B1" w:rsidRDefault="008874B1" w:rsidP="008874B1"/>
    <w:p w14:paraId="4E6C316F" w14:textId="7BB6F301" w:rsidR="008874B1" w:rsidRDefault="008874B1" w:rsidP="008874B1">
      <w:r>
        <w:t>La nouvelle directive sur l’eau potable impose à la Commission d’établir des lignes directrices techniques pour les méthodes d’analyse pour la surveillance des PFAS au plus tard le 12 janvier 2024, ce qui signifie que le règlement pourrait devoir être modifié par la suite pour répondre aux futures exigences en matière de méthodes d’analyse.</w:t>
      </w:r>
    </w:p>
    <w:p w14:paraId="0EBB2DA9" w14:textId="75A5F014" w:rsidR="008874B1" w:rsidRDefault="008874B1" w:rsidP="008874B1"/>
    <w:p w14:paraId="131B4BCE" w14:textId="65B5A284" w:rsidR="008874B1" w:rsidRDefault="008874B1" w:rsidP="008874B1">
      <w:pPr>
        <w:rPr>
          <w:i/>
        </w:rPr>
      </w:pPr>
      <w:r>
        <w:rPr>
          <w:i/>
        </w:rPr>
        <w:t>Proposition de l’Agence suédoise de l’alimentation en vue d’une valeur limite pour les PFAS</w:t>
      </w:r>
    </w:p>
    <w:p w14:paraId="64F5D9D6" w14:textId="1CBE6952" w:rsidR="00DE3C19" w:rsidRDefault="00DE3C19" w:rsidP="00DE3C19">
      <w:r>
        <w:t xml:space="preserve">Sur la base de l’évaluation des risques effectuée par l’Agence suédoise de l’alimentation, il est justifié, pour des raisons de santé, d’introduire une valeur limite spécifique pour les PFAS 4 dans les eaux destinées à la consommation humaine. S’il y a une valeur limite pour les PFAS 4, cela contribuera probablement à abaisser les niveaux pour les autres PFAS, car les méthodes de purification requises réduiront également d’autres PFAS. Bien que la limite de quantification des PFAS 4 soit actuellement de 0,4 </w:t>
      </w:r>
      <w:proofErr w:type="spellStart"/>
      <w:r>
        <w:t>ng</w:t>
      </w:r>
      <w:proofErr w:type="spellEnd"/>
      <w:r>
        <w:t xml:space="preserve">/l, l’Agence suédoise de l’alimentation estime qu’il n’est pas possible de le faire avec une valeur aussi basse que 1 </w:t>
      </w:r>
      <w:proofErr w:type="spellStart"/>
      <w:r>
        <w:t>ng</w:t>
      </w:r>
      <w:proofErr w:type="spellEnd"/>
      <w:r>
        <w:t xml:space="preserve">/l, bien qu’il s’agisse de la valeur de référence donnée pour certaines catégories d’âge dans l’évaluation des risques. 1 </w:t>
      </w:r>
      <w:proofErr w:type="spellStart"/>
      <w:r>
        <w:t>ng</w:t>
      </w:r>
      <w:proofErr w:type="spellEnd"/>
      <w:r>
        <w:t>/l est une valeur si faible pour la somme des PFAS 4 dans l’eau destinée à la consommation humaine que les concentrations de fond dans l’environnement, qui ne sont pas considérées comme une contamination claire aux PFAS, peuvent contenir des niveaux plus élevés que cela. Par exemple, L’Institut suédois de recherche environnementale (IVL)</w:t>
      </w:r>
      <w:r>
        <w:rPr>
          <w:rStyle w:val="FootnoteReference"/>
        </w:rPr>
        <w:footnoteReference w:id="4"/>
      </w:r>
      <w:r>
        <w:t xml:space="preserve"> a calculé que la somme des PFAS 4 dans les précipitations médianes peut atteindre plus de 1 </w:t>
      </w:r>
      <w:proofErr w:type="spellStart"/>
      <w:r>
        <w:t>ng</w:t>
      </w:r>
      <w:proofErr w:type="spellEnd"/>
      <w:r>
        <w:t xml:space="preserve">/l, ce qui peut signifier, par exemple, que les eaux souterraines affectées par les eaux de surface utilisées pour produire des eaux destinées à la consommation humaine sans traitement </w:t>
      </w:r>
      <w:r>
        <w:lastRenderedPageBreak/>
        <w:t xml:space="preserve">peuvent dépasser 1 </w:t>
      </w:r>
      <w:proofErr w:type="spellStart"/>
      <w:r>
        <w:t>ng</w:t>
      </w:r>
      <w:proofErr w:type="spellEnd"/>
      <w:r>
        <w:t>/l. L’Université suédoise des sciences agricole (SLU)</w:t>
      </w:r>
      <w:r>
        <w:rPr>
          <w:rStyle w:val="FootnoteReference"/>
        </w:rPr>
        <w:footnoteReference w:id="5"/>
      </w:r>
      <w:r>
        <w:t xml:space="preserve"> a également observé dans un rapport que la valeur médiane de la somme de 26 PFAS différents dans les zones sources d’eau destinée à la consommation humaine (eaux de surface et souterraines) était de 0,6 </w:t>
      </w:r>
      <w:proofErr w:type="spellStart"/>
      <w:r>
        <w:t>ng</w:t>
      </w:r>
      <w:proofErr w:type="spellEnd"/>
      <w:r>
        <w:t xml:space="preserve">/l. Afin de protéger autant que possible la population et de tenir compte des méthodes d’analyse et des techniques de purification actuellement disponibles, l’Agence suédoise de l’alimentation propose la valeur limite de 4 </w:t>
      </w:r>
      <w:proofErr w:type="spellStart"/>
      <w:r>
        <w:t>ng</w:t>
      </w:r>
      <w:proofErr w:type="spellEnd"/>
      <w:r>
        <w:t>/l pour les PFAS 4. Le calcul de la concentration totale de PFAS dans l’eau destinée à la consommation humaine lors de chaque surveillance est effectué en résumant toutes les constatations de la substance concernée dans les PFAS 4. Les résultats inférieurs à la LOQ sont fixés à zéro, c’est-à-dire «moins que les valeurs» (&lt;) ne doivent pas être inclus dans la somme.</w:t>
      </w:r>
    </w:p>
    <w:p w14:paraId="46B2CCF2" w14:textId="77777777" w:rsidR="00DE3C19" w:rsidRDefault="00DE3C19" w:rsidP="00DE3C19"/>
    <w:p w14:paraId="546D3076" w14:textId="03E7A4A1" w:rsidR="00DE3C19" w:rsidRDefault="00DE3C19" w:rsidP="00DE3C19">
      <w:r>
        <w:t xml:space="preserve">L’Agence suédoise de l’alimentation propose également d’introduire une valeur limite qui inclut PFAS 21, qui correspond au paramètre </w:t>
      </w:r>
      <w:r>
        <w:rPr>
          <w:i/>
        </w:rPr>
        <w:t>Somme de PFAS</w:t>
      </w:r>
      <w:r>
        <w:t xml:space="preserve"> conformément à la nouvelle directive sur l’eau potable et 6:2 FTS, qui fait partie de la limite d’action suédoise, mais pas dans la directive. L’Agence suédoise de l’alimentation estime que 6:2 FTS devrait continuer à être inclus parmi les PFAS analysés, étant donné que la substance a déjà été incluse dans les 11 PFAS pour lesquels une limite d’action recommandée existe depuis plusieurs années et que la substance a été trouvée dans l’eau destinée à la consommation humaine provenant des usines suédoises d’approvisionnement en eau au cours de l’analyse. L’Agence suédoise de l’alimentation estime qu’à l’heure actuelle, un plus grand nombre de substances PFAS ne devraient pas être incluses dans la valeur limite, car il n’existe pas de compilation efficace de ces substances qui seraient pertinentes à inclure dans ce contexte. Cela peut changer en cas de révisions ultérieures du </w:t>
      </w:r>
      <w:r w:rsidR="004A64C1">
        <w:t>règlement</w:t>
      </w:r>
      <w:r>
        <w:t xml:space="preserve">, si de plus amples renseignements sur d’autres PFAS apparaissent. La valeur limite pour les PFAS 21 est proposée à 100 </w:t>
      </w:r>
      <w:proofErr w:type="spellStart"/>
      <w:r>
        <w:t>ng</w:t>
      </w:r>
      <w:proofErr w:type="spellEnd"/>
      <w:r>
        <w:t>/l, car il n’existe aucune base pour une réglementation plus stricte (l’évaluation des risques de l’EFSA ne couvre que quatre PFAS). Le calcul de la concentration totale de PFAS dans l’eau destinée à la consommation humaine lors de chaque surveillance est effectué en résumant toutes les constatations de la substance concernée dans les PFAS 21. Les résultats inférieurs à la LOQ sont fixés à zéro, c’est-à-dire «moins que les valeurs» (&lt;) ne doivent pas être inclus dans la somme. Pour cette raison, les laboratoires effectuant des analyses de PFAS doivent être en mesure de déclarer la concentration de chaque PFAS inclus dans le paramètre PFAS 21 individuellement.</w:t>
      </w:r>
    </w:p>
    <w:p w14:paraId="7BE902D1" w14:textId="77777777" w:rsidR="00DE3C19" w:rsidRDefault="00DE3C19" w:rsidP="00DE3C19"/>
    <w:p w14:paraId="351E17F8" w14:textId="3A0C8B77" w:rsidR="00DE3C19" w:rsidRDefault="00DE3C19" w:rsidP="00DE3C19">
      <w:r>
        <w:t xml:space="preserve">Conformément à la nouvelle directive sur l’eau potable, les PFAS feront l’objet d’un suivi au plus tard le 12 janvier 2026. L’Agence suédoise de l’alimentation a l’intention d’introduire des dispositions transitoires correspondantes pour les paramètres PFAS 4 et PFAS 21. Toutefois, l’Agence a envisagé de n’introduire aucune mesure transitoire en ce </w:t>
      </w:r>
      <w:r>
        <w:lastRenderedPageBreak/>
        <w:t xml:space="preserve">qui concerne les PFAS, étant donné que de nombreux producteurs et fournisseurs d’eau destinée à la consommation humaine surveillent déjà les PFAS dans les eaux destinées à la consommation humaine et qu’il est important que toutes les personnes visées par le règlement surveillent dès que possible les concentrations de PFAS dans les eaux destinées à la consommation humaine. L’introduction d’une période transitoire jusqu’en 2026 signifierait encore trois ans sans exigences explicites pour l’analyse des PFAS, ce qui est long. La Suède travaille depuis longtemps sur la question des PFAS et l’Agence suédoise de l’alimentation a formulé une recommandation sur le suivi et une limite d’action recommandée depuis 2014. La question n’est donc pas nouvelle pour les producteurs suédois d’eau destinée à la consommation humaine. D’autre part, une période transitoire est étayée par le fait que, au plus tard le 12 janvier 2024, la Commission établit des lignes directrices techniques pour les méthodes d’analyse des PFAS, qui comprennent les limites de détection, les valeurs paramétriques et la fréquence d’échantillonnage. On ignore à l’heure actuelle ce que les lignes directrices techniques contiendront en ce qui concerne les exigences, par exemple en ce qui concerne les nouvelles méthodes d’analyse et la surveillance d’un plus grand nombre de substances PFAS. L’Agence suédoise de l’alimentation estime donc que les dispositions transitoires prévues par la nouvelle directive sur l’eau potable devraient également s’appliquer au niveau national. Une période transitoire jusqu’en 2026 permet également aux laboratoires de s’adapter à l’analyse des PFAS spécifiés par le règlement pour les concentrations et les exigences énoncées à l’annexe 4 ainsi que les futures lignes directrices techniques de la Commission. </w:t>
      </w:r>
    </w:p>
    <w:p w14:paraId="5E8A4B4D" w14:textId="77777777" w:rsidR="00DE3C19" w:rsidRDefault="00DE3C19" w:rsidP="00DE3C19"/>
    <w:p w14:paraId="2EE95943" w14:textId="707B3A64" w:rsidR="00F309E3" w:rsidRDefault="00DE3C19" w:rsidP="008874B1">
      <w:r>
        <w:t xml:space="preserve">La correction des concentrations de PFAS dans les eaux destinées à la consommation humaine dépassant la valeur limite proposée peut prendre du temps, étant donné que la purification doit être adaptée à la situation réelle de l’usine d’approvisionnement en eau, à la nature de l’eau brute et à la composition des substances PFAS. Les informations fournies à l’Agence suédoise de l’alimentation indiquent également qu’il existe déjà une forte demande chez certains fournisseurs d’équipements de purification pour les PFAS, ce qui peut affecter les délais de livraison et d’installation. Cela signifiera dans la pratique qu’il faudra probablement de nombreuses années avant que tous les producteurs d’eau destinée à la consommation humaine aient pu prendre les mesures nécessaires pour que l’eau potable du consommateur réponde aux exigences de qualité. L’évaluation des risques réalisée par l’EFSA montre que l’exposition aux PFAS ne présente pas de risques aigus pour la santé aux concentrations habituellement présentes dans l’eau destinée à la consommation humaine. L’Agence suédoise de l’alimentation estime donc qu’il n’est normalement pas nécessaire de prendre des mesures immédiates si la valeur limite proposée est dépassée. L’eau destinée à la consommation humaine peut être utilisée sans restriction pendant le temps nécessaire pour enquêter et remédier au problème. D’autre part, dans certains cas, il peut y avoir de l’eau destinée à la consommation humaine avec des concentrations anormalement élevées de PFAS et l’Agence suédoise de l’alimentation peut ensuite aider à l’évaluation des risques et à l’aide à la gestion des risques au stade aigu. L’Agence devra également élaborer des orientations sur les PFAS dans les eaux </w:t>
      </w:r>
      <w:r>
        <w:lastRenderedPageBreak/>
        <w:t>destinées à la consommation humaine afin de soutenir les autorités de contrôle afin que des exigences raisonnables soient formulées en ce qui concerne la surveillance et la correction des concentrations de PFAS supérieures à la valeur limite, et qu’il soit clair pour les producteurs et les fournisseurs d’eau destinée à la consommation humaine ce que l’on attend d’eux.</w:t>
      </w:r>
    </w:p>
    <w:p w14:paraId="0FAB1772" w14:textId="77777777" w:rsidR="00F309E3" w:rsidRDefault="00F309E3" w:rsidP="008874B1"/>
    <w:p w14:paraId="63EE6ED9" w14:textId="3849D217" w:rsidR="008874B1" w:rsidRDefault="008874B1" w:rsidP="008874B1">
      <w:pPr>
        <w:rPr>
          <w:i/>
        </w:rPr>
      </w:pPr>
      <w:r>
        <w:rPr>
          <w:i/>
        </w:rPr>
        <w:t>Conséquences pour les producteurs d’eau destinée à la consommation humaine</w:t>
      </w:r>
    </w:p>
    <w:p w14:paraId="1B20327C" w14:textId="3A548597" w:rsidR="00DE3C19" w:rsidRDefault="00DE3C19" w:rsidP="00DE3C19">
      <w:r>
        <w:t>Dans SLVFS 2001:30, il n’y a pas de valeurs limites pour les PFAS dans les eaux destinées à la consommation humaine. Depuis 2014, l’Agence suédoise de l’alimentation recommande vivement que les PFAS dans les eaux destinées à la consommation humaine fassent l’objet d’une enquête en cas de suspicion de contamination et que le PFAS soit l’un des nombreux dangers à prendre en compte dans l’analyse des dangers. Dans une enquête de PFAS dans l’eau potable municipale</w:t>
      </w:r>
      <w:r>
        <w:rPr>
          <w:rStyle w:val="FootnoteReference"/>
        </w:rPr>
        <w:footnoteReference w:id="6"/>
      </w:r>
      <w:r>
        <w:t xml:space="preserve"> menée par l’Agence suédoise de l’alimentation en 2020, il a été constaté que 123 municipalités avaient analysé les PFAS dans l’eau destinée à la consommation humaine d’au moins une usine d’approvisionnement en eau. Des concentrations détectables ont été trouvées dans l’eau destinée à la consommation humaine dans 86 municipalités (par rapport à 74 des 154 usines d’approvisionnement en eau où des analyses ont été effectuées). Dans l’eau destinée à la consommation humaine de 15 usines d’approvisionnement en eau, qui, ensemble, fournissent environ 2,2 millions de personnes, les concentrations totales de PFAS étaient supérieures à 10 </w:t>
      </w:r>
      <w:proofErr w:type="spellStart"/>
      <w:r>
        <w:t>ng</w:t>
      </w:r>
      <w:proofErr w:type="spellEnd"/>
      <w:r>
        <w:t xml:space="preserve">/l. La teneur totale maximale mesurée était de 40 </w:t>
      </w:r>
      <w:proofErr w:type="spellStart"/>
      <w:r>
        <w:t>ng</w:t>
      </w:r>
      <w:proofErr w:type="spellEnd"/>
      <w:r>
        <w:t xml:space="preserve">/l dans l’eau destinée à la consommation humaine de deux usines d’approvisionnement en eau. Pour les 15 usines d’approvisionnement en eau, les concentrations de PFAS 4 ont été mesurées entre 0 et 30 </w:t>
      </w:r>
      <w:proofErr w:type="spellStart"/>
      <w:r>
        <w:t>ng</w:t>
      </w:r>
      <w:proofErr w:type="spellEnd"/>
      <w:r>
        <w:t xml:space="preserve">/l. Les résultats de l’enquête montrent également que les PFAS 4 représentent 50 % ou plus des PFAS 11 dans la majorité des usines d’approvisionnement en eau (71 %) avec des concentrations de PFAS supérieures à 10 </w:t>
      </w:r>
      <w:proofErr w:type="spellStart"/>
      <w:r>
        <w:t>ng</w:t>
      </w:r>
      <w:proofErr w:type="spellEnd"/>
      <w:r>
        <w:t xml:space="preserve">/l. </w:t>
      </w:r>
    </w:p>
    <w:p w14:paraId="3D3D894D" w14:textId="77777777" w:rsidR="00DE3C19" w:rsidRDefault="00DE3C19" w:rsidP="00DE3C19"/>
    <w:p w14:paraId="7CC92908" w14:textId="7DE962D2" w:rsidR="00DE3C19" w:rsidRDefault="00DE3C19" w:rsidP="00DE3C19">
      <w:r>
        <w:t xml:space="preserve">La valeur limite proposée pour les PFAS 4 de 4 </w:t>
      </w:r>
      <w:proofErr w:type="spellStart"/>
      <w:r>
        <w:t>ng</w:t>
      </w:r>
      <w:proofErr w:type="spellEnd"/>
      <w:r>
        <w:t xml:space="preserve">/l signifierait, sur la base des résultats de l’enquête de l’Agence suédoise de l’alimentation, que les 15 usines d’approvisionnement en eau qui ont mesuré des concentrations totales de PFAS supérieures à 10 </w:t>
      </w:r>
      <w:proofErr w:type="spellStart"/>
      <w:r>
        <w:t>ng</w:t>
      </w:r>
      <w:proofErr w:type="spellEnd"/>
      <w:r>
        <w:t xml:space="preserve">/l dépasseraient également la valeur limite pour les PFAS 4. Étant donné que l’enquête se concentre sur les installations d’approvisionnement en eau qui ont mesuré 10 </w:t>
      </w:r>
      <w:proofErr w:type="spellStart"/>
      <w:r>
        <w:t>ng</w:t>
      </w:r>
      <w:proofErr w:type="spellEnd"/>
      <w:r>
        <w:t xml:space="preserve">/l de PFAS dans l’eau municipale destinée à la consommation humaine, un plus grand nombre des installations d’approvisionnement en eau qui ont détecté des PFAS peuvent également dépasser la valeur limite proposée. Le nombre de usines qui pourraient être impliquées est actuellement inconnu. Cela signifierait que beaucoup plus de producteurs d’eau destinée à la consommation humaine devraient installer une </w:t>
      </w:r>
      <w:r>
        <w:lastRenderedPageBreak/>
        <w:t xml:space="preserve">purification afin de réduire les concentrations de PFAS dans les eaux destinées à la consommation humaine. Cela peut également signifier que les producteurs d’eau destinée à la consommation humaine qui purifient déjà leur eau potable des PFAS doivent optimiser leur traitement ou trouver de nouvelles méthodes pour abaisser encore plus les concentrations afin de répondre aux exigences de qualité proposées. Dans certains cas, il peut suffire de limiter le prélèvement d’eau d’un puits spécifique ou d’une installation d’approvisionnement en eau spécifique, lorsque plusieurs usines d’approvisionnement en eau alimentent le même réseau principal pour réduire le niveau de PFAS chez l’utilisateur. Selon les informations fournies à l’Agence suédoise de l’alimentation par les producteurs d’eau destinée à la consommation humaine, il est probable que certaines activités devront utiliser d’autres méthodes de traitement que le charbon actif, qui est actuellement la méthode de traitement la plus courante, afin de respecter la valeur limite proposée pour les PFAS 4. Cela est dû en grande partie à la composition des PFAS et aux concentrations dans l’eau non traitée. En plus du charbon actif, des méthodes telles que l’échange d’ions, la filtration membranaire et le SAFF (Surface Active </w:t>
      </w:r>
      <w:proofErr w:type="spellStart"/>
      <w:r>
        <w:t>Foam</w:t>
      </w:r>
      <w:proofErr w:type="spellEnd"/>
      <w:r>
        <w:t xml:space="preserve"> </w:t>
      </w:r>
      <w:proofErr w:type="spellStart"/>
      <w:r>
        <w:t>Fractionation</w:t>
      </w:r>
      <w:proofErr w:type="spellEnd"/>
      <w:r>
        <w:t>) peuvent être utilisées, par exemple, pour réduire les PFAS.</w:t>
      </w:r>
    </w:p>
    <w:p w14:paraId="4C3824D9" w14:textId="77777777" w:rsidR="00DE3C19" w:rsidRDefault="00DE3C19" w:rsidP="00DE3C19"/>
    <w:p w14:paraId="20EA65EF" w14:textId="4B1C6923" w:rsidR="00DE3C19" w:rsidRDefault="00DE3C19" w:rsidP="00DE3C19">
      <w:r>
        <w:t>Il est difficile d’estimer quel traitement des PFAS dans l’eau destinée à la consommation humaine au niveau proposé pourrait coûter aux producteurs d’eau potable, étant donné que peu de producteurs purifient actuellement leur eau potable à partir de PFAS. Dans l’enquête de l’Agence suédoise de l’alimentation, seuls trois producteurs d’eau destinée à la consommation humaine ont déclaré avoir installé un traitement pour abaisser leurs concentrations de PFAS. Un producteur d’eau destinée à la consommation humaine produisant environ 800 m</w:t>
      </w:r>
      <w:r>
        <w:rPr>
          <w:vertAlign w:val="superscript"/>
        </w:rPr>
        <w:t>3</w:t>
      </w:r>
      <w:r>
        <w:t xml:space="preserve"> d’eau potable par jour a déclaré que ses coûts actuels de purification des PFAS avec des filtres à charbon actif s’élèvent à environ 500 000 SEK/an. Le coût comprend quatre remplacements de carbone par an, des analyses, le transport et l’incinération. Ce traitement n’est pas adapté au volume réel de production et à la qualité de l’eau brute puisqu’il a été initialement installé pour gérer un volume de production inférieur et le traitement des pesticides seuls. Le producteur d’eau destinée à la consommation humaine est actuellement à la recherche d’une solution alternative mieux adaptée à son volume de production et à ses besoins. Les calculs préliminaires effectués par ce producteur suggèrent que le coût pourrait être réduit à un tiers. </w:t>
      </w:r>
    </w:p>
    <w:p w14:paraId="5B555824" w14:textId="77777777" w:rsidR="00DE3C19" w:rsidRDefault="00DE3C19" w:rsidP="00DE3C19"/>
    <w:p w14:paraId="74234081" w14:textId="5B44B884" w:rsidR="00DE3C19" w:rsidRDefault="00DE3C19" w:rsidP="00DE3C19">
      <w:r>
        <w:t>L’un des plus grands producteurs d’eau destinée à la consommation humaine du pays a estimé qu’une nouvelle étape de traitement visant à réduire les concentrations de PFAS avec du charbon actif pourrait coûter 130 millions de SEK à acheter initialement et 140 millions de SEK par an, compte tenu de la réactivation du carbone à intervalles de neuf mois. Le coût de production lié au producteur d’eau destinée aux coûts d’exploitation de la consommation humaine pour la purification et le pompage vers le réseau principal est actuellement de 2 SEK/m</w:t>
      </w:r>
      <w:r>
        <w:rPr>
          <w:vertAlign w:val="superscript"/>
        </w:rPr>
        <w:t>3</w:t>
      </w:r>
      <w:r>
        <w:t>. Une nouvelle étape de traitement pour les PFAS pour atteindre la valeur limite proposée impliquerait, selon les estimations, une augmentation des coûts d’environ 0,75 SEK par m</w:t>
      </w:r>
      <w:r>
        <w:rPr>
          <w:vertAlign w:val="superscript"/>
        </w:rPr>
        <w:t>3</w:t>
      </w:r>
      <w:r>
        <w:t xml:space="preserve">. Toutefois, ce n’est pas la solution technique que le </w:t>
      </w:r>
      <w:r>
        <w:lastRenderedPageBreak/>
        <w:t>producteur choisirait en premier lieu comme solution à long terme, mais c’était l’option sur laquelle il était possible d’effectuer un calcul hypothétique des coûts. Le coût d’un traitement plus personnalisé pourrait être inférieur. Comme il n’y a actuellement que trois grandes installations d’eau potable qui purifient leur eau de PFAS, les données sont rares et un calcul hypothétique est rapporté pour donner une indication.</w:t>
      </w:r>
    </w:p>
    <w:p w14:paraId="076E967E" w14:textId="77777777" w:rsidR="00DE3C19" w:rsidRDefault="00DE3C19" w:rsidP="00DE3C19"/>
    <w:p w14:paraId="38901C8B" w14:textId="4393E1E3" w:rsidR="00DE3C19" w:rsidRDefault="00477997" w:rsidP="00DE3C19">
      <w:r>
        <w:t>L’Agence suédoise de l’alimentation a été en contact avec plusieurs entreprises vendant des équipements de purification pour les PFAS aux producteurs d’eau potable. Ils indiquent qu’il est très difficile d’établir une estimation des coûts pour la purification des PFAS dans l’eau destinée à la consommation humaine. Le coût dépend de très nombreux facteurs, y compris la concentration de PFAS dans l’eau brute, les autres propriétés de l’eau en général, qui peuvent affecter le traitement, et la fréquence à laquelle les médias filtrants doivent être remplacés ou réactivés. En plus de l’augmentation des coûts liés à l’élimination des PFAS dans l’usine d’approvisionnement en eau, comme mentionné ci-dessus, des coûts, par exemple, pour le transport et les émissions de dioxyde de carbone peuvent également être engagés à la suite de la technologie de purification où les médias filtrants sont incinérés ou réactivés. Ce facteur n’a pas été estimé plus en détail par l’Agence autre que ce qu’indique la documentation d’un producteur d’eau potable qui purifie déjà son eau potable de PFAS.</w:t>
      </w:r>
    </w:p>
    <w:p w14:paraId="0BA3BFE4" w14:textId="77777777" w:rsidR="00DE3C19" w:rsidRDefault="00DE3C19" w:rsidP="00DE3C19"/>
    <w:p w14:paraId="24053491" w14:textId="7F753544" w:rsidR="00DE3C19" w:rsidRDefault="00DE3C19" w:rsidP="00DE3C19">
      <w:r>
        <w:t>En conclusion, on peut dire qu’il est très difficile d’établir une estimation fiable des coûts pour la valeur limite proposée. Le coût de l’élimination des PFAS est important. Cependant, on peut prévoir que les solutions techniques évolueront à mesure que le besoin de purification augmentera, ce qui devrait à son tour faire baisser les prix de la purification.</w:t>
      </w:r>
    </w:p>
    <w:p w14:paraId="030D912E" w14:textId="0DDDD166" w:rsidR="008874B1" w:rsidRDefault="008874B1" w:rsidP="008874B1"/>
    <w:p w14:paraId="48AD526C" w14:textId="60250BD7" w:rsidR="00DE3C19" w:rsidRPr="00DD37FD" w:rsidRDefault="00EC4B9F" w:rsidP="00DE3C19">
      <w:pPr>
        <w:rPr>
          <w:i/>
        </w:rPr>
      </w:pPr>
      <w:r>
        <w:rPr>
          <w:i/>
        </w:rPr>
        <w:t>Réunions de dialogue</w:t>
      </w:r>
    </w:p>
    <w:p w14:paraId="3C3FC4C3" w14:textId="04C1AD10" w:rsidR="00DE3C19" w:rsidRDefault="00DE3C19" w:rsidP="00DE3C19">
      <w:r>
        <w:t xml:space="preserve">À la suite de la proposition de règlement national du PFAS, l’Agence suédoise de l’alimentation a tenu deux réunions de dialogue. Lors de l’une des réunions, plusieurs autorités centrales ont pu être touchées par la question et l’autre a été assisté par des représentants de l’industrie qui, aujourd’hui déjà, ont un problème connu de PFAS dans leur eau potable. Une vingtaine de participants y ont participé et ont représenté une douzaine de producteurs d’approvisionnement en eau et d’évacuation des eaux usées et l’organisation commerciale </w:t>
      </w:r>
      <w:proofErr w:type="spellStart"/>
      <w:r>
        <w:t>Svenskt</w:t>
      </w:r>
      <w:proofErr w:type="spellEnd"/>
      <w:r>
        <w:t xml:space="preserve"> </w:t>
      </w:r>
      <w:proofErr w:type="spellStart"/>
      <w:r>
        <w:t>Vatten</w:t>
      </w:r>
      <w:proofErr w:type="spellEnd"/>
      <w:r>
        <w:t xml:space="preserve">. </w:t>
      </w:r>
    </w:p>
    <w:p w14:paraId="756C4A46" w14:textId="77777777" w:rsidR="00DE3C19" w:rsidRDefault="00DE3C19" w:rsidP="00DE3C19"/>
    <w:p w14:paraId="566A4CAD" w14:textId="234F7676" w:rsidR="00DE3C19" w:rsidRDefault="00DE3C19" w:rsidP="00DE3C19">
      <w:r>
        <w:t>Les réunions ont présenté la proposition et les raisons de celle-ci, et ont demandé des commentaires ainsi que des estimations de coûts. Il a été avancé que les coûts des mesures seraient coûteux, mais dans l’ensemble, l’Agence suédoise de l’alimentation estime que l’industrie comprend à la fois l’objectif et la nécessité d’une réglementation. Cela se reflète également dans les commentaires reçus après la réunion, c’est-à-dire que le coût a été souligné, mais les commentaires ont été largement concernés par les demandes, par exemple, de soutien dans la communication à la valeur limite de l’entrée en vigueur.</w:t>
      </w:r>
    </w:p>
    <w:p w14:paraId="470C5C65" w14:textId="77777777" w:rsidR="00DE3C19" w:rsidRDefault="00DE3C19" w:rsidP="00DE3C19"/>
    <w:p w14:paraId="40415679" w14:textId="77777777" w:rsidR="00DE3C19" w:rsidRPr="00774B06" w:rsidRDefault="00DE3C19" w:rsidP="00DE3C19">
      <w:pPr>
        <w:rPr>
          <w:i/>
        </w:rPr>
      </w:pPr>
      <w:r>
        <w:rPr>
          <w:i/>
        </w:rPr>
        <w:t>Dispositions relatives aux PFAS dans les eaux destinées à la consommation humaine dans d’autres États membres</w:t>
      </w:r>
    </w:p>
    <w:p w14:paraId="259F3A3F" w14:textId="32C15846" w:rsidR="00DE3C19" w:rsidRDefault="00DE3C19" w:rsidP="00DE3C19">
      <w:r>
        <w:t>L’Agence suédoise de l’alimentation a été informée, dans le cadre des réunions du groupe d’experts de la Commission sur les eaux destinées à la consommation humaine, que plusieurs États membres ont l’intention d’introduire des règles nationales sur les PFAS qui vont au-delà des valeurs limites de la nouvelle directive sur l’eau potable. Entre autres choses, les Pays-Bas sont l’un des pays qui ont longtemps travaillé pour des exigences strictes concernant les PFAS dans les eaux destinées à la consommation humaine. Toutefois, selon les informations fournies à l’Agence suédoise de l’alimentation, les Pays-Bas n’introduiront pas de valeur limite nationale pour les PFAS à l’heure actuelle, principalement en raison de l’absence de données nationales sur l’exposition aux PFAS par l’intermédiaire de denrées alimentaires qui doivent être utilisées lorsque l’EFSA prend en considération le DHT et que le délai de transposition de la nouvelle directive sur l’eau potable est court.</w:t>
      </w:r>
    </w:p>
    <w:p w14:paraId="688A5801" w14:textId="77777777" w:rsidR="00DE3C19" w:rsidRDefault="00DE3C19" w:rsidP="00DE3C19"/>
    <w:p w14:paraId="1E5F0564" w14:textId="4958F8B8" w:rsidR="00DE3C19" w:rsidRDefault="00DE3C19" w:rsidP="00DE3C19">
      <w:r>
        <w:t xml:space="preserve">Depuis le 1er janvier 2022, le Danemark dispose de nouvelles règles pour les PFAS dans les eaux destinées à la consommation humaine. Les nouvelles exigences prévoient une limite nationale de 2 </w:t>
      </w:r>
      <w:proofErr w:type="spellStart"/>
      <w:r>
        <w:t>ng</w:t>
      </w:r>
      <w:proofErr w:type="spellEnd"/>
      <w:r>
        <w:t>/l pour la somme des PFAS 4. La valeur limite est basée sur le DHT de l’EFSA et est basée sur la santé. L’industrie danoise de l’eau potable déclare, dans ses réponses de consultation à l’Agence danoise pour l’environnement</w:t>
      </w:r>
      <w:r>
        <w:rPr>
          <w:rStyle w:val="FootnoteReference"/>
        </w:rPr>
        <w:footnoteReference w:id="7"/>
      </w:r>
      <w:r>
        <w:t>, qu’elle comprend qu’une valeur limite pour les PFAS dans l’eau destinée à la consommation humaine est nécessaire et qu’elle est favorable à la santé. Dans le même temps, ils disent qu’environ la moitié des puits d’eau brute dépassent la valeur limite. Lors de sa consultation sur la valeur limite proposée, l’Agence danoise pour l’environnement n’a fait aucune estimation des coûts de la proposition, car l’Agence estime qu’une valeur limite fondée sur la santé pour les PFAS justifie toute augmentation des coûts que la proposition pourrait entraîner.</w:t>
      </w:r>
    </w:p>
    <w:p w14:paraId="3E5E9DCD" w14:textId="77777777" w:rsidR="00DE3C19" w:rsidRDefault="00DE3C19" w:rsidP="00DE3C19"/>
    <w:p w14:paraId="4ED89E75" w14:textId="7C62869B" w:rsidR="00DE3C19" w:rsidRPr="00966973" w:rsidRDefault="00DE3C19" w:rsidP="00DE3C19">
      <w:pPr>
        <w:rPr>
          <w:i/>
        </w:rPr>
      </w:pPr>
      <w:r>
        <w:rPr>
          <w:i/>
        </w:rPr>
        <w:t xml:space="preserve">Conséquences de l’introduction de la valeur limite de la directive sur l’eau potable pour les PFAS </w:t>
      </w:r>
    </w:p>
    <w:p w14:paraId="6743D84D" w14:textId="5EC15D77" w:rsidR="00DE3C19" w:rsidRDefault="00DE3C19" w:rsidP="00DE3C19">
      <w:r>
        <w:t xml:space="preserve">L’Agence suédoise de l’alimentation estime que la valeur limite proposée pour le PFAS 4 est nécessaire pour garantir que la plus grande partie de la population suédoise soit protégée et sous la dose hebdomadaire tolérable élaborée par l’EFSA. On tient compte ici du fait que les gens devraient être en mesure de manger une alimentation variée et de boire de l’eau pendant toute une vie. L’Agence suédoise de l’alimentation est consciente que cela pourrait entraîner une augmentation significative des coûts pour de nombreux opérateurs et, dans certains cas, une augmentation des tarifs de l’eau et des eaux usées pour les consommateurs. Cela peut être comparé au fait que l’introduction de la nouvelle </w:t>
      </w:r>
      <w:r>
        <w:lastRenderedPageBreak/>
        <w:t>directive sur l’eau potable ne conduirait probablement pas à des dépassements chez de nombreux producteurs d’eau potable, qui n’auraient donc pas à installer de traitement. Les résultats de l’enquête publiée par l’Agence suédoise de l’alimentation en 2021 suggèrent qu’aucune des personnes qui, à l’époque, avaient détecté des PFAS ne dépasserait la valeur limite de la directive. Il est donc peu probable que l’introduction de la valeur limite de la directive entraîne une augmentation des coûts pour les producteurs d’eau destinée à la consommation humaine.</w:t>
      </w:r>
    </w:p>
    <w:p w14:paraId="30CDEE18" w14:textId="77777777" w:rsidR="00DE3C19" w:rsidRDefault="00DE3C19" w:rsidP="00DE3C19"/>
    <w:p w14:paraId="6733ECAD" w14:textId="7AA0203A" w:rsidR="00DE3C19" w:rsidRDefault="00DE3C19">
      <w:r>
        <w:t xml:space="preserve">Il n’est pas non plus considéré comme une option d’introduire une valeur limite légèrement plus élevée afin de réduire encore la valeur limite au cours d’une période transitoire. Le traitement des PFAS est très situationnel, ce qui signifie qu’une nouvelle réduction dans quelques années </w:t>
      </w:r>
      <w:proofErr w:type="gramStart"/>
      <w:r>
        <w:t>aurait</w:t>
      </w:r>
      <w:proofErr w:type="gramEnd"/>
      <w:r>
        <w:t xml:space="preserve"> probablement des conséquences financières majeures pour les opérateurs qui devraient apporter des changements majeurs dans leurs étapes de traitement à plusieurs reprises et, éventuellement, modifier complètement la technologie de traitement. </w:t>
      </w:r>
    </w:p>
    <w:p w14:paraId="4E0BA082" w14:textId="77777777" w:rsidR="00DE3C19" w:rsidRDefault="00DE3C19" w:rsidP="00DE3C19"/>
    <w:p w14:paraId="2F197824" w14:textId="5FF57E98" w:rsidR="00DE3C19" w:rsidRDefault="00DE3C19" w:rsidP="00DE3C19">
      <w:r>
        <w:t>L’absence de mise en œuvre de la proposition entraînera une augmentation des coûts pour la société, étant donné que l’exposition aux PFAS se situera à un niveau plus élevé. Le Conseil nordique des ministres</w:t>
      </w:r>
      <w:r>
        <w:rPr>
          <w:rStyle w:val="FootnoteReference"/>
        </w:rPr>
        <w:footnoteReference w:id="8"/>
      </w:r>
      <w:r>
        <w:t xml:space="preserve"> a observé dans un rapport que les coûts liés à la santé liés à l’exposition aux PFAS dans l’environnement sont déjà importants aujourd’hui pour les pays nordiques, avec une estimation de 2,8 à 4,6 milliards d’euros par an. L’Agence suédoise de l’alimentation considère également que l’impact sur la santé de la population justifie les augmentations de coûts que la valeur limite de PFAS est susceptible d’entraîner.</w:t>
      </w:r>
    </w:p>
    <w:p w14:paraId="3660A926" w14:textId="32CAF69A" w:rsidR="00C97A9F" w:rsidRDefault="00C97A9F" w:rsidP="00DE3C19"/>
    <w:p w14:paraId="2F63469E" w14:textId="7FEAADA2" w:rsidR="00C97A9F" w:rsidRDefault="00C97A9F" w:rsidP="00C97A9F">
      <w:pPr>
        <w:pStyle w:val="Heading3"/>
      </w:pPr>
      <w:r>
        <w:t>Réglementation nationale de l’arsenic, du plomb et du cadmium dans les eaux destinées à la consommation humaine</w:t>
      </w:r>
    </w:p>
    <w:p w14:paraId="691413EA" w14:textId="35B830F0" w:rsidR="00C97A9F" w:rsidRDefault="00073E92">
      <w:r>
        <w:t xml:space="preserve">Pour protéger les consommateurs contre les effets nocifs sur la santé, l’Agence suédoise de l’alimentation estime qu’il est nécessaire de fixer des valeurs limites nationales plus strictes pour l’arsenic, le plomb et le cadmium que celles fixées dans la nouvelle directive sur l’eau potable. </w:t>
      </w:r>
    </w:p>
    <w:p w14:paraId="194A73EC" w14:textId="672BF588" w:rsidR="00C97A9F" w:rsidRDefault="00C97A9F" w:rsidP="00C97A9F"/>
    <w:p w14:paraId="1C776336" w14:textId="68387ACA" w:rsidR="00C97A9F" w:rsidRDefault="00C97A9F" w:rsidP="00C97A9F">
      <w:r>
        <w:rPr>
          <w:i/>
        </w:rPr>
        <w:t>Arsenic</w:t>
      </w:r>
    </w:p>
    <w:p w14:paraId="295D06C6" w14:textId="486FA6FA" w:rsidR="00C97A9F" w:rsidRDefault="00C97A9F" w:rsidP="00C97A9F">
      <w:r>
        <w:t>L’arsenic est un élément que l’on trouve naturellement dans le substrat rocheux et dans le sol. En règle générale, les concentrations d’arsenic dans l’eau suédoise destinée à la consommation humaine sont très faibles. Cependant, des niveaux élevés peuvent être trouvés dans les zones où le substrat rocheux a des concentrations élevées d’arsenic.</w:t>
      </w:r>
    </w:p>
    <w:p w14:paraId="7E65A147" w14:textId="77777777" w:rsidR="00C97A9F" w:rsidRDefault="00C97A9F" w:rsidP="00C97A9F"/>
    <w:p w14:paraId="70D99AE4" w14:textId="4DCBA666" w:rsidR="00C97A9F" w:rsidRDefault="00551700" w:rsidP="00C97A9F">
      <w:r>
        <w:lastRenderedPageBreak/>
        <w:t xml:space="preserve">L’Organisation mondiale de la santé (OMS) a classé l’arsenic comme cancérogène et la substance peut affecter la santé de manière temporaire ou prolongée. Une exposition prolongée à des niveaux élevés d’arsenic augmente le risque de cancer de la peau, des poumons, de la vessie et probablement aussi des reins et du foie. Il peut également causer des maladies cardiovasculaires, des dommages au foie, la toux chronique, le diabète de type-2 et des changements cutanés. </w:t>
      </w:r>
    </w:p>
    <w:p w14:paraId="327C1A9E" w14:textId="77777777" w:rsidR="00C97A9F" w:rsidRDefault="00C97A9F" w:rsidP="00C97A9F"/>
    <w:p w14:paraId="6718092C" w14:textId="45567075" w:rsidR="00C97A9F" w:rsidRDefault="00C97A9F" w:rsidP="00C97A9F">
      <w:r>
        <w:t xml:space="preserve">L’arsenic passe le placenta et, dans une certaine mesure, passe dans le lait maternel. Des études épidémiologiques suggèrent que les fœtus et les enfants sont particulièrement sensibles à l’arsenic, y compris un impact négatif sur le développement du système nerveux et du système immunitaire chez les enfants. </w:t>
      </w:r>
    </w:p>
    <w:p w14:paraId="2024FFB0" w14:textId="77777777" w:rsidR="00C97A9F" w:rsidRDefault="00C97A9F" w:rsidP="00C97A9F"/>
    <w:p w14:paraId="2024D000" w14:textId="1CD66571" w:rsidR="00C97A9F" w:rsidRDefault="00C97A9F" w:rsidP="00C97A9F">
      <w:r>
        <w:t>La quantité d’arsenic ingérée dépend principalement de la quantité de substance contenue dans l’eau destinée à la consommation humaine et de la quantité d’ingérer de certains aliments contenant de l’arsenic, tels que les produits céréaliers.</w:t>
      </w:r>
    </w:p>
    <w:p w14:paraId="67FE6A3A" w14:textId="77777777" w:rsidR="00C97A9F" w:rsidRDefault="00C97A9F" w:rsidP="00C97A9F"/>
    <w:p w14:paraId="3F4C62DF" w14:textId="5D8DDAC9" w:rsidR="00C97A9F" w:rsidRDefault="00C97A9F" w:rsidP="00C97A9F">
      <w:r>
        <w:t>L’EFSA a mis au point un guide axé sur la santé. L’Agence suédoise de l’alimentation a estimé la consommation d’arsenic et a constaté qu’elle était proche de la valeur de référence pour les effets nocifs sur la santé identifiés par l’EFSA. L’EFSA invite les États membres à réduire autant que possible l’exposition à l’arsenic et l’Agence suédoise de l’alimentation partage son point de vue. Selon une évaluation des risques de l’arsenic dans l’eau destinée à la consommation humaine réalisée par l’Agence suédoise de l’alimentation en 2022, 0,5 µg/l est compatible avec une exposition acceptable aux enfants (0,15 µg/kg/jour) et une teneur de 3 µg/l d’arsenic dans l’eau destinée à la consommation humaine constituerait une exposition acceptable pour les adultes, mais pas pour les enfants.</w:t>
      </w:r>
    </w:p>
    <w:p w14:paraId="3C347130" w14:textId="77777777" w:rsidR="00C97A9F" w:rsidRPr="00940D49" w:rsidRDefault="00C97A9F" w:rsidP="00C97A9F"/>
    <w:p w14:paraId="7079DACD" w14:textId="1D23BB0E" w:rsidR="00C97A9F" w:rsidRPr="00940D49" w:rsidRDefault="00C97A9F" w:rsidP="00C97A9F">
      <w:r>
        <w:t xml:space="preserve">Svensk </w:t>
      </w:r>
      <w:proofErr w:type="spellStart"/>
      <w:r>
        <w:t>Armaturindustri</w:t>
      </w:r>
      <w:proofErr w:type="spellEnd"/>
      <w:r>
        <w:t xml:space="preserve"> (Valves &amp; Raccords de Suède) a exprimé des inquiétudes quant à une valeur limite inférieure pour l’arsenic parce que le métal est nécessaire pour la </w:t>
      </w:r>
      <w:proofErr w:type="spellStart"/>
      <w:r>
        <w:t>dézincification</w:t>
      </w:r>
      <w:proofErr w:type="spellEnd"/>
      <w:r>
        <w:t xml:space="preserve"> des matériaux durcis utilisés au contact de l’eau destinée à la consommation humaine, qui, à leur tour, sont d’une grande importance pour les conditions techniques de qualité de l’eau qui prévalent dans les pays nordiques. Étant donné que les réceptions par type de matériaux en contact avec des eaux destinées à la consommation humaine et similaires sont basées sur la valeur limite dans les eaux destinées à la consommation humaine, elles font valoir qu’une teneur de 1 µg/l, voire de 3 µg/l, serait impraticable. Cela pourrait avoir pour conséquence de rendre la disponibilité des matériaux plus difficile, d’entraver le recyclage des matériaux et de créer des obstacles au commerce. Ils soutiennent que 5 µg/l représenterait un défi pour l’industrie, mais qu’il pourrait être possible plutôt que des valeurs inférieures.</w:t>
      </w:r>
    </w:p>
    <w:p w14:paraId="0E281E66" w14:textId="77777777" w:rsidR="00C97A9F" w:rsidRDefault="00C97A9F" w:rsidP="00C97A9F"/>
    <w:p w14:paraId="37F82A9C" w14:textId="15F33CCC" w:rsidR="004773AB" w:rsidRDefault="00C97A9F" w:rsidP="00C97A9F">
      <w:r>
        <w:t xml:space="preserve">L’Agence suédoise de l’alimentation estime qu’il est important de limiter la consommation d’arsenic. Une limite de 1 µg/l d’arsenic dans l’eau destinée à la consommation humaine serait souhaitable d’un point de vue sanitaire. Toutefois, compte </w:t>
      </w:r>
      <w:r>
        <w:lastRenderedPageBreak/>
        <w:t>tenu des difficultés qu’une telle limite faible pourrait causer à l’industrie, l’Agence suédoise de l’alimentation propose d’introduire une valeur limite de 5 μg/l. SLVFS 2001:30 et la nouvelle directive sur l’eau potable fixent une valeur limite de 10 μg/l. En vertu du nouveau règlement sur l’eau potable, la valeur limite de 10 μg/l peut être appliquée jusqu’au 1er janvier 2026.</w:t>
      </w:r>
    </w:p>
    <w:p w14:paraId="5AC19DC2" w14:textId="77777777" w:rsidR="004773AB" w:rsidRDefault="004773AB" w:rsidP="00C97A9F"/>
    <w:p w14:paraId="6CE0581D" w14:textId="7BFCB0EB" w:rsidR="00C97A9F" w:rsidRDefault="00C97A9F" w:rsidP="00C97A9F">
      <w:r>
        <w:rPr>
          <w:i/>
        </w:rPr>
        <w:t>Plomb</w:t>
      </w:r>
    </w:p>
    <w:p w14:paraId="0B1A9B8D" w14:textId="2E5C5210" w:rsidR="00C97A9F" w:rsidRDefault="00C97A9F" w:rsidP="00C97A9F">
      <w:r>
        <w:t xml:space="preserve">Le plomb est introduit dans l’eau destinée à la consommation humaine principalement à partir de matériaux dans les réseaux de distribution domestiques, mais peut également provenir de la pollution environnementale. Contrairement à de nombreux autres pays d’Europe, la Suède n’a utilisé </w:t>
      </w:r>
      <w:r w:rsidR="004A64C1">
        <w:t>qu’occasionnellement</w:t>
      </w:r>
      <w:r>
        <w:t xml:space="preserve"> des tuyaux en plomb dans les réseaux de distribution nationaux ou les installations de distribution. Cependant, certains indices indiquent qu’il pourrait y avoir des concentrations naturelles relativement élevées de plomb dans les puits forés dans certaines régions de Suède</w:t>
      </w:r>
      <w:r w:rsidR="00551700">
        <w:rPr>
          <w:rStyle w:val="FootnoteReference"/>
        </w:rPr>
        <w:footnoteReference w:id="9"/>
      </w:r>
      <w:r>
        <w:t>. En général, cependant, les concentrations de plomb dans l’eau potable suédoise sont faibles. La valeur limite pour le plomb dans l’ancienne directive sur l’eau potable et dans SLVFS 2001:30 est de 10 μg/l. La nouvelle directive sur l’eau potable exige une réduction à 5 μg/l d’ici le 12 janvier 2036.</w:t>
      </w:r>
    </w:p>
    <w:p w14:paraId="522CEC7F" w14:textId="77777777" w:rsidR="00C97A9F" w:rsidRDefault="00C97A9F" w:rsidP="00C97A9F"/>
    <w:p w14:paraId="16CE2AE5" w14:textId="2722F19C" w:rsidR="00C97A9F" w:rsidRDefault="00C97A9F" w:rsidP="00C97A9F">
      <w:r>
        <w:t>Une consommation prolongée à des niveaux supérieurs à la limite actuelle peut augmenter le risque de dommages, en particulier, à la formation du sang et au système nerveux. Même de faibles concentrations de plomb sont considérées comme endommageant le système nerveux, en particulier, la sensibilité au plomb est grande pendant que le cerveau se développe chez les fœtus et les jeunes enfants. Étant donné que les études réalisées n’ont pas identifié de seuil au-dessous duquel aucun effet du plomb ne peut être observé, OMS</w:t>
      </w:r>
      <w:r w:rsidR="00551700">
        <w:rPr>
          <w:rStyle w:val="FootnoteReference"/>
        </w:rPr>
        <w:footnoteReference w:id="10"/>
      </w:r>
      <w:r>
        <w:t xml:space="preserve"> recommande d’essayer de maintenir le niveau de plomb dans l’eau destinée à la consommation humaine aussi bas que possible. L’OMS maintient toujours le critère de référence de 10 μg/l, mais souligne qu’il est provisoire et non fondé sur la santé.</w:t>
      </w:r>
    </w:p>
    <w:p w14:paraId="4635D6C4" w14:textId="77777777" w:rsidR="00C97A9F" w:rsidRDefault="00C97A9F" w:rsidP="00C97A9F"/>
    <w:p w14:paraId="7E504F48" w14:textId="11380F4C" w:rsidR="00C97A9F" w:rsidRDefault="00C97A9F" w:rsidP="00C97A9F">
      <w:r>
        <w:t xml:space="preserve">L’EFSA a fixé une concentration de plomb dans le sang de 12 μg/l comme valeur de référence fondée sur la santé (point de référence, PR) pour les cas où il pourrait y avoir un impact négatif sur le développement du cerveau chez les enfants. Cette valeur de référence est également considérée comme applicable aux nourrissons et aux fœtus. On estime que la concentration de plomb dans le sang de 12 μg/l correspond à une consommation de plomb provenant de denrées alimentaires de 0,5 μg/kg de poids corporel/jour. Au niveau du groupe (enfants de 4 à 10 ans), cette consommation de plomb est considérée comme capable de réduire le QI d’une unité. Une telle réduction du QI au </w:t>
      </w:r>
      <w:r>
        <w:lastRenderedPageBreak/>
        <w:t>niveau de la population ou du groupe est considérée comme significative selon l’EFSA. Selon les enquêtes menées auprès d’adolescents suédois de 2017 à 2019, 13 % avaient des concentrations de plomb dans le sang supérieures à la valeur de référence de 12 μg/l. Par conséquent, il est important que l’exposition au plomb, quelle que soit la source de l’exposition, continue de diminuer.</w:t>
      </w:r>
    </w:p>
    <w:p w14:paraId="5B09A9BB" w14:textId="77777777" w:rsidR="00C97A9F" w:rsidRPr="00D210F2" w:rsidRDefault="00C97A9F" w:rsidP="00C97A9F">
      <w:pPr>
        <w:rPr>
          <w:color w:val="FF0000"/>
        </w:rPr>
      </w:pPr>
    </w:p>
    <w:p w14:paraId="69FE70EB" w14:textId="25415DE7" w:rsidR="00C97A9F" w:rsidRDefault="00C97A9F" w:rsidP="00FC414D">
      <w:r>
        <w:t xml:space="preserve">Étant donné qu’une grande partie de l’exposition au plomb peut provenir de sources autres que l’eau destinée à la consommation humaine, seule une certaine proportion de l’exposition au plomb peut provenir de l’eau afin de ne pas dépasser le PR. La quantité acceptable de plomb provenant d’un aliment individuel (par exemple, l’eau destinée à la consommation humaine) devient donc une question de la quantité que cette source est censée contribuer par rapport au PR ou à l’exposition totale. </w:t>
      </w:r>
    </w:p>
    <w:p w14:paraId="1D7763F4" w14:textId="77777777" w:rsidR="00FC414D" w:rsidRDefault="00FC414D" w:rsidP="00FC414D"/>
    <w:p w14:paraId="613ED9A3" w14:textId="0DC5FF76" w:rsidR="00C97A9F" w:rsidRDefault="001A7893" w:rsidP="00FC414D">
      <w:r>
        <w:t xml:space="preserve">Lors de la mesure du plomb dans le sang, on peut observer que l’exposition des Suédois est très proche ou supérieure aux points de référence pertinents. Étant donné que l’espace d’exposition au plomb par l’eau destinée à la consommation humaine est pratiquement inexistant, une réduction de la valeur limite à 1 μg/l serait souhaitable d’un point de vue toxicologique. Cela équivaudrait à 20 % du PR pour les enfants de moins d’un an. Cela a été communiqué aux autorités centrales compétentes de la région (l’Office national suédois du logement et de l’Agence suédoise des produits chimiques) et aux organisations professionnelles </w:t>
      </w:r>
      <w:proofErr w:type="spellStart"/>
      <w:r>
        <w:t>Svenskt</w:t>
      </w:r>
      <w:proofErr w:type="spellEnd"/>
      <w:r>
        <w:t xml:space="preserve"> </w:t>
      </w:r>
      <w:proofErr w:type="spellStart"/>
      <w:r>
        <w:t>Vatten</w:t>
      </w:r>
      <w:proofErr w:type="spellEnd"/>
      <w:r>
        <w:t xml:space="preserve"> et Svensk </w:t>
      </w:r>
      <w:proofErr w:type="spellStart"/>
      <w:r>
        <w:t>Armaturindustri</w:t>
      </w:r>
      <w:proofErr w:type="spellEnd"/>
      <w:r>
        <w:t xml:space="preserve">, qui conviennent qu’une telle réduction n’est pas possible. Les concentrations ne sont pas en elles-mêmes impossibles à atteindre. Cependant, il peut en bref devenir problématique, car les lignes directrices pour les niveaux de contamination dans les produits chimiques de traitement et les matériaux dans les systèmes de distribution nationaux et similaires sont basées sur les valeurs limites existantes. Des travaux intensifs sont actuellement en cours au niveau de l’UE sur la réglementation des matériaux en contact avec l’eau destinée à la consommation humaine et sur les listes européennes positives pour ces matériaux. Étant donné que cette législation est fondée sur la prochaine valeur limite de 5 μg/l à appliquer à partir de 2036, une limite nationale inférieure peut constituer une entrave aux échanges, par exemple pour les installations domestiques telles que les robinets. </w:t>
      </w:r>
    </w:p>
    <w:p w14:paraId="13C95AC8" w14:textId="77777777" w:rsidR="00FC414D" w:rsidRPr="00940D49" w:rsidRDefault="00FC414D" w:rsidP="00FC414D"/>
    <w:p w14:paraId="0B204648" w14:textId="1793ADB4" w:rsidR="00A05137" w:rsidRDefault="00C97A9F" w:rsidP="00FC414D">
      <w:r>
        <w:t xml:space="preserve">Dans la fabrication de certains matériaux, le plomb est un composant nécessaire, pour lequel il n’y a actuellement pas de remplacements entièrement équivalents. </w:t>
      </w:r>
      <w:proofErr w:type="spellStart"/>
      <w:r>
        <w:t>Swedish</w:t>
      </w:r>
      <w:proofErr w:type="spellEnd"/>
      <w:r>
        <w:t xml:space="preserve"> </w:t>
      </w:r>
      <w:proofErr w:type="spellStart"/>
      <w:r>
        <w:t>Armaturindustri</w:t>
      </w:r>
      <w:proofErr w:type="spellEnd"/>
      <w:r>
        <w:t xml:space="preserve"> a émis des avis selon lesquels 5 μg/l poserait également un défi majeur à l’industrie et souhaite maintenir la valeur limite actuelle de 10 1 µg/l. Toutefois, compte tenu des effets manifestement négatifs sur la santé d’une exposition élevée au plomb, l’Agence suédoise de l’alimentation estime qu’il est important que la valeur limite soit actuellement abaissée autant que possible techniquement. Pour cette raison, l’Agence suédoise de l’alimentation propose d’introduire la valeur limite de la directive de 5 μg/l, mais avec une période transitoire jusqu’au 1er janvier 2026. </w:t>
      </w:r>
    </w:p>
    <w:p w14:paraId="3F5A2854" w14:textId="77777777" w:rsidR="00537D58" w:rsidRPr="00940D49" w:rsidRDefault="00537D58" w:rsidP="00C97A9F">
      <w:pPr>
        <w:pStyle w:val="BodyText"/>
      </w:pPr>
    </w:p>
    <w:p w14:paraId="281C3224" w14:textId="64124697" w:rsidR="00C97A9F" w:rsidRDefault="00C97A9F" w:rsidP="00C97A9F">
      <w:r>
        <w:rPr>
          <w:i/>
        </w:rPr>
        <w:lastRenderedPageBreak/>
        <w:t>Cadmium</w:t>
      </w:r>
    </w:p>
    <w:p w14:paraId="324DBE66" w14:textId="6F5FD521" w:rsidR="00C97A9F" w:rsidRDefault="00C97A9F" w:rsidP="00C97A9F">
      <w:r>
        <w:t>Le cadmium dans l’eau destinée à la consommation humaine est principalement dérivé de contaminants environnementaux et peut également être présent sous forme d’impuretés dans les tuyaux galvanisés par le zinc. Le cadmium peut également se produire naturellement dans certaines eaux souterraines acides. La valeur limite pour le cadmium dans la nouvelle directive sur l’eau potable et dans SLVFS 2001:30 est de 5 μg/l. La consommation prolongée de cadmium dans l’eau destinée à la consommation humaine augmente le risque d’endommagement des reins. Des études récentes suggèrent également d’autres effets sensibles tels que l’augmentation du risque de maladies cardiovasculaires, l’augmentation du risque de fractures, le cancer et peut-être aussi un impact sur le système nerveux</w:t>
      </w:r>
      <w:r w:rsidR="0022035D">
        <w:rPr>
          <w:rStyle w:val="FootnoteReference"/>
        </w:rPr>
        <w:footnoteReference w:id="11"/>
      </w:r>
      <w:r>
        <w:t xml:space="preserve">. </w:t>
      </w:r>
    </w:p>
    <w:p w14:paraId="326681F7" w14:textId="77777777" w:rsidR="00C97A9F" w:rsidRDefault="00C97A9F" w:rsidP="00C97A9F"/>
    <w:p w14:paraId="6B8E1EED" w14:textId="1A5E0FC0" w:rsidR="00C97A9F" w:rsidRPr="00940D49" w:rsidRDefault="00C97A9F" w:rsidP="00C97A9F">
      <w:r>
        <w:t xml:space="preserve">L’EFSA a établi des apports tolérables pour le cadmium. En Suède, l’exposition des aliments est presque la totalité de l’apport tolérable. Les enfants sont exposés à plus de cadmium par rapport à leur poids corporel que les adultes, et les jeunes enfants dépassent largement l’apport tolérable par leur seule exposition alimentaire. Le champ d’application de l’exposition au cadmium par l’eau destinée à la consommation humaine est donc très limité. Selon une évaluation des risques du cadmium dans l’eau destinée à la consommation humaine (Agence suédoise de l’alimentation 2022), la concentration ne peut dépasser 0,5 μg/l si les enfants doivent être exposés au cadmium par l’intermédiaire d’eau destinée à la consommation humaine lorsqu’ils prennent également en considération l’exposition via des denrées alimentaires. </w:t>
      </w:r>
    </w:p>
    <w:p w14:paraId="30F950B0" w14:textId="77777777" w:rsidR="00C97A9F" w:rsidRDefault="00C97A9F" w:rsidP="00C97A9F"/>
    <w:p w14:paraId="46455C10" w14:textId="119EF9F3" w:rsidR="00C97A9F" w:rsidRPr="00940D49" w:rsidRDefault="00C97A9F" w:rsidP="00C97A9F">
      <w:r>
        <w:t>C’est pourquoi l’Agence suédoise de l’alimentation propose d’abaisser la valeur limite pour le cadmium à 0,5 μg/l. La valeur limite est introduite avec une période transitoire jusqu’au 1er janvier 2026.</w:t>
      </w:r>
    </w:p>
    <w:p w14:paraId="2C2AF7E8" w14:textId="599AC7AD" w:rsidR="00C97A9F" w:rsidRDefault="00C97A9F" w:rsidP="00C97A9F"/>
    <w:p w14:paraId="21EB10F1" w14:textId="0EEB6CBD" w:rsidR="00C97A9F" w:rsidRDefault="00C97A9F" w:rsidP="00C97A9F">
      <w:r>
        <w:rPr>
          <w:i/>
        </w:rPr>
        <w:t>Conséquences pour les producteurs d’eau potable de la réglementation nationale de l’arsenic, du plomb et du cadmium dans les eaux destinées à la consommation humaine</w:t>
      </w:r>
    </w:p>
    <w:p w14:paraId="08B9676C" w14:textId="2984D571" w:rsidR="00C97A9F" w:rsidRDefault="00C97A9F" w:rsidP="00C97A9F">
      <w:r>
        <w:t>Il y a environ 2 900 installations municipales d’eau potable en Suède, selon les données des rapports du gouvernement pour 2021. Les données dont dispose l’Agence suédoise de l’alimentation ne sont pas complètes et il est difficile d’estimer sa représentativité. Toutefois, les résultats indiquent clairement que les teneurs en cadmium dans l’eau destinée à la consommation humaine sont faibles et il faut supposer que cela s’applique à la grande majorité des installations municipales. Il y a environ 2 800 installations d’eau potable enregistrées qui ne sont pas municipales</w:t>
      </w:r>
      <w:r w:rsidR="0022035D">
        <w:rPr>
          <w:rStyle w:val="FootnoteReference"/>
        </w:rPr>
        <w:footnoteReference w:id="12"/>
      </w:r>
      <w:r>
        <w:t xml:space="preserve">. Il s’agit d’associations produisant ou fournissant de l’eau destinée à la consommation humaine par l’intermédiaire de leur propre réseau de distribution, mais aussi des activités commerciales ou publiques où l’eau destinée à la consommation humaine est fournie, comme les restaurants, les hôtels, les écoles, etc. Pour celles-ci, il manque des statistiques, mais elles devraient pouvoir être </w:t>
      </w:r>
      <w:r>
        <w:lastRenderedPageBreak/>
        <w:t>représentées dans une certaine mesure par les données communiquées par les USR pour les approvisionnements privés en eau.</w:t>
      </w:r>
    </w:p>
    <w:p w14:paraId="532F0A03" w14:textId="7B425880" w:rsidR="00C97A9F" w:rsidRDefault="00C97A9F" w:rsidP="00C97A9F"/>
    <w:p w14:paraId="369CC4C0" w14:textId="4E68242F" w:rsidR="00F979E9" w:rsidRDefault="00F979E9" w:rsidP="00C97A9F">
      <w:r>
        <w:rPr>
          <w:u w:val="single"/>
        </w:rPr>
        <w:t>Arsenic</w:t>
      </w:r>
    </w:p>
    <w:p w14:paraId="2FEFE85F" w14:textId="77777777" w:rsidR="00537D58" w:rsidRDefault="00F979E9" w:rsidP="00F979E9">
      <w:r>
        <w:t xml:space="preserve">Il existe plusieurs méthodes différentes pour éliminer l’arsenic de l’eau destinée à la consommation humaine. Selon les caractéristiques de l’eau en général, différentes méthodes peuvent être plus ou moins appropriées. Certaines méthodes qui peuvent être utilisées pour la séparation de l’arsenic sont la technologie d’échange d’ions, l’osmose inverse et l’adsorption. En outre, l’adoucissement en augmentant le pH peut avoir un effet de réduction par rapport à l’arsenic. L’installation d’une usine qui réduit la teneur en arsenic dans l’eau peut être coûteuse et souvent de tels équipements nécessitent également des soins et des entretiens plus ou moins avancés. Des estimations des coûts des filtres à arsenic adaptés pour deux à trois ménages ont été demandées à quatre fournisseurs différents. Le coût d’achat et d’installation était compris entre 30 000 et 50 000 SEK hors TVA. La technologie utilisée varie considérablement et, par conséquent, la fréquence avec laquelle le milieu filtrant doit être modifié, ainsi que le coût du milieu filtrant. Lors du calcul du coût des médias filtrants répartis sur le nombre d’années où il peut être utilisé, le résultat a été entre </w:t>
      </w:r>
    </w:p>
    <w:p w14:paraId="650B0B1A" w14:textId="1EEAC763" w:rsidR="00F979E9" w:rsidRDefault="00F979E9" w:rsidP="00F979E9">
      <w:r>
        <w:t>2 400 à 5 500 SEK hors TVA.</w:t>
      </w:r>
    </w:p>
    <w:p w14:paraId="69DEF44F" w14:textId="77777777" w:rsidR="0022035D" w:rsidRDefault="0022035D" w:rsidP="00F979E9"/>
    <w:p w14:paraId="38DF2922" w14:textId="6783EA31" w:rsidR="00537D58" w:rsidRDefault="00F979E9" w:rsidP="00F979E9">
      <w:r>
        <w:t xml:space="preserve">Selon les données des principaux producteurs d’eau potable, tous les échantillons (220) étaient inférieurs à 5 μg/l en 2019 (valeur médiane). Pour les petites installations d’eau potable à usage privé, 96,1 % </w:t>
      </w:r>
    </w:p>
    <w:p w14:paraId="73B5CD44" w14:textId="2056B15E" w:rsidR="00F979E9" w:rsidRDefault="00F979E9" w:rsidP="00F979E9">
      <w:r>
        <w:t>(43 267) des échantillons étaient inférieurs à la même valeur limite (sur la base des données communiquées par les USR pour la période 2007-2020). L’impact sur les grandes installations d’approvisionnement en eau potable devrait être considéré comme négligeable, car probablement seulement quelques-uns seraient affectés par une valeur limite inférieure. Même pour les petites installations, quelques-uns peuvent être affectés par une valeur limite inférieure.</w:t>
      </w:r>
    </w:p>
    <w:p w14:paraId="0C40ED14" w14:textId="29099D08" w:rsidR="00F979E9" w:rsidRDefault="00F979E9" w:rsidP="00C97A9F"/>
    <w:p w14:paraId="70D9F274" w14:textId="2B0EE5A6" w:rsidR="00F979E9" w:rsidRDefault="00F979E9" w:rsidP="00766FD3">
      <w:pPr>
        <w:keepNext/>
      </w:pPr>
      <w:r>
        <w:rPr>
          <w:u w:val="single"/>
        </w:rPr>
        <w:t>Plomb</w:t>
      </w:r>
    </w:p>
    <w:p w14:paraId="3777C985" w14:textId="77777777" w:rsidR="00537D58" w:rsidRDefault="00F979E9" w:rsidP="00F979E9">
      <w:r>
        <w:t xml:space="preserve">Sur plus de 200 producteurs municipaux d’eau destinée à la consommation humaine, tous les producteurs sauf un ont déclaré une médiane inférieure à 5 μg/l de plomb en 2019. Pour les années 2007 à 2020, plus de </w:t>
      </w:r>
    </w:p>
    <w:p w14:paraId="18B40BA0" w14:textId="62C831DB" w:rsidR="00F979E9" w:rsidRDefault="00F979E9" w:rsidP="00F979E9">
      <w:r>
        <w:t>37 000 analyses de plomb ont été effectuées sur l’eau potable chez le consommateur dans le cas de petites installations d’eau potable destinées à un usage privé. Les résultats montrent que dans 91,7 % (33 951) des analyses, des concentrations inférieures à 5 µg/l ont été mesurées. Dans le même groupe, 3,5 % (1250) étaient supérieurs à 10 µg/l de plomb.</w:t>
      </w:r>
    </w:p>
    <w:p w14:paraId="6EAB8827" w14:textId="77777777" w:rsidR="00F979E9" w:rsidRDefault="00F979E9" w:rsidP="00F979E9"/>
    <w:p w14:paraId="524D8397" w14:textId="77777777" w:rsidR="003D7245" w:rsidRDefault="00F979E9" w:rsidP="00F979E9">
      <w:r>
        <w:t xml:space="preserve">Le plomb peut provenir des réseaux de distribution nationaux, mais peut parfois également être trouvé dans les eaux souterraines. Si la teneur en plomb provient de l’eau brute, les mesures possibles peuvent consister à introduire un traitement au plomb ou à </w:t>
      </w:r>
      <w:r>
        <w:lastRenderedPageBreak/>
        <w:t xml:space="preserve">remplacer les sources d’eau brute. La modification de l’approvisionnement en eau brute ne sera probablement pertinente qu’à des niveaux très élevés de plomb, c’est-à-dire à des niveaux dépassant sensiblement la valeur limite actuelle de 10 μg/l. Cela n’est pas affecté par la réduction proposée de la valeur limite pour le plomb. Il n’est pas possible d’évaluer à l’avance le nombre de cas dans lesquels la concentration en plomb peut être réduite par traitement au plomb, étant donné que d’autres qualités d’eau destinées à la consommation humaine peuvent affecter le degré de purification. Le coût du traitement du plomb varie en fonction de la taille de l’installation d’eau potable. Pour les installations plus petites, soit l’équivalent de deux à trois ménages, il peut suffire d’installer un filtre pour éliminer le plomb dans la fourchette de coûts comprise entre 20 000 et 30 000 SEK. Le coût d’exploitation des filtres est dans la gamme de </w:t>
      </w:r>
    </w:p>
    <w:p w14:paraId="4E2EB777" w14:textId="4DABC912" w:rsidR="00F979E9" w:rsidRDefault="00F979E9" w:rsidP="00F979E9">
      <w:r>
        <w:t>1 200 à 7 500 SEK selon la technique de purification. Pour les grandes installations, des installations de purification plus avancées peuvent avoir besoin d’être installées, telles que la filtration sur membrane. Le coût de la filtration sur membrane est estimé à environ 250 000 SEK. Les chiffres sont hors TVA.</w:t>
      </w:r>
    </w:p>
    <w:p w14:paraId="19835EEB" w14:textId="77777777" w:rsidR="00F979E9" w:rsidRPr="00150DB5" w:rsidRDefault="00F979E9" w:rsidP="00F979E9"/>
    <w:p w14:paraId="71412EDD" w14:textId="1522D989" w:rsidR="00F979E9" w:rsidRPr="0027301D" w:rsidRDefault="00DC06EE" w:rsidP="00F979E9">
      <w:r>
        <w:t xml:space="preserve">L’augmentation des niveaux de plomb peut être causée par des matériaux en contact avec l’eau destinée à la consommation humaine, tels que les équipements dans les installations d’approvisionnement en eau et les propriétés. Il est naturel que toute entité qui se débarrasse de l’installation qui provoque une augmentation des niveaux de plomb soit également responsable d’y remédier. La section 32 du projet de règlement stipule que le propriétaire doit être informé lorsque des écarts par rapport aux valeurs ont été causés par des installations domestiques. </w:t>
      </w:r>
    </w:p>
    <w:p w14:paraId="4244D80C" w14:textId="77777777" w:rsidR="00F979E9" w:rsidRDefault="00F979E9" w:rsidP="00C97A9F"/>
    <w:p w14:paraId="56901AA1" w14:textId="0F03C440" w:rsidR="00C97A9F" w:rsidRDefault="00C97A9F" w:rsidP="00C97A9F">
      <w:r>
        <w:rPr>
          <w:u w:val="single"/>
        </w:rPr>
        <w:t>Cadmium</w:t>
      </w:r>
    </w:p>
    <w:p w14:paraId="5E8FAE05" w14:textId="59F86919" w:rsidR="00C97A9F" w:rsidRDefault="00C97A9F" w:rsidP="00C97A9F">
      <w:r>
        <w:t>Les données de plus de 200 producteurs municipaux d’eau destinée à la consommation humaine pour les années 2017 à 2019 montrent qu’aucun des résultats d’analyse du cadmium n’était supérieur à 0,5 µg/l (valeur médiane). Pour les années 2007 à 2020, plus de 31 500 analyses de cadmium ont été effectuées sur l’eau destinée à la consommation chez le consommateur dans le cas de petites installations d’eau potable destinées à un usage privé. Les résultats montrent que dans 98,3 % (31 027) des analyses, des concentrations inférieures à 0,5 µg/l de cadmium ont été mesurées.</w:t>
      </w:r>
    </w:p>
    <w:p w14:paraId="1E8C9236" w14:textId="7AF3A005" w:rsidR="00C97A9F" w:rsidRDefault="00C97A9F" w:rsidP="00C97A9F"/>
    <w:p w14:paraId="11B6FC1E" w14:textId="6D0A3ADE" w:rsidR="00DE3C19" w:rsidRPr="008874B1" w:rsidRDefault="00C97A9F" w:rsidP="008874B1">
      <w:r>
        <w:t>Sur la base de ce qui précède, l’Agence suédoise de l’alimentation estime que l’abaissement de la valeur limite pour le cadmium n’aura pas de conséquences majeures sous la forme d’obligations pour les opérateurs de prendre des mesures pour réduire les niveaux de cadmium dans les eaux destinées à la consommation humaine.</w:t>
      </w:r>
    </w:p>
    <w:p w14:paraId="28C1DC4F" w14:textId="34C7D8BA" w:rsidR="00113684" w:rsidRPr="005A0FB3" w:rsidRDefault="00113684" w:rsidP="005A0FB3">
      <w:pPr>
        <w:tabs>
          <w:tab w:val="left" w:pos="426"/>
        </w:tabs>
      </w:pPr>
    </w:p>
    <w:p w14:paraId="302D9473" w14:textId="018FC9A2" w:rsidR="00113684" w:rsidRPr="005A0FB3" w:rsidRDefault="00113684" w:rsidP="004A64C1">
      <w:pPr>
        <w:pStyle w:val="Heading2"/>
        <w:numPr>
          <w:ilvl w:val="0"/>
          <w:numId w:val="15"/>
        </w:numPr>
        <w:tabs>
          <w:tab w:val="left" w:pos="426"/>
        </w:tabs>
        <w:ind w:left="0" w:firstLine="0"/>
        <w:rPr>
          <w:szCs w:val="22"/>
        </w:rPr>
      </w:pPr>
      <w:r>
        <w:lastRenderedPageBreak/>
        <w:t xml:space="preserve">Le coût et les autres conséquences du règlement </w:t>
      </w:r>
    </w:p>
    <w:p w14:paraId="2AC0347B" w14:textId="3A662D01" w:rsidR="007708BA" w:rsidRPr="007708BA" w:rsidRDefault="007708BA" w:rsidP="004A64C1">
      <w:pPr>
        <w:pStyle w:val="Heading3"/>
      </w:pPr>
      <w:r>
        <w:t>Coûts et autres conséquences pour les entreprises</w:t>
      </w:r>
    </w:p>
    <w:p w14:paraId="080A5416" w14:textId="49BAB828" w:rsidR="00226026" w:rsidRDefault="00226026" w:rsidP="004A64C1">
      <w:pPr>
        <w:keepNext/>
        <w:keepLines/>
      </w:pPr>
      <w:r>
        <w:rPr>
          <w:i/>
        </w:rPr>
        <w:t>Produits chimiques de traitement et médias filtrants</w:t>
      </w:r>
    </w:p>
    <w:p w14:paraId="59B83679" w14:textId="5C45731F" w:rsidR="0030632C" w:rsidRDefault="0030632C" w:rsidP="00DB687D">
      <w:r>
        <w:t>La disposition sur les médias filtrants est nouvelle, comme l’exige la nouvelle directive sur l’eau potable. La réglementation des produits chimiques de traitement correspond en grande partie à la disposition existante de SLVFS 2001:30 et, par conséquent, n’a pas d’incidences administratives ni sur les coûts accrus pour les entreprises. La réglementation des médias filtrants pourrait entraîner une augmentation de l’administration des entreprises, car elles doivent s’assurer que le milieu filtrant est conforme aux exigences. Toutefois, la charge administrative devrait être limitée, car cela est raisonnablement déjà effectué afin de satisfaire aux exigences relatives aux conditions de base et à l’analyse des dangers énoncées dans SLVFS 2001:30.</w:t>
      </w:r>
    </w:p>
    <w:p w14:paraId="3F2C73AE" w14:textId="77777777" w:rsidR="0030632C" w:rsidRDefault="0030632C" w:rsidP="00DB687D"/>
    <w:p w14:paraId="41125126" w14:textId="53AEE8EE" w:rsidR="00226026" w:rsidRDefault="00226026" w:rsidP="00DB687D">
      <w:r>
        <w:t>Les APC ne sont pas couverts par l’article 12 de la nouvelle directive sur l’eau potable, qui énonce des dispositions sur les produits chimiques de traitement et les médias filtrants. L’Agence suédoise de l’alimentation estime qu’il est très important pour la sécurité de l’eau destinée à la consommation humaine de prendre en considération les médias filtrants et les produits chimiques de traitement utilisés, et qu’ils sont utilisés conformément à l’expérience avérée. Pour cette raison, l’Agence estime raisonnable que ces exigences s’appliquent également aux APC. En ce qui concerne les produits chimiques de traitement, la disposition n’augmentera pas le coût ou la charge administrative des APC, étant donné qu’ils sont déjà couverts par la disposition correspondante dans SLVFS 2001:30. De la même manière que pour les installations plus grandes, la charge administrative liée à la réglementation applicable aux médias filtrants devrait également être considérée comme limitée pour les APC, car ces installations sont soumises aux mêmes dispositions dans SLVFS 2001:30.</w:t>
      </w:r>
    </w:p>
    <w:p w14:paraId="10D5E9EF" w14:textId="77777777" w:rsidR="00D369D0" w:rsidRDefault="00D369D0" w:rsidP="00D369D0">
      <w:pPr>
        <w:tabs>
          <w:tab w:val="left" w:pos="426"/>
        </w:tabs>
      </w:pPr>
    </w:p>
    <w:p w14:paraId="797C38CF" w14:textId="77777777" w:rsidR="00D369D0" w:rsidRPr="00DB687D" w:rsidRDefault="00D369D0" w:rsidP="00D369D0">
      <w:pPr>
        <w:rPr>
          <w:i/>
        </w:rPr>
      </w:pPr>
      <w:r>
        <w:rPr>
          <w:i/>
        </w:rPr>
        <w:t>Point d’échantillonnage, eau brute</w:t>
      </w:r>
    </w:p>
    <w:p w14:paraId="20512E01" w14:textId="77777777" w:rsidR="001B0B8C" w:rsidRDefault="00D369D0" w:rsidP="00D369D0">
      <w:pPr>
        <w:tabs>
          <w:tab w:val="left" w:pos="426"/>
        </w:tabs>
      </w:pPr>
      <w:r>
        <w:t xml:space="preserve">L’eau brute doit être surveillée au point où elle est introduite dans l’usine d’approvisionnement en eau. Les principaux producteurs disposent déjà d’un tel point d’échantillonnage; d’autre part, certaines des plus petites installations peuvent ne pas avoir un tel point de surveillance de l’eau brute. Dans ces cas, lorsque la surveillance de l’eau brute est requise, le règlement exigera l’installation d’un tel point d’échantillonnage. On estime le coût d’une telle installation entre </w:t>
      </w:r>
    </w:p>
    <w:p w14:paraId="2D9C45E0" w14:textId="1718751A" w:rsidR="00D369D0" w:rsidRDefault="00ED3AC7" w:rsidP="00D369D0">
      <w:pPr>
        <w:tabs>
          <w:tab w:val="left" w:pos="426"/>
        </w:tabs>
      </w:pPr>
      <w:r>
        <w:t>2 000 et 5 000 SEK.</w:t>
      </w:r>
    </w:p>
    <w:p w14:paraId="75C00870" w14:textId="77777777" w:rsidR="00226026" w:rsidRDefault="00226026" w:rsidP="00DB687D">
      <w:pPr>
        <w:rPr>
          <w:i/>
        </w:rPr>
      </w:pPr>
    </w:p>
    <w:p w14:paraId="143688CA" w14:textId="77777777" w:rsidR="00CA0777" w:rsidRPr="00DB687D" w:rsidRDefault="00CA0777" w:rsidP="00CA0777">
      <w:pPr>
        <w:rPr>
          <w:i/>
        </w:rPr>
      </w:pPr>
      <w:r>
        <w:rPr>
          <w:i/>
        </w:rPr>
        <w:t xml:space="preserve">Fréquence d’échantillonnage et paramètres à étudier dans l’eau brute </w:t>
      </w:r>
    </w:p>
    <w:p w14:paraId="0B2A6EE0" w14:textId="77777777" w:rsidR="00CA0777" w:rsidRDefault="00CA0777" w:rsidP="00CA0777">
      <w:r>
        <w:t xml:space="preserve">Pour </w:t>
      </w:r>
      <w:r>
        <w:rPr>
          <w:i/>
        </w:rPr>
        <w:t>eau sortante destinée à la consommation humaine,</w:t>
      </w:r>
      <w:r>
        <w:t xml:space="preserve"> la plage de tailles minimales est de 100 m</w:t>
      </w:r>
      <w:r>
        <w:rPr>
          <w:vertAlign w:val="superscript"/>
        </w:rPr>
        <w:t>3</w:t>
      </w:r>
      <w:r>
        <w:t xml:space="preserve"> d’eau destinée à la consommation humaine produite par jour, mais, afin d’éviter des exigences inutilement contraignantes pour les plus petits producteurs, deux autres gammes de tailles plus petites ont été introduites pour la surveillance de l’eau brute. </w:t>
      </w:r>
    </w:p>
    <w:p w14:paraId="75EC3168" w14:textId="77777777" w:rsidR="00CA0777" w:rsidRDefault="00CA0777" w:rsidP="00CA0777"/>
    <w:p w14:paraId="01305F2B" w14:textId="7A46E5AE" w:rsidR="00CA0777" w:rsidRPr="002037A4" w:rsidRDefault="00CA0777" w:rsidP="00CA0777">
      <w:r>
        <w:t xml:space="preserve">Outre la surveillance de l’eau brute mentionnée dans la nouvelle directive sur l’eau potable, le producteur d’eau destinée à la consommation humaine dispose également d’un programme de suivi opérationnelle des </w:t>
      </w:r>
      <w:proofErr w:type="spellStart"/>
      <w:r>
        <w:t>coliphages</w:t>
      </w:r>
      <w:proofErr w:type="spellEnd"/>
      <w:r>
        <w:t xml:space="preserve"> somatiques afin de vérifier l’efficacité du processus de traitement contre les risques microbiologiques, si l’évaluation des risques du système d’approvisionnement (analyse des risques) montre que cela est nécessaire. Ce paramètre a été inclus dans le groupe de paramètres à surveiller, au minimum, au point d’échantillonnage </w:t>
      </w:r>
      <w:r>
        <w:rPr>
          <w:i/>
        </w:rPr>
        <w:t>eau brute</w:t>
      </w:r>
      <w:r>
        <w:t xml:space="preserve"> à la même fréquence que les autres paramètres du point d’échantillonnage. En outre, les analyses des paramètres au point d'échantillonnage de l’eau brute sont effectuées selon les mêmes méthodes que celles spécifiées pour les autres points d'échantillonnage, afin de garantir la comparabilité des résultats d’analyse avant et après le traitement. Le coût de l’examen des paramètres à inclure, au minimum, dans la surveillance de l’eau brute dans l’un des plus grands laboratoires est d’environ 2 100 SEK par échantillon. En excluant le paramètre </w:t>
      </w:r>
      <w:proofErr w:type="spellStart"/>
      <w:r>
        <w:t>coliphages</w:t>
      </w:r>
      <w:proofErr w:type="spellEnd"/>
      <w:r>
        <w:t xml:space="preserve"> somatiques (qui ne devront pas être surveillés par tous les opérateurs), le coût est d’environ 1 000 SEK par échantillon. Il s’agit de la somme totale pour l’analyse des paramètres individuels et de nombreux laboratoires sont susceptibles de fournir des solutions globales, ce qui réduira encore le prix. L’augmentation réelle des coûts pour un producteur dépend des paramètres qu’il a précédemment choisis d’analyser et avec quelle fréquence. </w:t>
      </w:r>
      <w:proofErr w:type="spellStart"/>
      <w:r>
        <w:t>Svenskt</w:t>
      </w:r>
      <w:proofErr w:type="spellEnd"/>
      <w:r>
        <w:t xml:space="preserve"> </w:t>
      </w:r>
      <w:proofErr w:type="spellStart"/>
      <w:r>
        <w:t>Vatten</w:t>
      </w:r>
      <w:proofErr w:type="spellEnd"/>
      <w:r>
        <w:t xml:space="preserve"> a guidé les producteurs dans l’échantillonnage de l’eau brute à travers ses directives industrielles, </w:t>
      </w:r>
      <w:r>
        <w:rPr>
          <w:i/>
        </w:rPr>
        <w:t>Contrôle de l’eau brute — Exigence de qualité de l’eau brute</w:t>
      </w:r>
      <w:r w:rsidR="0098554C">
        <w:rPr>
          <w:rStyle w:val="FootnoteReference"/>
          <w:i/>
        </w:rPr>
        <w:footnoteReference w:id="13"/>
      </w:r>
      <w:r>
        <w:t xml:space="preserve">. Le projet de règlement entraîne des changements dans la fréquence et le nombre de paramètres par rapport aux directives de </w:t>
      </w:r>
      <w:proofErr w:type="spellStart"/>
      <w:r>
        <w:t>Svenskt</w:t>
      </w:r>
      <w:proofErr w:type="spellEnd"/>
      <w:r>
        <w:t xml:space="preserve"> </w:t>
      </w:r>
      <w:proofErr w:type="spellStart"/>
      <w:r>
        <w:t>Vatten</w:t>
      </w:r>
      <w:proofErr w:type="spellEnd"/>
      <w:r>
        <w:t>. Cela s’explique principalement par le fait que les intervalles des différentes fréquences de surveillance doivent correspondre, dans la mesure du possible, aux mêmes fréquences que pour les eaux sortantes destinées à la consommation humaine. Le nombre de paramètres à surveiller dans l’eau brute a également été limité, ce qui a permis à la propre analyse des dangers de l’exploitation de contrôler en grande partie les paramètres à étudier.</w:t>
      </w:r>
    </w:p>
    <w:p w14:paraId="69146FCC" w14:textId="6A8DBEB4" w:rsidR="0032331B" w:rsidRDefault="0032331B" w:rsidP="0032331B"/>
    <w:p w14:paraId="1ED9185A" w14:textId="77777777" w:rsidR="00CA0777" w:rsidRPr="00DB687D" w:rsidRDefault="00CA0777" w:rsidP="00CA0777">
      <w:pPr>
        <w:rPr>
          <w:i/>
        </w:rPr>
      </w:pPr>
      <w:r>
        <w:rPr>
          <w:i/>
        </w:rPr>
        <w:t>Fréquence d’échantillonnage des eaux sortantes destinées à la consommation humaine</w:t>
      </w:r>
    </w:p>
    <w:p w14:paraId="0987E6AD" w14:textId="0B32B7E3" w:rsidR="00CA0777" w:rsidRDefault="00CA0777" w:rsidP="00CA0777">
      <w:r>
        <w:t>Les fourchettes de taille pour la surveillance de l’eau sortante destinée à la consommation humaine sont modifiées afin de mieux correspondre aux intervalles existants de surveillance de l’eau potable chez le consommateur. Cela signifie que la fréquence de la surveillance par an varie également dans certaines fourchettes de taille. Selon SLVFS 2001:30, quatre échantillons microbiologiques et un échantillon chimique normal doivent être prélevés chaque année pour toutes les installations utilisant des eaux souterraines inférieures à 400 m</w:t>
      </w:r>
      <w:r>
        <w:rPr>
          <w:vertAlign w:val="superscript"/>
        </w:rPr>
        <w:t>3</w:t>
      </w:r>
      <w:r>
        <w:t>/jour. La même fréquence de surveillance s’applique, selon le nouveau règlement, à celles produisant jusqu’à 100 m</w:t>
      </w:r>
      <w:r>
        <w:rPr>
          <w:vertAlign w:val="superscript"/>
        </w:rPr>
        <w:t>3</w:t>
      </w:r>
      <w:r>
        <w:t>/jour. Pour les producteurs de 100 à 1 000 m</w:t>
      </w:r>
      <w:r>
        <w:rPr>
          <w:vertAlign w:val="superscript"/>
        </w:rPr>
        <w:t>3</w:t>
      </w:r>
      <w:r>
        <w:t xml:space="preserve">/jour et utilisant des eaux souterraines, six échantillons microbiologiques (420 à 600 SEK par échantillon) et deux échantillons chimiques (300 à 400 SEK par </w:t>
      </w:r>
      <w:r>
        <w:lastRenderedPageBreak/>
        <w:t>échantillon) doivent être prélevés par an. Cela signifie une augmentation des coûts d’environ 1 140 à 1 600 SEK par an, sur la base des données de prix approximatives des laboratoires Eurofins et SGS.</w:t>
      </w:r>
    </w:p>
    <w:p w14:paraId="3DA9343E" w14:textId="77777777" w:rsidR="00CA0777" w:rsidRDefault="00CA0777" w:rsidP="00CA0777"/>
    <w:p w14:paraId="1F460D9C" w14:textId="75B315E6" w:rsidR="00CA0777" w:rsidRDefault="00CA0777" w:rsidP="00CA0777">
      <w:r>
        <w:t>Pour une installation utilisant des eaux souterraines et produisant &gt; 1000 à 2 000 m</w:t>
      </w:r>
      <w:r>
        <w:rPr>
          <w:vertAlign w:val="superscript"/>
        </w:rPr>
        <w:t>3</w:t>
      </w:r>
      <w:r>
        <w:t>/jour, selon SLVFS 2001:30, 12 échantillons microbiologiques et quatre échantillons chimiques étaient nécessaires par an. Selon le nouveau règlement, neuf échantillons microbiologiques et six échantillons chimiques doivent être prélevés chaque année pour ceux qui produisent &gt; 1 000 à 10 000 m</w:t>
      </w:r>
      <w:r>
        <w:rPr>
          <w:vertAlign w:val="superscript"/>
        </w:rPr>
        <w:t>3</w:t>
      </w:r>
      <w:r>
        <w:t>/jour. Cela signifie un coût réduit d’environ 600 à 1 000 SEK par an pour les producteurs qui se situent actuellement dans l’intervalle &gt; 1 000 à 2 000 m</w:t>
      </w:r>
      <w:r>
        <w:rPr>
          <w:vertAlign w:val="superscript"/>
        </w:rPr>
        <w:t>3</w:t>
      </w:r>
      <w:r>
        <w:t>/jour.</w:t>
      </w:r>
    </w:p>
    <w:p w14:paraId="5AD9E298" w14:textId="77777777" w:rsidR="00CA0777" w:rsidRPr="0032331B" w:rsidRDefault="00CA0777" w:rsidP="0032331B"/>
    <w:p w14:paraId="02552EFF" w14:textId="666DE0D5" w:rsidR="007D2AFB" w:rsidRPr="00DB687D" w:rsidRDefault="00FA3B9D" w:rsidP="00DB687D">
      <w:pPr>
        <w:rPr>
          <w:i/>
        </w:rPr>
      </w:pPr>
      <w:r>
        <w:rPr>
          <w:i/>
        </w:rPr>
        <w:t>Fréquence d’échantillonnage des eaux destinées à la consommation humaine chez le consommateur</w:t>
      </w:r>
    </w:p>
    <w:p w14:paraId="629748DC" w14:textId="643A9E58" w:rsidR="003B3E92" w:rsidRDefault="007D2AFB" w:rsidP="00FA3B9D">
      <w:r>
        <w:t>Les nouvelles fréquences d’échantillonnage plus basses pour ceux qui produisent ou fournissent moins de 10 m</w:t>
      </w:r>
      <w:r>
        <w:rPr>
          <w:vertAlign w:val="superscript"/>
        </w:rPr>
        <w:t>3</w:t>
      </w:r>
      <w:r>
        <w:t>/jour correspondent à un coût d’analyse approximatif de 900 à 1 000 SEK par an pour le groupe d’échantillon A et à un supplément additionnel pour le groupe d’échantillon B (y compris l’activité alpha totale et l’activité bêta totale) de 8 500 à 13 500 SEK tous les six ans. Les coûts sont basés sur les données de prix approximatives des laboratoires Eurofins et SGS. Cela signifie que les coûts sont réduits de 900 à 1 000 SEK par an pour le suivi du groupe A par rapport à la situation actuelle et que le coût de la surveillance du groupe B est réduit de moitié.</w:t>
      </w:r>
    </w:p>
    <w:p w14:paraId="1D5A59FC" w14:textId="7E0E492F" w:rsidR="00AA4A42" w:rsidRDefault="00AA4A42" w:rsidP="00FA3B9D"/>
    <w:p w14:paraId="7D499EFC" w14:textId="0F08BBF1" w:rsidR="000D5F7C" w:rsidRDefault="00AA4A42" w:rsidP="00CA0777">
      <w:r>
        <w:t>Même ceux qui produisent ou fournissent de 10 à 100 m</w:t>
      </w:r>
      <w:r>
        <w:rPr>
          <w:vertAlign w:val="superscript"/>
        </w:rPr>
        <w:t>3</w:t>
      </w:r>
      <w:r>
        <w:t>/jour ont une fréquence d’échantillonnage plus faible pour le groupe d’échantillons A, deux échantillons par rapport à quatre actuellement. Cela signifie que les coûts sont réduits de 1 800 à 2 000 SEK par an, par rapport à aujourd’hui, pour les opérateurs de cette gamme de tailles.</w:t>
      </w:r>
    </w:p>
    <w:p w14:paraId="6F30CD55" w14:textId="45B1EEF4" w:rsidR="00F309E3" w:rsidRDefault="00F309E3" w:rsidP="00CA0777"/>
    <w:p w14:paraId="31C34C73" w14:textId="77777777" w:rsidR="00CA0777" w:rsidRPr="00DB687D" w:rsidRDefault="00CA0777" w:rsidP="00CA0777">
      <w:pPr>
        <w:rPr>
          <w:i/>
        </w:rPr>
      </w:pPr>
      <w:r>
        <w:rPr>
          <w:i/>
        </w:rPr>
        <w:t>Manganèse dans le groupe d’échantillon A</w:t>
      </w:r>
    </w:p>
    <w:p w14:paraId="6A154D34" w14:textId="54C20072" w:rsidR="00245056" w:rsidRPr="0014308A" w:rsidRDefault="00CA0777" w:rsidP="00DB687D">
      <w:r>
        <w:t>L’Agence suédoise de l’alimentation propose que le manganèse soit inclus dans le groupe d’échantillons A au lieu du groupe d’échantillons B tel que spécifié dans la nouvelle directive sur l’eau potable. Cela correspond à un coût supplémentaire approximatif de 50 SEK par examen pour le groupe A.</w:t>
      </w:r>
    </w:p>
    <w:p w14:paraId="3B3A5161" w14:textId="77777777" w:rsidR="00245056" w:rsidRDefault="00245056" w:rsidP="00DB687D">
      <w:pPr>
        <w:rPr>
          <w:i/>
        </w:rPr>
      </w:pPr>
    </w:p>
    <w:p w14:paraId="7791C406" w14:textId="19C750AA" w:rsidR="00D33AE7" w:rsidRPr="00DB687D" w:rsidRDefault="00D33AE7" w:rsidP="00DB687D">
      <w:pPr>
        <w:rPr>
          <w:i/>
        </w:rPr>
      </w:pPr>
      <w:r>
        <w:rPr>
          <w:i/>
        </w:rPr>
        <w:t>PFAS, arsenic, plomb et cadmium</w:t>
      </w:r>
    </w:p>
    <w:p w14:paraId="43BB8EB8" w14:textId="08EE6BA0" w:rsidR="00D33AE7" w:rsidRDefault="00D33AE7" w:rsidP="005A0FB3">
      <w:pPr>
        <w:tabs>
          <w:tab w:val="left" w:pos="426"/>
        </w:tabs>
      </w:pPr>
      <w:r>
        <w:t>Les implications des valeurs limites proposées pour les PFAS, l’arsenic, le plomb et le cadmium sont décrites ci-dessus à la section 7.</w:t>
      </w:r>
    </w:p>
    <w:p w14:paraId="13DFA877" w14:textId="2A8CEFE0" w:rsidR="00700F66" w:rsidRDefault="00700F66" w:rsidP="005A0FB3">
      <w:pPr>
        <w:tabs>
          <w:tab w:val="left" w:pos="426"/>
        </w:tabs>
      </w:pPr>
    </w:p>
    <w:p w14:paraId="5E4D1533" w14:textId="12F41F85" w:rsidR="007708BA" w:rsidRPr="00DB687D" w:rsidRDefault="007708BA" w:rsidP="00DB687D">
      <w:pPr>
        <w:rPr>
          <w:i/>
        </w:rPr>
      </w:pPr>
      <w:r>
        <w:rPr>
          <w:i/>
        </w:rPr>
        <w:t>Coûts administratifs</w:t>
      </w:r>
    </w:p>
    <w:p w14:paraId="2D81BA8A" w14:textId="30BC990F" w:rsidR="00226026" w:rsidRDefault="007708BA" w:rsidP="007708BA">
      <w:pPr>
        <w:tabs>
          <w:tab w:val="left" w:pos="426"/>
        </w:tabs>
      </w:pPr>
      <w:r>
        <w:t xml:space="preserve">Le règlement comporte un certain nombre de nouvelles exigences à respecter par les opérateurs. Cela peut entraîner dans un premier temps un coût administratif sous la forme du temps qu’il faut à l’exploitant pour réviser, par exemple, les programmes de </w:t>
      </w:r>
      <w:r>
        <w:lastRenderedPageBreak/>
        <w:t>surveillance et les analyses des dangers conformément aux nouvelles exigences. Cela signifie également que l’exploitant doit veiller à ce que les informations au public soient fournies conformément aux nouvelles exigences, ce qui peut entraîner des coûts administratifs accrus pour la mise à disposition et la mise à jour des informations.</w:t>
      </w:r>
    </w:p>
    <w:p w14:paraId="2833B7AF" w14:textId="77777777" w:rsidR="007708BA" w:rsidRDefault="007708BA" w:rsidP="007708BA">
      <w:pPr>
        <w:tabs>
          <w:tab w:val="left" w:pos="426"/>
        </w:tabs>
      </w:pPr>
    </w:p>
    <w:p w14:paraId="2A823838" w14:textId="5DA48268" w:rsidR="007708BA" w:rsidRDefault="007708BA" w:rsidP="007708BA">
      <w:pPr>
        <w:tabs>
          <w:tab w:val="left" w:pos="426"/>
        </w:tabs>
      </w:pPr>
      <w:r>
        <w:t>Le nouveau règlement fixe des exigences plus claires pour la communication des données sur la qualité de l’eau destinée à la consommation humaine et aux incidents liés à l’eau potable, qui incluent maintenant les entreprises. Pour que l’Agence suédoise de l’alimentation puisse présenter ce rapport à la Commission, les producteurs et les fournisseurs d’eau destinée à la consommation humaine doivent mettre les données à la disposition de l’Agence suédoise de l’alimentation. Cela entraînera une augmentation des coûts administratifs pour les entreprises et, éventuellement, pour les laboratoires.</w:t>
      </w:r>
    </w:p>
    <w:p w14:paraId="57A8D455" w14:textId="0A6BB32F" w:rsidR="007708BA" w:rsidRDefault="007708BA" w:rsidP="007708BA">
      <w:pPr>
        <w:tabs>
          <w:tab w:val="left" w:pos="426"/>
        </w:tabs>
      </w:pPr>
    </w:p>
    <w:p w14:paraId="6EB594F0" w14:textId="5BBC378C" w:rsidR="008D1A5C" w:rsidRDefault="006F7235" w:rsidP="006F7235">
      <w:pPr>
        <w:tabs>
          <w:tab w:val="left" w:pos="426"/>
        </w:tabs>
      </w:pPr>
      <w:r>
        <w:t xml:space="preserve">Les modalités de présentation des rapports à la Commission n’ont pas encore été arrêtées. Une proposition de la Commission aux États membres montre que les rapports seront beaucoup plus détaillés que l’ancienne directive sur l’eau potable. À l’heure actuelle, les producteurs et les fournisseurs d’eau destinée à la consommation humaine n’ont aucune obligation de faire rapport à l’Agence suédoise de l’alimentation. Les données sur l’eau destinée à la consommation humaine des grands laboratoires sont collectées au format XML par consentement entre eux et les USR. Aujourd’hui, l’Agence suédoise de l’alimentation paie les coûts que les laboratoires ont pour la communication de ces données au format XML. Les rapports au titre de l’ancienne directive sur l’eau potable ont lieu tous les trois ans avec un délai d’un an. La nouvelle directive sur l’eau potable exige un rapport annuel, qui aura lieu l’année suivante. </w:t>
      </w:r>
    </w:p>
    <w:p w14:paraId="4FC9B122" w14:textId="77777777" w:rsidR="008D1A5C" w:rsidRDefault="008D1A5C" w:rsidP="006F7235">
      <w:pPr>
        <w:tabs>
          <w:tab w:val="left" w:pos="426"/>
        </w:tabs>
      </w:pPr>
    </w:p>
    <w:p w14:paraId="619D779E" w14:textId="60BD95A4" w:rsidR="006F7235" w:rsidRDefault="006F7235" w:rsidP="006F7235">
      <w:pPr>
        <w:tabs>
          <w:tab w:val="left" w:pos="426"/>
        </w:tabs>
      </w:pPr>
      <w:r>
        <w:t xml:space="preserve">La manière dont les données doivent être collectées auprès des producteurs et des fournisseurs n’est pas claire. L’Agence suédoise de l’alimentation n’a pas encore reçu toutes les informations de la Commission sur le système de notification. Une étude préliminaire est prévue par l’Agence suédoise de l’alimentation à l’automne 2022 afin d’étudier les conditions d’un nouveau système de déclaration. Il est difficile d’évaluer avec certitude l’impact sur les entreprises et éventuellement sur les laboratoires avant que ces rapports n’aient été effectués, notamment en ce qui concerne les coûts et les charges administratives et leur répartition. </w:t>
      </w:r>
    </w:p>
    <w:p w14:paraId="2550B3A3" w14:textId="6385BEDE" w:rsidR="006F7235" w:rsidRDefault="006F7235" w:rsidP="007708BA">
      <w:pPr>
        <w:tabs>
          <w:tab w:val="left" w:pos="426"/>
        </w:tabs>
      </w:pPr>
    </w:p>
    <w:p w14:paraId="04FFF90A" w14:textId="14EDD97C" w:rsidR="007708BA" w:rsidRDefault="007708BA" w:rsidP="007708BA">
      <w:pPr>
        <w:pStyle w:val="Heading3"/>
      </w:pPr>
      <w:r>
        <w:t>Coûts et autres conséquences pour les autorités de contrôle</w:t>
      </w:r>
    </w:p>
    <w:p w14:paraId="4B125C6D" w14:textId="1A22C8D2" w:rsidR="007708BA" w:rsidRDefault="007708BA" w:rsidP="007708BA">
      <w:pPr>
        <w:tabs>
          <w:tab w:val="left" w:pos="426"/>
        </w:tabs>
      </w:pPr>
      <w:r>
        <w:t xml:space="preserve">Les autorités de contrôle, dont la majorité sont des autorités municipales, peuvent être confrontées à une charge administrative accrue dans le cadre de l’entrée en vigueur du règlement, étant donné que les exploitants peuvent avoir à revoir leurs programmes d’analyse et de surveillance des dangers ou à le souhaiter. D’autres orientations sur la hiérarchisation des priorités et la gestion pratique de cette question dans le cadre de l’entrée en vigueur du règlement seront fournies par l’intermédiaire des canaux de l’Agence suédoise de l’alimentation pour guider les autorités de contrôle. À plus long </w:t>
      </w:r>
      <w:r>
        <w:lastRenderedPageBreak/>
        <w:t>terme, toutefois, les autorités de contrôle ne devraient pas être affectées de manière significative, étant donné que la charge administrative qui leur est imposée par le nouveau règlement est globalement équivalente dans SLVFS 2001:30. Un soulagement consiste en l’absence de processus d’adoption d’analyses des dangers pour les APC. Un certain besoin de développement des compétences peut être prévu à court terme, car le personnel de contrôle doit se familiariser avec les nouvelles règles.</w:t>
      </w:r>
    </w:p>
    <w:p w14:paraId="196FB830" w14:textId="42B1F3B3" w:rsidR="007708BA" w:rsidRDefault="007708BA" w:rsidP="007708BA">
      <w:pPr>
        <w:tabs>
          <w:tab w:val="left" w:pos="426"/>
        </w:tabs>
      </w:pPr>
    </w:p>
    <w:p w14:paraId="3FDEEF99" w14:textId="10CFA607" w:rsidR="007708BA" w:rsidRDefault="007708BA" w:rsidP="007708BA">
      <w:pPr>
        <w:pStyle w:val="Heading3"/>
      </w:pPr>
      <w:r>
        <w:t>Coûts et autres conséquences pour les laboratoires</w:t>
      </w:r>
    </w:p>
    <w:p w14:paraId="09210C86" w14:textId="746D2EF3" w:rsidR="007708BA" w:rsidRDefault="00996E70" w:rsidP="007708BA">
      <w:r>
        <w:t xml:space="preserve">L’annexe 4 énonce les exigences en matière d’analyse sous forme de méthodes et l’incertitude de mesure à respecter. Le nouveau règlement sur l’eau potable aura donc un impact sur les laboratoires, avec une certaine augmentation des coûts administratifs, sous la forme d’une modification des services demandés par les opérateurs. Il s’agit principalement de la demande de services d’analyse pour un certain nombre de nouveaux paramètres et de nouveaux paquets analytiques adaptés au règlement. De nombreux laboratoires fournissent déjà différents paquets analytiques adaptés à SLVFS 2001:30, qui peuvent, dans une certaine mesure, devenir obsolètes. </w:t>
      </w:r>
    </w:p>
    <w:p w14:paraId="196BFE2F" w14:textId="54DCC4D7" w:rsidR="00C847C5" w:rsidRDefault="00C847C5" w:rsidP="007708BA"/>
    <w:p w14:paraId="3F4A62E1" w14:textId="08AF9883" w:rsidR="003D6542" w:rsidRDefault="00C847C5" w:rsidP="007708BA">
      <w:r>
        <w:t xml:space="preserve">En outre, l’évaluation, que le laboratoire fournit habituellement de l’analyse, sera effectuée par rapport aux nouvelles valeurs limites pour chaque paramètre. Une différence sera également que l’opinion que le laboratoire fournit habituellement comme base pour l’évaluation par l’exploitant du respect des exigences de qualité ne sera plus fondée sur des valeurs limites doubles et les évaluations à être utilisées </w:t>
      </w:r>
      <w:r>
        <w:rPr>
          <w:i/>
        </w:rPr>
        <w:t xml:space="preserve">apte à l’emploi, aptes à l’emploi avec commentaire </w:t>
      </w:r>
      <w:r>
        <w:t xml:space="preserve">ou </w:t>
      </w:r>
      <w:r>
        <w:rPr>
          <w:i/>
        </w:rPr>
        <w:t>inapte à l’emploi</w:t>
      </w:r>
      <w:r>
        <w:t xml:space="preserve">. Ceci est décrit plus en détail dans la section de l’annexe 1. </w:t>
      </w:r>
    </w:p>
    <w:p w14:paraId="67641354" w14:textId="77777777" w:rsidR="003D6542" w:rsidRDefault="003D6542" w:rsidP="007708BA"/>
    <w:p w14:paraId="34783CA8" w14:textId="74A130A0" w:rsidR="00C847C5" w:rsidRDefault="003D6542" w:rsidP="007708BA">
      <w:r>
        <w:t>À l’heure actuelle, il n’est pas clair comment le système de communication des données de qualité sur l’eau destinée à la consommation humaine à l’Agence suédoise de l’alimentation, comme l’exige la section 36, sera organisé. La communication des données de qualité effectuées aujourd’hui a été fournie par les laboratoires sur une base volontaire. La proposition du nouveau règlement sur l’eau potable vise les exigences relatives à la communication des données au producteur ou au fournisseur d’eau destinée à la consommation humaine. Le rôle des laboratoires dans ce domaine n’est pas encore déterminé et est décrit sous la rubrique «Coûts et autres conséquences pour les entreprises». Dans le cas contraire, la proposition n’est pas considérée comme entraînant des changements majeurs pour les laboratoires.</w:t>
      </w:r>
    </w:p>
    <w:p w14:paraId="4C7496F7" w14:textId="4130CC90" w:rsidR="00C97A9F" w:rsidRDefault="00C97A9F" w:rsidP="007708BA"/>
    <w:p w14:paraId="08247972" w14:textId="28500867" w:rsidR="00C97A9F" w:rsidRPr="007708BA" w:rsidRDefault="00C97A9F" w:rsidP="007708BA">
      <w:r>
        <w:t xml:space="preserve">En ce qui concerne la réduction de la valeur limite pour le paramètre cadmium, la nouvelle directive sur l’eau potable fixe des exigences relatives à l’exactitude de la méthode d’analyse et la réduction d’une valeur limite présuppose l’existence de méthodes d’analyse capables de satisfaire aux exigences des méthodes utilisées à la valeur spécifiée. Selon une évaluation effectuée par le service de chimie de l’Agence suédoise </w:t>
      </w:r>
      <w:r>
        <w:lastRenderedPageBreak/>
        <w:t>de l’alimentation, les quatre grands laboratoires suédois peuvent analyser le cadmium à l’aide de méthodes qui répondent aux exigences, même à une valeur limite inférieure.</w:t>
      </w:r>
    </w:p>
    <w:p w14:paraId="3A69E88A" w14:textId="77777777" w:rsidR="007708BA" w:rsidRPr="007708BA" w:rsidRDefault="007708BA" w:rsidP="007708BA"/>
    <w:p w14:paraId="00079190" w14:textId="77777777" w:rsidR="00113684" w:rsidRPr="005A0FB3" w:rsidRDefault="00113684" w:rsidP="005A0FB3">
      <w:pPr>
        <w:pStyle w:val="Heading2"/>
        <w:numPr>
          <w:ilvl w:val="0"/>
          <w:numId w:val="15"/>
        </w:numPr>
        <w:tabs>
          <w:tab w:val="left" w:pos="426"/>
        </w:tabs>
        <w:ind w:left="0" w:firstLine="0"/>
        <w:rPr>
          <w:szCs w:val="22"/>
        </w:rPr>
      </w:pPr>
      <w:r>
        <w:t>Évaluation de la conformité ou du dépassement des obligations de la Suède en tant que membre de l’Union européenne</w:t>
      </w:r>
    </w:p>
    <w:p w14:paraId="6CF5E757" w14:textId="517E383F" w:rsidR="00DE621A" w:rsidRDefault="002505E5" w:rsidP="00630259">
      <w:pPr>
        <w:tabs>
          <w:tab w:val="left" w:pos="426"/>
        </w:tabs>
      </w:pPr>
      <w:r>
        <w:t>Le nouveau règlement sur l’eau potable impliquent la transposition en droit suédois des parties d’une directive de l’UE qui sont pertinentes pour l’Agence suédoise de l’alimentation. En tant qu’État membre, la Suède est tenue de transposer la nouvelle directive sur l’eau potable.</w:t>
      </w:r>
    </w:p>
    <w:p w14:paraId="77EE986E" w14:textId="5A9F85D7" w:rsidR="00B304C1" w:rsidRDefault="00B304C1" w:rsidP="00630259">
      <w:pPr>
        <w:tabs>
          <w:tab w:val="left" w:pos="426"/>
        </w:tabs>
      </w:pPr>
    </w:p>
    <w:p w14:paraId="34DE6A97" w14:textId="468EB577" w:rsidR="00B304C1" w:rsidRDefault="00B304C1" w:rsidP="00630259">
      <w:pPr>
        <w:tabs>
          <w:tab w:val="left" w:pos="426"/>
        </w:tabs>
      </w:pPr>
      <w:r>
        <w:t>La nouvelle directive sur l’eau potable est une directive minimale qui permet aux États membres d’imposer des exigences plus strictes en droit national. Lorsque le nouveau règlement proposée sur l’eau potable contient des exigences plus étendues que celles exigées par la directive, cela est expliqué ci-dessus à la section 7.</w:t>
      </w:r>
    </w:p>
    <w:p w14:paraId="55B6F71E" w14:textId="45093D15" w:rsidR="00113684" w:rsidRPr="005A0FB3" w:rsidRDefault="00113684" w:rsidP="00630259">
      <w:pPr>
        <w:tabs>
          <w:tab w:val="left" w:pos="426"/>
        </w:tabs>
      </w:pPr>
    </w:p>
    <w:p w14:paraId="67332CD6" w14:textId="77777777" w:rsidR="00113684" w:rsidRPr="005A0FB3" w:rsidRDefault="00113684" w:rsidP="005A0FB3">
      <w:pPr>
        <w:pStyle w:val="Heading2"/>
        <w:numPr>
          <w:ilvl w:val="0"/>
          <w:numId w:val="15"/>
        </w:numPr>
        <w:tabs>
          <w:tab w:val="left" w:pos="426"/>
        </w:tabs>
        <w:ind w:left="0" w:firstLine="0"/>
        <w:rPr>
          <w:szCs w:val="22"/>
        </w:rPr>
      </w:pPr>
      <w:r>
        <w:t>Évaluation de la nécessité d’accorder une attention particulière à la date d’entrée en vigueur et si des efforts particuliers d’information sont nécessaires</w:t>
      </w:r>
    </w:p>
    <w:p w14:paraId="3ED97554" w14:textId="0E2ED0D4" w:rsidR="00497FE1" w:rsidRDefault="00497FE1" w:rsidP="00AF3B5E">
      <w:r>
        <w:t>La nouvelle directive sur l’eau potable impose aux États membres d’adopter les dispositions législatives, réglementaires et administratives nécessaires pour se conformer à la nouvelle directive au plus tard le 12 janvier 2023. Pour cette raison, l’Agence suédoise de l’alimentation propose que la nouvelle réglementation sur l’eau potable entre en vigueur le 1er janvier 2023.</w:t>
      </w:r>
    </w:p>
    <w:p w14:paraId="452155A5" w14:textId="77777777" w:rsidR="00497FE1" w:rsidRDefault="00497FE1" w:rsidP="00AF3B5E"/>
    <w:p w14:paraId="314C0002" w14:textId="43B52E64" w:rsidR="003E0DB9" w:rsidRDefault="0074568A" w:rsidP="00AF3B5E">
      <w:r>
        <w:t xml:space="preserve">Certaines règlementations feront également l’objet de dispositions transitoires dans le cadre de la proposition. Il s’agit de surveiller plusieurs paramètres qui ne figuraient pas auparavant dans la liste des paramètres (bisphénol A, chlorate, chlorite, acides acétiques halogénés, </w:t>
      </w:r>
      <w:proofErr w:type="spellStart"/>
      <w:r>
        <w:t>microcystin</w:t>
      </w:r>
      <w:proofErr w:type="spellEnd"/>
      <w:r>
        <w:t>-LR, PFAS et uranium) à surveiller et à corriger à compter du 1er janvier 2026. L’exigence de surveillance de l’eau brute entrera en vigueur le 1er janvier 2025. La période transitoire permet aux parties concernées de prendre les mesures nécessaires pour se conformer à ces dispositions.</w:t>
      </w:r>
    </w:p>
    <w:p w14:paraId="18C1795D" w14:textId="62F9AD2A" w:rsidR="00497FE1" w:rsidRDefault="00497FE1" w:rsidP="00AF3B5E"/>
    <w:p w14:paraId="1F750105" w14:textId="4AB2307A" w:rsidR="00497FE1" w:rsidRPr="001E36B0" w:rsidRDefault="00497FE1" w:rsidP="00497FE1">
      <w:r>
        <w:t xml:space="preserve">Les nouvelles règles doivent être notifiées à la Commission et aux autres États membres avant qu’elles ne puissent être adoptées. La notification à la Commission européenne comporte une période pendant laquelle les règlements ne peuvent pas être adoptés normalement trois mois, mais ce délai peut être prolongé de trois mois supplémentaires. </w:t>
      </w:r>
    </w:p>
    <w:p w14:paraId="5D51F50B" w14:textId="37A1D359" w:rsidR="00497FE1" w:rsidRDefault="00497FE1" w:rsidP="00497FE1"/>
    <w:p w14:paraId="5635DD04" w14:textId="6292C028" w:rsidR="00497FE1" w:rsidRPr="005A0FB3" w:rsidRDefault="00497FE1" w:rsidP="00497FE1">
      <w:r>
        <w:t xml:space="preserve">Des efforts d’information seront déployés dans le cadre des règlementations en cours d’adoption et des informations seront fournies aux autorités de contrôle, aux laboratoires, aux producteurs et aux fournisseurs d’eau destinée à la consommation humaine par l’intermédiaire des canaux officiels de l’Agence suédoise de l’alimentation et de la coopération avec l’organisation professionnelle </w:t>
      </w:r>
      <w:proofErr w:type="spellStart"/>
      <w:r>
        <w:t>Svenskt</w:t>
      </w:r>
      <w:proofErr w:type="spellEnd"/>
      <w:r>
        <w:t xml:space="preserve"> </w:t>
      </w:r>
      <w:proofErr w:type="spellStart"/>
      <w:r>
        <w:t>Vatten</w:t>
      </w:r>
      <w:proofErr w:type="spellEnd"/>
      <w:r>
        <w:t>.</w:t>
      </w:r>
    </w:p>
    <w:p w14:paraId="0F6B94A3" w14:textId="25CF2F83" w:rsidR="00113684" w:rsidRDefault="00113684" w:rsidP="005A0FB3">
      <w:pPr>
        <w:tabs>
          <w:tab w:val="left" w:pos="426"/>
        </w:tabs>
      </w:pPr>
    </w:p>
    <w:p w14:paraId="736FA1EB" w14:textId="0431C08B" w:rsidR="008764B7" w:rsidRPr="005A0FB3" w:rsidRDefault="008764B7" w:rsidP="008764B7">
      <w:pPr>
        <w:pStyle w:val="Heading2"/>
        <w:numPr>
          <w:ilvl w:val="0"/>
          <w:numId w:val="15"/>
        </w:numPr>
        <w:tabs>
          <w:tab w:val="left" w:pos="426"/>
        </w:tabs>
        <w:ind w:left="0" w:firstLine="0"/>
        <w:rPr>
          <w:szCs w:val="22"/>
        </w:rPr>
      </w:pPr>
      <w:r>
        <w:lastRenderedPageBreak/>
        <w:t>Nombre d’entreprises concernées, secteurs dans lesquels elles opèrent et leurs tailles</w:t>
      </w:r>
    </w:p>
    <w:p w14:paraId="1CA3B434" w14:textId="601C5B96" w:rsidR="008764B7" w:rsidRDefault="00113CC3" w:rsidP="008764B7">
      <w:pPr>
        <w:tabs>
          <w:tab w:val="left" w:pos="426"/>
        </w:tabs>
      </w:pPr>
      <w:r>
        <w:t>Un total de 5 624 installations produisant ou distribuant de l’eau destinée à la consommation humaine</w:t>
      </w:r>
      <w:r>
        <w:rPr>
          <w:rStyle w:val="FootnoteReference"/>
        </w:rPr>
        <w:footnoteReference w:id="14"/>
      </w:r>
      <w:r>
        <w:t xml:space="preserve"> sont assujetties au nouveau règlement, répartis selon la gamme de tailles du tableau 2.</w:t>
      </w:r>
    </w:p>
    <w:p w14:paraId="046A086E" w14:textId="33DE2BAE" w:rsidR="00245056" w:rsidRDefault="00245056">
      <w:pPr>
        <w:rPr>
          <w:b/>
        </w:rPr>
      </w:pPr>
    </w:p>
    <w:p w14:paraId="67A8321C" w14:textId="03FFB908" w:rsidR="00113CC3" w:rsidRDefault="001C529C" w:rsidP="001C529C">
      <w:pPr>
        <w:pStyle w:val="BodyText"/>
      </w:pPr>
      <w:r>
        <w:rPr>
          <w:b/>
        </w:rPr>
        <w:t>Tableau 2.</w:t>
      </w:r>
      <w:r>
        <w:t xml:space="preserve"> Nombre d’entreprises concernées par la proposition distribuées par gamme de tailles pour le volume d’eau potable produit ou distribué.</w:t>
      </w:r>
    </w:p>
    <w:tbl>
      <w:tblPr>
        <w:tblStyle w:val="TableGrid"/>
        <w:tblW w:w="0" w:type="auto"/>
        <w:tblLook w:val="04A0" w:firstRow="1" w:lastRow="0" w:firstColumn="1" w:lastColumn="0" w:noHBand="0" w:noVBand="1"/>
      </w:tblPr>
      <w:tblGrid>
        <w:gridCol w:w="3963"/>
        <w:gridCol w:w="3964"/>
      </w:tblGrid>
      <w:tr w:rsidR="00113CC3" w14:paraId="56423B46" w14:textId="77777777" w:rsidTr="003F4C4A">
        <w:tc>
          <w:tcPr>
            <w:tcW w:w="3963" w:type="dxa"/>
            <w:shd w:val="clear" w:color="auto" w:fill="D9D9D9" w:themeFill="background1" w:themeFillShade="D9"/>
          </w:tcPr>
          <w:p w14:paraId="2A944E28" w14:textId="51E1A43A" w:rsidR="00113CC3" w:rsidRPr="00786AFD" w:rsidRDefault="00113CC3" w:rsidP="008764B7">
            <w:pPr>
              <w:tabs>
                <w:tab w:val="left" w:pos="426"/>
              </w:tabs>
              <w:rPr>
                <w:b/>
              </w:rPr>
            </w:pPr>
            <w:r>
              <w:rPr>
                <w:b/>
              </w:rPr>
              <w:t>Plage de tailles (m</w:t>
            </w:r>
            <w:r>
              <w:rPr>
                <w:b/>
                <w:vertAlign w:val="superscript"/>
              </w:rPr>
              <w:t>3</w:t>
            </w:r>
            <w:r>
              <w:rPr>
                <w:b/>
              </w:rPr>
              <w:t>/jour)</w:t>
            </w:r>
          </w:p>
        </w:tc>
        <w:tc>
          <w:tcPr>
            <w:tcW w:w="3964" w:type="dxa"/>
            <w:shd w:val="clear" w:color="auto" w:fill="D9D9D9" w:themeFill="background1" w:themeFillShade="D9"/>
          </w:tcPr>
          <w:p w14:paraId="16870E74" w14:textId="74E84C9D" w:rsidR="00113CC3" w:rsidRPr="00786AFD" w:rsidRDefault="00113CC3" w:rsidP="008764B7">
            <w:pPr>
              <w:tabs>
                <w:tab w:val="left" w:pos="426"/>
              </w:tabs>
              <w:rPr>
                <w:b/>
              </w:rPr>
            </w:pPr>
            <w:r>
              <w:rPr>
                <w:b/>
              </w:rPr>
              <w:t>Nombre d’opérations</w:t>
            </w:r>
          </w:p>
        </w:tc>
      </w:tr>
      <w:tr w:rsidR="00113CC3" w14:paraId="44130010" w14:textId="77777777" w:rsidTr="00113CC3">
        <w:tc>
          <w:tcPr>
            <w:tcW w:w="3963" w:type="dxa"/>
          </w:tcPr>
          <w:p w14:paraId="45E8E30B" w14:textId="6185197F" w:rsidR="00113CC3" w:rsidRDefault="00113CC3" w:rsidP="008764B7">
            <w:pPr>
              <w:tabs>
                <w:tab w:val="left" w:pos="426"/>
              </w:tabs>
            </w:pPr>
            <w:r>
              <w:t>≤ 10</w:t>
            </w:r>
          </w:p>
        </w:tc>
        <w:tc>
          <w:tcPr>
            <w:tcW w:w="3964" w:type="dxa"/>
          </w:tcPr>
          <w:p w14:paraId="125AE515" w14:textId="23F1FB65" w:rsidR="00113CC3" w:rsidRDefault="00113CC3" w:rsidP="008764B7">
            <w:pPr>
              <w:tabs>
                <w:tab w:val="left" w:pos="426"/>
              </w:tabs>
            </w:pPr>
            <w:r>
              <w:t>3 144</w:t>
            </w:r>
          </w:p>
        </w:tc>
      </w:tr>
      <w:tr w:rsidR="00113CC3" w14:paraId="68C08AF4" w14:textId="77777777" w:rsidTr="00113CC3">
        <w:tc>
          <w:tcPr>
            <w:tcW w:w="3963" w:type="dxa"/>
          </w:tcPr>
          <w:p w14:paraId="27F650D0" w14:textId="6DF82B9D" w:rsidR="00113CC3" w:rsidRDefault="00113CC3" w:rsidP="00F5146E">
            <w:pPr>
              <w:tabs>
                <w:tab w:val="left" w:pos="426"/>
              </w:tabs>
            </w:pPr>
            <w:r>
              <w:t>&gt; 10 à 100</w:t>
            </w:r>
          </w:p>
        </w:tc>
        <w:tc>
          <w:tcPr>
            <w:tcW w:w="3964" w:type="dxa"/>
          </w:tcPr>
          <w:p w14:paraId="2F86FDBA" w14:textId="550D9C33" w:rsidR="00113CC3" w:rsidRDefault="00113CC3" w:rsidP="008764B7">
            <w:pPr>
              <w:tabs>
                <w:tab w:val="left" w:pos="426"/>
              </w:tabs>
            </w:pPr>
            <w:r>
              <w:t>1 298</w:t>
            </w:r>
          </w:p>
        </w:tc>
      </w:tr>
      <w:tr w:rsidR="00113CC3" w14:paraId="210F6030" w14:textId="77777777" w:rsidTr="00113CC3">
        <w:tc>
          <w:tcPr>
            <w:tcW w:w="3963" w:type="dxa"/>
          </w:tcPr>
          <w:p w14:paraId="3D9FB04C" w14:textId="6325BF61" w:rsidR="00113CC3" w:rsidRDefault="00113CC3" w:rsidP="008764B7">
            <w:pPr>
              <w:tabs>
                <w:tab w:val="left" w:pos="426"/>
              </w:tabs>
            </w:pPr>
            <w:r>
              <w:t>&gt; 100 à 1 000</w:t>
            </w:r>
          </w:p>
        </w:tc>
        <w:tc>
          <w:tcPr>
            <w:tcW w:w="3964" w:type="dxa"/>
          </w:tcPr>
          <w:p w14:paraId="323B1E8A" w14:textId="24E2B414" w:rsidR="00113CC3" w:rsidRDefault="00786AFD" w:rsidP="008764B7">
            <w:pPr>
              <w:tabs>
                <w:tab w:val="left" w:pos="426"/>
              </w:tabs>
            </w:pPr>
            <w:r>
              <w:t>585</w:t>
            </w:r>
          </w:p>
        </w:tc>
      </w:tr>
      <w:tr w:rsidR="00113CC3" w14:paraId="7AC64427" w14:textId="77777777" w:rsidTr="00113CC3">
        <w:tc>
          <w:tcPr>
            <w:tcW w:w="3963" w:type="dxa"/>
          </w:tcPr>
          <w:p w14:paraId="65E9D2EC" w14:textId="40EE474B" w:rsidR="00113CC3" w:rsidRDefault="00786AFD" w:rsidP="008764B7">
            <w:pPr>
              <w:tabs>
                <w:tab w:val="left" w:pos="426"/>
              </w:tabs>
            </w:pPr>
            <w:r>
              <w:t>&gt; 1 000 à 10 000</w:t>
            </w:r>
          </w:p>
        </w:tc>
        <w:tc>
          <w:tcPr>
            <w:tcW w:w="3964" w:type="dxa"/>
          </w:tcPr>
          <w:p w14:paraId="564D9E7F" w14:textId="26487D59" w:rsidR="00113CC3" w:rsidRDefault="00786AFD" w:rsidP="008764B7">
            <w:pPr>
              <w:tabs>
                <w:tab w:val="left" w:pos="426"/>
              </w:tabs>
            </w:pPr>
            <w:r>
              <w:t>333</w:t>
            </w:r>
          </w:p>
        </w:tc>
      </w:tr>
      <w:tr w:rsidR="00113CC3" w14:paraId="0724D904" w14:textId="77777777" w:rsidTr="00113CC3">
        <w:tc>
          <w:tcPr>
            <w:tcW w:w="3963" w:type="dxa"/>
          </w:tcPr>
          <w:p w14:paraId="23317A17" w14:textId="0D66EB1B" w:rsidR="00113CC3" w:rsidRDefault="00786AFD" w:rsidP="008764B7">
            <w:pPr>
              <w:tabs>
                <w:tab w:val="left" w:pos="426"/>
              </w:tabs>
            </w:pPr>
            <w:r>
              <w:t>&gt; 10 000 à 100 000</w:t>
            </w:r>
          </w:p>
        </w:tc>
        <w:tc>
          <w:tcPr>
            <w:tcW w:w="3964" w:type="dxa"/>
          </w:tcPr>
          <w:p w14:paraId="3C2589D1" w14:textId="61475208" w:rsidR="00113CC3" w:rsidRDefault="00786AFD" w:rsidP="008764B7">
            <w:pPr>
              <w:tabs>
                <w:tab w:val="left" w:pos="426"/>
              </w:tabs>
            </w:pPr>
            <w:r>
              <w:t>76</w:t>
            </w:r>
          </w:p>
        </w:tc>
      </w:tr>
      <w:tr w:rsidR="00113CC3" w14:paraId="620BBF26" w14:textId="77777777" w:rsidTr="00113CC3">
        <w:tc>
          <w:tcPr>
            <w:tcW w:w="3963" w:type="dxa"/>
          </w:tcPr>
          <w:p w14:paraId="2BA629DF" w14:textId="5DEDA757" w:rsidR="00113CC3" w:rsidRDefault="00786AFD" w:rsidP="008764B7">
            <w:pPr>
              <w:tabs>
                <w:tab w:val="left" w:pos="426"/>
              </w:tabs>
            </w:pPr>
            <w:r>
              <w:t>&gt; 100 000</w:t>
            </w:r>
          </w:p>
        </w:tc>
        <w:tc>
          <w:tcPr>
            <w:tcW w:w="3964" w:type="dxa"/>
          </w:tcPr>
          <w:p w14:paraId="20A12B6D" w14:textId="03C50B57" w:rsidR="00113CC3" w:rsidRDefault="00786AFD" w:rsidP="008764B7">
            <w:pPr>
              <w:tabs>
                <w:tab w:val="left" w:pos="426"/>
              </w:tabs>
            </w:pPr>
            <w:r>
              <w:t>13</w:t>
            </w:r>
          </w:p>
        </w:tc>
      </w:tr>
      <w:tr w:rsidR="00113CC3" w14:paraId="3F2FDA80" w14:textId="77777777" w:rsidTr="00113CC3">
        <w:tc>
          <w:tcPr>
            <w:tcW w:w="3963" w:type="dxa"/>
          </w:tcPr>
          <w:p w14:paraId="77B10ABD" w14:textId="183656B5" w:rsidR="00113CC3" w:rsidRDefault="00786AFD" w:rsidP="008764B7">
            <w:pPr>
              <w:tabs>
                <w:tab w:val="left" w:pos="426"/>
              </w:tabs>
            </w:pPr>
            <w:r>
              <w:t>Aucune information</w:t>
            </w:r>
          </w:p>
        </w:tc>
        <w:tc>
          <w:tcPr>
            <w:tcW w:w="3964" w:type="dxa"/>
          </w:tcPr>
          <w:p w14:paraId="5DF5F11D" w14:textId="4F885966" w:rsidR="00786AFD" w:rsidRDefault="00786AFD" w:rsidP="008764B7">
            <w:pPr>
              <w:tabs>
                <w:tab w:val="left" w:pos="426"/>
              </w:tabs>
            </w:pPr>
            <w:r>
              <w:t>175</w:t>
            </w:r>
          </w:p>
        </w:tc>
      </w:tr>
      <w:tr w:rsidR="00786AFD" w14:paraId="3CA4413E" w14:textId="77777777" w:rsidTr="00113CC3">
        <w:tc>
          <w:tcPr>
            <w:tcW w:w="3963" w:type="dxa"/>
          </w:tcPr>
          <w:p w14:paraId="57B7B8F9" w14:textId="74402A4E" w:rsidR="00786AFD" w:rsidRPr="00786AFD" w:rsidRDefault="00786AFD" w:rsidP="008764B7">
            <w:pPr>
              <w:tabs>
                <w:tab w:val="left" w:pos="426"/>
              </w:tabs>
              <w:rPr>
                <w:b/>
              </w:rPr>
            </w:pPr>
            <w:r>
              <w:rPr>
                <w:b/>
              </w:rPr>
              <w:t>Total</w:t>
            </w:r>
          </w:p>
        </w:tc>
        <w:tc>
          <w:tcPr>
            <w:tcW w:w="3964" w:type="dxa"/>
          </w:tcPr>
          <w:p w14:paraId="3E401CF9" w14:textId="07ACE107" w:rsidR="00786AFD" w:rsidRPr="00786AFD" w:rsidRDefault="00786AFD" w:rsidP="008764B7">
            <w:pPr>
              <w:tabs>
                <w:tab w:val="left" w:pos="426"/>
              </w:tabs>
              <w:rPr>
                <w:b/>
              </w:rPr>
            </w:pPr>
            <w:r>
              <w:rPr>
                <w:b/>
              </w:rPr>
              <w:t>5 624</w:t>
            </w:r>
          </w:p>
        </w:tc>
      </w:tr>
    </w:tbl>
    <w:p w14:paraId="0CF08B8B" w14:textId="2F7FBB84" w:rsidR="00113CC3" w:rsidRDefault="00113CC3" w:rsidP="008764B7">
      <w:pPr>
        <w:tabs>
          <w:tab w:val="left" w:pos="426"/>
        </w:tabs>
      </w:pPr>
    </w:p>
    <w:p w14:paraId="52498FAB" w14:textId="1706E171" w:rsidR="008A1C4C" w:rsidRDefault="008A1C4C" w:rsidP="008764B7">
      <w:pPr>
        <w:tabs>
          <w:tab w:val="left" w:pos="426"/>
        </w:tabs>
      </w:pPr>
      <w:r>
        <w:t>Parmi ceux-ci, environ 2 900 sont des installations publiques d’eau potable</w:t>
      </w:r>
      <w:r w:rsidR="002F5355">
        <w:rPr>
          <w:rStyle w:val="FootnoteReference"/>
        </w:rPr>
        <w:footnoteReference w:id="15"/>
      </w:r>
      <w:r>
        <w:t xml:space="preserve"> et environ 2 800 sont d’autres installations.</w:t>
      </w:r>
    </w:p>
    <w:p w14:paraId="4EB7DD7C" w14:textId="234BA3B7" w:rsidR="00BA7469" w:rsidRDefault="00BA7469" w:rsidP="008764B7">
      <w:pPr>
        <w:tabs>
          <w:tab w:val="left" w:pos="426"/>
        </w:tabs>
      </w:pPr>
    </w:p>
    <w:p w14:paraId="27D47B86" w14:textId="206F3D24" w:rsidR="00BA7469" w:rsidRDefault="00BA7469" w:rsidP="008764B7">
      <w:pPr>
        <w:tabs>
          <w:tab w:val="left" w:pos="426"/>
        </w:tabs>
      </w:pPr>
      <w:r>
        <w:t xml:space="preserve">Pour les opérateurs qui mettent de l’eau destinée à la consommation humaine dans des bouteilles ou des récipients, y compris l’eau de source, l’Agence suédoise de l’alimentation ne dispose pas d’informations fiables à jour. La question du nombre de producteurs d’eau de source en Suède a été adressée à l’association professionnelle </w:t>
      </w:r>
      <w:proofErr w:type="spellStart"/>
      <w:r>
        <w:t>Sveriges</w:t>
      </w:r>
      <w:proofErr w:type="spellEnd"/>
      <w:r>
        <w:t xml:space="preserve"> </w:t>
      </w:r>
      <w:proofErr w:type="spellStart"/>
      <w:r>
        <w:t>Bryggerier</w:t>
      </w:r>
      <w:proofErr w:type="spellEnd"/>
      <w:r>
        <w:t xml:space="preserve"> (Association suédoise des brasseurs), qui a déclaré qu’il y en avait une dizaine, à l’exclusion de la plupart des petits opérateurs. La catégorie «autres boissons» a été introduite dans le rapport officiel 2021 et les opérateurs qui mettent de l’eau destinée à la consommation humaine dans des bouteilles ou des conteneurs sont déclarés comme appartenant à cette catégorie. Pour 2021, 51 usines ont été déclarées dans cette catégorie, mais les producteurs, par exemple, de boissons gazeuses non-alcoolisées sont également inclus. On craint également que toutes les usines qui entrent réellement dans la catégorie ne soient pas encore reclassées, de sorte que le chiffre pourrait en réalité être plus grand.</w:t>
      </w:r>
    </w:p>
    <w:p w14:paraId="6714C559" w14:textId="7A5BEDF3" w:rsidR="00E533DE" w:rsidRPr="00766FD3" w:rsidRDefault="00E533DE" w:rsidP="005A0FB3">
      <w:pPr>
        <w:tabs>
          <w:tab w:val="left" w:pos="426"/>
        </w:tabs>
        <w:rPr>
          <w:sz w:val="16"/>
          <w:szCs w:val="16"/>
        </w:rPr>
      </w:pPr>
    </w:p>
    <w:p w14:paraId="1C2621D7" w14:textId="4C4378C8" w:rsidR="008764B7" w:rsidRPr="005A0FB3" w:rsidRDefault="008764B7" w:rsidP="008764B7">
      <w:pPr>
        <w:pStyle w:val="Heading2"/>
        <w:numPr>
          <w:ilvl w:val="0"/>
          <w:numId w:val="15"/>
        </w:numPr>
        <w:tabs>
          <w:tab w:val="left" w:pos="426"/>
        </w:tabs>
        <w:ind w:left="0" w:firstLine="0"/>
        <w:rPr>
          <w:szCs w:val="22"/>
        </w:rPr>
      </w:pPr>
      <w:r>
        <w:lastRenderedPageBreak/>
        <w:t>Les coûts supplémentaires supportés par les entreprises en raison du règlement proposé et des changements opérationnels qu’elles pourraient devoir apporter à la suite du projet de règlement</w:t>
      </w:r>
    </w:p>
    <w:p w14:paraId="7DECEDBF" w14:textId="75B63571" w:rsidR="008764B7" w:rsidRDefault="00F36E19" w:rsidP="008764B7">
      <w:pPr>
        <w:tabs>
          <w:tab w:val="left" w:pos="426"/>
        </w:tabs>
      </w:pPr>
      <w:r>
        <w:t>On ne s’attend pas à ce que la proposition entraîne des coûts supplémentaires ou des changements dans le fonctionnement des sociétés.</w:t>
      </w:r>
    </w:p>
    <w:p w14:paraId="25A73583" w14:textId="41AF904D" w:rsidR="008764B7" w:rsidRPr="00766FD3" w:rsidRDefault="008764B7" w:rsidP="008764B7">
      <w:pPr>
        <w:tabs>
          <w:tab w:val="left" w:pos="426"/>
        </w:tabs>
        <w:rPr>
          <w:sz w:val="18"/>
          <w:szCs w:val="18"/>
        </w:rPr>
      </w:pPr>
    </w:p>
    <w:p w14:paraId="74ED69D1" w14:textId="7B9684D5" w:rsidR="008764B7" w:rsidRPr="005A0FB3" w:rsidRDefault="008764B7" w:rsidP="008764B7">
      <w:pPr>
        <w:pStyle w:val="Heading2"/>
        <w:numPr>
          <w:ilvl w:val="0"/>
          <w:numId w:val="15"/>
        </w:numPr>
        <w:tabs>
          <w:tab w:val="left" w:pos="426"/>
        </w:tabs>
        <w:ind w:left="0" w:firstLine="0"/>
        <w:rPr>
          <w:szCs w:val="22"/>
        </w:rPr>
      </w:pPr>
      <w:r>
        <w:t>Dans quelle mesure le règlement peut-il affecter les conditions de concurrence d’une entreprise</w:t>
      </w:r>
    </w:p>
    <w:p w14:paraId="53016931" w14:textId="0117A5F0" w:rsidR="008764B7" w:rsidRDefault="00F36E19" w:rsidP="008764B7">
      <w:pPr>
        <w:tabs>
          <w:tab w:val="left" w:pos="426"/>
        </w:tabs>
      </w:pPr>
      <w:r>
        <w:t>La proposition n’est pas considérée comme ayant une incidence sur les conditions de concurrence. En ce qui concerne les APC, la proposition comporte un désavantage concurrentiel par rapport aux activités correspondantes situées au sein du réseau municipal d’approvisionnement en eau et d’évacuation des eaux usées. Cette circonstance existe déjà avec le règlement en vigueur et la proposition n’est donc pas considérée comme apportant un changement significatif à cet égard. Toutefois, les allègements que la proposition entraîne peuvent réduire les coûts et accroître les possibilités de concurrence, comme décrit plus en détail à la section 8 sous la rubrique «Coûts et autres conséquences pour les entreprises».</w:t>
      </w:r>
    </w:p>
    <w:p w14:paraId="55C5A7A1" w14:textId="7495E8F9" w:rsidR="008764B7" w:rsidRPr="00766FD3" w:rsidRDefault="008764B7" w:rsidP="008764B7">
      <w:pPr>
        <w:tabs>
          <w:tab w:val="left" w:pos="426"/>
        </w:tabs>
        <w:rPr>
          <w:sz w:val="18"/>
          <w:szCs w:val="18"/>
        </w:rPr>
      </w:pPr>
    </w:p>
    <w:p w14:paraId="2FB51A38" w14:textId="309DCA45" w:rsidR="008764B7" w:rsidRPr="008764B7" w:rsidRDefault="008764B7" w:rsidP="008764B7">
      <w:pPr>
        <w:pStyle w:val="Heading2"/>
        <w:numPr>
          <w:ilvl w:val="0"/>
          <w:numId w:val="15"/>
        </w:numPr>
        <w:tabs>
          <w:tab w:val="left" w:pos="426"/>
        </w:tabs>
        <w:ind w:left="0" w:firstLine="0"/>
        <w:rPr>
          <w:szCs w:val="22"/>
        </w:rPr>
      </w:pPr>
      <w:r>
        <w:t>Comment le règlement aura-t-il une incidence sur les entreprises à d’autres égards</w:t>
      </w:r>
    </w:p>
    <w:p w14:paraId="57953D15" w14:textId="3DF964A3" w:rsidR="008764B7" w:rsidRDefault="00F36E19" w:rsidP="008764B7">
      <w:pPr>
        <w:tabs>
          <w:tab w:val="left" w:pos="426"/>
        </w:tabs>
      </w:pPr>
      <w:r>
        <w:t>La proposition n’est pas considérée comme ayant d’autres incidences sur les entreprises.</w:t>
      </w:r>
    </w:p>
    <w:p w14:paraId="0B63FD01" w14:textId="6DBC5E46" w:rsidR="008764B7" w:rsidRDefault="008764B7" w:rsidP="008764B7">
      <w:pPr>
        <w:tabs>
          <w:tab w:val="left" w:pos="426"/>
        </w:tabs>
      </w:pPr>
    </w:p>
    <w:p w14:paraId="506626F1" w14:textId="6A735F42" w:rsidR="008764B7" w:rsidRPr="005A0FB3" w:rsidRDefault="008764B7" w:rsidP="008764B7">
      <w:pPr>
        <w:pStyle w:val="Heading2"/>
        <w:numPr>
          <w:ilvl w:val="0"/>
          <w:numId w:val="15"/>
        </w:numPr>
        <w:tabs>
          <w:tab w:val="left" w:pos="426"/>
        </w:tabs>
        <w:ind w:left="0" w:firstLine="0"/>
        <w:rPr>
          <w:szCs w:val="22"/>
        </w:rPr>
      </w:pPr>
      <w:r>
        <w:t>Si une attention particulière doit être accordée aux petites entreprises lors de l’élaboration des règles</w:t>
      </w:r>
    </w:p>
    <w:p w14:paraId="79F0C1B7" w14:textId="176849C6" w:rsidR="008764B7" w:rsidRDefault="00B4020B" w:rsidP="008764B7">
      <w:pPr>
        <w:tabs>
          <w:tab w:val="left" w:pos="426"/>
        </w:tabs>
      </w:pPr>
      <w:r>
        <w:t>Les dérogations et les allégements accordés aux petites entreprises par la nouvelle directive sur l’eau potable ont été utilisés dans la conception du nouveau règlement sur l’eau potable. Entre autres, ceux qui produisent ou fournissent moins de 10 m</w:t>
      </w:r>
      <w:r>
        <w:rPr>
          <w:vertAlign w:val="superscript"/>
        </w:rPr>
        <w:t>3</w:t>
      </w:r>
      <w:r>
        <w:t>/jour n’ont besoin que d’une analyse du groupe A par an, contre deux analyses normales par an conformément à SLVFS 2001:30. La fréquence de surveillance pour le groupe d’échantillons B est également réduite de moitié par rapport à l’équivalent actuel de la surveillance élargie. Ceux qui produisent ou fournissent entre 10 et 100 m</w:t>
      </w:r>
      <w:r>
        <w:rPr>
          <w:vertAlign w:val="superscript"/>
        </w:rPr>
        <w:t>3</w:t>
      </w:r>
      <w:r>
        <w:t>/jour ont également la possibilité d’être exemptés de l’obligation d’effectuer une analyse des dangers. En ce qui concerne la surveillance de l’eau brute, les producteurs d’eau destinée à la consommation humaine inférieure à 10 m</w:t>
      </w:r>
      <w:r>
        <w:rPr>
          <w:vertAlign w:val="superscript"/>
        </w:rPr>
        <w:t>3</w:t>
      </w:r>
      <w:r>
        <w:t>/jour sont également exclus et ne font pas l’objet d’un traitement des eaux destinées à la consommation humaine.</w:t>
      </w:r>
    </w:p>
    <w:p w14:paraId="717B905A" w14:textId="3985CCB6" w:rsidR="008764B7" w:rsidRPr="005A0FB3" w:rsidRDefault="008764B7" w:rsidP="005A0FB3">
      <w:pPr>
        <w:tabs>
          <w:tab w:val="left" w:pos="426"/>
        </w:tabs>
      </w:pPr>
    </w:p>
    <w:p w14:paraId="016DEAB5" w14:textId="77777777" w:rsidR="00C013FE" w:rsidRPr="005A0FB3" w:rsidRDefault="00C013FE" w:rsidP="005A0FB3">
      <w:pPr>
        <w:pStyle w:val="Heading2"/>
        <w:numPr>
          <w:ilvl w:val="0"/>
          <w:numId w:val="15"/>
        </w:numPr>
        <w:tabs>
          <w:tab w:val="left" w:pos="426"/>
        </w:tabs>
        <w:ind w:left="0" w:firstLine="0"/>
        <w:rPr>
          <w:szCs w:val="22"/>
        </w:rPr>
      </w:pPr>
      <w:r>
        <w:t>Incidence sur les municipalités ou les régions</w:t>
      </w:r>
    </w:p>
    <w:p w14:paraId="5369F544" w14:textId="68A95B71" w:rsidR="00801CBA" w:rsidRDefault="00DC59D5" w:rsidP="00E11284">
      <w:pPr>
        <w:tabs>
          <w:tab w:val="left" w:pos="426"/>
        </w:tabs>
      </w:pPr>
      <w:r>
        <w:t>Le nouveau règlement proposé n’a aucune incidence sur les autres activités ou responsabilités des municipalités, à l’exception de ce qui a été indiqué ci-dessus pour les exploitants et les autorités de contrôle. La proposition n’est pas considérée comme ayant d’autres incidences sur les régions.</w:t>
      </w:r>
    </w:p>
    <w:p w14:paraId="170E069C" w14:textId="77777777" w:rsidR="00E11284" w:rsidRPr="005A0FB3" w:rsidRDefault="00E11284" w:rsidP="00E11284">
      <w:pPr>
        <w:tabs>
          <w:tab w:val="left" w:pos="426"/>
        </w:tabs>
      </w:pPr>
    </w:p>
    <w:p w14:paraId="6C81EFB3" w14:textId="3F0DCBBD" w:rsidR="00BC796C" w:rsidRPr="00D1346E" w:rsidRDefault="00E533DE" w:rsidP="005A0FB3">
      <w:pPr>
        <w:pStyle w:val="Heading2"/>
        <w:numPr>
          <w:ilvl w:val="0"/>
          <w:numId w:val="15"/>
        </w:numPr>
        <w:tabs>
          <w:tab w:val="left" w:pos="426"/>
        </w:tabs>
        <w:ind w:left="0" w:firstLine="0"/>
        <w:rPr>
          <w:szCs w:val="22"/>
        </w:rPr>
      </w:pPr>
      <w:r>
        <w:t>Environnement et égalité des sexes</w:t>
      </w:r>
    </w:p>
    <w:p w14:paraId="13837201" w14:textId="035AFD2F" w:rsidR="00DE3C19" w:rsidRDefault="00DE3C19" w:rsidP="00DE3C19">
      <w:r>
        <w:t xml:space="preserve">La proposition peut avoir une incidence sur l’environnement. Par exemple, l’introduction du paramètre PFAS 21, mais en particulier du paramètre PFAS 4, peut signifier que de nombreux producteurs d’eau destinée à la consommation humaine doivent installer une certaine forme de traitement pour abaisser les niveaux de leur eau potable. Lorsque des médias filtrants à usage unique sont utilisés, ceux-ci doivent être éliminés, en règle générale, en étant envoyés à une usine d’incinération agréée. Cela pourrait entraîner une augmentation du nombre de transports ainsi que d’éventuelles émissions générées lors de l’incinération. Un nombre accru de transports serait également généré lors de l’achat de tels médias filtrants. </w:t>
      </w:r>
    </w:p>
    <w:p w14:paraId="34B94D22" w14:textId="77777777" w:rsidR="00DE3C19" w:rsidRDefault="00DE3C19" w:rsidP="00DE3C19"/>
    <w:p w14:paraId="43D0D0BE" w14:textId="51AEB926" w:rsidR="00DE3C19" w:rsidRDefault="00DE3C19" w:rsidP="00DE3C19">
      <w:r>
        <w:t>Des effets similaires pourraient également être obtenus grâce à l’utilisation de médias filtrants réactivés. Les installations de réactivation, par exemple, de grandes quantités de charbon actif sont peu nombreuses et entraîneraient de longs trajets. Selon les données d’un producteur d’eau potable dans le centre de la Suède, l’usine la plus proche est située en Belgique. La réactivation perd également 5 à 15 % du carbone, qui doit être remplacé par du nouveau charbon actif. Les émissions de dioxyde de carbone dans la production de charbon actif sont également un facteur à prendre en compte.</w:t>
      </w:r>
    </w:p>
    <w:p w14:paraId="3CE4D620" w14:textId="77777777" w:rsidR="00DE3C19" w:rsidRDefault="00DE3C19" w:rsidP="00DE3C19"/>
    <w:p w14:paraId="24D34647" w14:textId="77777777" w:rsidR="000F0C61" w:rsidRDefault="00DE3C19" w:rsidP="00DE3C19">
      <w:r>
        <w:t xml:space="preserve">Cependant, les effets sur l’environnement sont difficiles à prévoir et à calculer, en partie parce qu’on ne sait pas combien d’entités doivent prendre des mesures pour réduire les niveaux et en partie parce qu’il est impossible de dire quel type de traitement sera nécessaire ou combien de médias filtrants devraient donc être transportés et incinérés. </w:t>
      </w:r>
    </w:p>
    <w:p w14:paraId="3AA5EB77" w14:textId="77777777" w:rsidR="000F0C61" w:rsidRDefault="000F0C61" w:rsidP="00DE3C19"/>
    <w:p w14:paraId="31F75FF2" w14:textId="567F520D" w:rsidR="00DE3C19" w:rsidRDefault="000F0C61" w:rsidP="00DE3C19">
      <w:r>
        <w:t>Le nouveau règlement sur l’eau potable aura un impact positif sur l’environnement, car des niveaux plus faibles de PFAS dans l’eau destinée à la consommation humaine entraînent également une réduction des concentrations dans l’eau qui est ensuite rejetée dans l’environnement par le biais de systèmes d’égouts.</w:t>
      </w:r>
    </w:p>
    <w:p w14:paraId="7A2883FA" w14:textId="77777777" w:rsidR="00DE3C19" w:rsidRDefault="00DE3C19" w:rsidP="00DE3C19"/>
    <w:p w14:paraId="67008480" w14:textId="67BBA59F" w:rsidR="00E533DE" w:rsidRDefault="00DE3C19" w:rsidP="00DE3C19">
      <w:r>
        <w:t>L’Agence suédoise de l’alimentation estime que la proposition n’aura pas d’incidence sur l’égalité entre les hommes et les femmes.</w:t>
      </w:r>
    </w:p>
    <w:p w14:paraId="24CDBC20" w14:textId="77777777" w:rsidR="00DE3C19" w:rsidRPr="005A0FB3" w:rsidRDefault="00DE3C19" w:rsidP="00DE3C19"/>
    <w:p w14:paraId="19E81644" w14:textId="77777777" w:rsidR="00E533DE" w:rsidRPr="005A0FB3" w:rsidRDefault="00E533DE" w:rsidP="005A0FB3">
      <w:pPr>
        <w:pStyle w:val="Heading3"/>
        <w:rPr>
          <w:i w:val="0"/>
          <w:szCs w:val="22"/>
        </w:rPr>
      </w:pPr>
      <w:r>
        <w:rPr>
          <w:i w:val="0"/>
        </w:rPr>
        <w:t>Personnes à contacter à l’Agence suédoise de l’alimentation</w:t>
      </w:r>
    </w:p>
    <w:p w14:paraId="4075407C" w14:textId="77777777" w:rsidR="00E11284" w:rsidRDefault="00E11284" w:rsidP="00E11284">
      <w:r>
        <w:t xml:space="preserve">Sandra </w:t>
      </w:r>
      <w:proofErr w:type="spellStart"/>
      <w:r>
        <w:t>Strandh</w:t>
      </w:r>
      <w:proofErr w:type="spellEnd"/>
      <w:r>
        <w:t>, Inspectrice d’Etat SV/SL, tél. + 46 (0) 18-174369</w:t>
      </w:r>
    </w:p>
    <w:p w14:paraId="6D379B07" w14:textId="6612C033" w:rsidR="00E11284" w:rsidRDefault="00E11284" w:rsidP="00E11284">
      <w:r>
        <w:t>Paulina Eriksson, Inspectrice d’Etat SV/SL, tél. + 46 (0) 18-2655812</w:t>
      </w:r>
    </w:p>
    <w:p w14:paraId="09434E69" w14:textId="77777777" w:rsidR="00E11284" w:rsidRDefault="00E11284" w:rsidP="00E11284">
      <w:proofErr w:type="spellStart"/>
      <w:r>
        <w:t>Christer</w:t>
      </w:r>
      <w:proofErr w:type="spellEnd"/>
      <w:r>
        <w:t xml:space="preserve"> Johansson, Inspecteur d’Etat SV/SL, tél. + 46 (0) 18-175502</w:t>
      </w:r>
    </w:p>
    <w:p w14:paraId="19B28789" w14:textId="7623D727" w:rsidR="00F1425C" w:rsidRPr="005A0FB3" w:rsidRDefault="00E11284" w:rsidP="00E11284">
      <w:r>
        <w:t xml:space="preserve">Caroline </w:t>
      </w:r>
      <w:proofErr w:type="spellStart"/>
      <w:r>
        <w:t>Krantz</w:t>
      </w:r>
      <w:proofErr w:type="spellEnd"/>
      <w:r>
        <w:t>, conseillère juridique SUS/JU, tél. + 46 (0) 18-2655828</w:t>
      </w:r>
    </w:p>
    <w:sectPr w:rsidR="00F1425C" w:rsidRPr="005A0FB3" w:rsidSect="007D79DA">
      <w:headerReference w:type="default" r:id="rId8"/>
      <w:headerReference w:type="first" r:id="rId9"/>
      <w:footerReference w:type="first" r:id="rId10"/>
      <w:pgSz w:w="11906" w:h="16838" w:code="9"/>
      <w:pgMar w:top="2342" w:right="1701" w:bottom="1985" w:left="2268" w:header="4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1CD1" w14:textId="77777777" w:rsidR="00794481" w:rsidRDefault="00794481" w:rsidP="007C53E8">
      <w:pPr>
        <w:spacing w:line="240" w:lineRule="auto"/>
      </w:pPr>
      <w:r>
        <w:separator/>
      </w:r>
    </w:p>
  </w:endnote>
  <w:endnote w:type="continuationSeparator" w:id="0">
    <w:p w14:paraId="45B14D50" w14:textId="77777777" w:rsidR="00794481" w:rsidRDefault="00794481" w:rsidP="007C5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964" w:type="dxa"/>
      <w:tblBorders>
        <w:top w:val="single" w:sz="8" w:space="0" w:color="EA9114"/>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1871"/>
      <w:gridCol w:w="1928"/>
      <w:gridCol w:w="1644"/>
      <w:gridCol w:w="2325"/>
      <w:gridCol w:w="1531"/>
    </w:tblGrid>
    <w:tr w:rsidR="001A7893" w14:paraId="51B21527" w14:textId="77777777" w:rsidTr="00FA26D9">
      <w:tc>
        <w:tcPr>
          <w:tcW w:w="1871" w:type="dxa"/>
        </w:tcPr>
        <w:p w14:paraId="10995E33" w14:textId="77777777" w:rsidR="001A7893" w:rsidRDefault="001A7893" w:rsidP="00795269">
          <w:pPr>
            <w:pStyle w:val="Footer"/>
          </w:pPr>
          <w:r>
            <w:rPr>
              <w:rFonts w:ascii="Arial" w:hAnsi="Arial"/>
              <w:i/>
              <w:sz w:val="13"/>
            </w:rPr>
            <w:t>Adresse postale</w:t>
          </w:r>
          <w:r>
            <w:rPr>
              <w:rFonts w:ascii="Arial" w:hAnsi="Arial"/>
              <w:i/>
              <w:sz w:val="13"/>
            </w:rPr>
            <w:br/>
          </w:r>
          <w:r>
            <w:t>Box 622</w:t>
          </w:r>
          <w:r>
            <w:br/>
            <w:t>751 26 Uppsala, Suède</w:t>
          </w:r>
        </w:p>
      </w:tc>
      <w:tc>
        <w:tcPr>
          <w:tcW w:w="1928" w:type="dxa"/>
        </w:tcPr>
        <w:p w14:paraId="66BF7396" w14:textId="75DDAD75" w:rsidR="001A7893" w:rsidRDefault="001A7893" w:rsidP="00795269">
          <w:pPr>
            <w:pStyle w:val="Footer"/>
          </w:pPr>
          <w:r>
            <w:rPr>
              <w:rFonts w:ascii="Arial" w:hAnsi="Arial"/>
              <w:i/>
              <w:sz w:val="13"/>
            </w:rPr>
            <w:t>Adresse de visite</w:t>
          </w:r>
          <w:r>
            <w:rPr>
              <w:rFonts w:ascii="Arial" w:hAnsi="Arial"/>
              <w:i/>
              <w:sz w:val="13"/>
            </w:rPr>
            <w:br/>
          </w:r>
          <w:r>
            <w:t>Dag Hammarskjölds väg 56 A</w:t>
          </w:r>
        </w:p>
        <w:p w14:paraId="59C23003" w14:textId="6FF43975" w:rsidR="001A7893" w:rsidRDefault="001A7893" w:rsidP="00CF53B0">
          <w:pPr>
            <w:pStyle w:val="Footer"/>
          </w:pPr>
          <w:r>
            <w:rPr>
              <w:rFonts w:ascii="Arial" w:hAnsi="Arial"/>
              <w:i/>
              <w:sz w:val="13"/>
            </w:rPr>
            <w:t>Adresse de livraison</w:t>
          </w:r>
          <w:r>
            <w:rPr>
              <w:rFonts w:ascii="Arial" w:hAnsi="Arial"/>
              <w:i/>
              <w:sz w:val="13"/>
            </w:rPr>
            <w:br/>
          </w:r>
          <w:r>
            <w:t>Dag Hammarskjölds väg 56 C</w:t>
          </w:r>
          <w:r>
            <w:br/>
            <w:t>752 37 Uppsala, Suède</w:t>
          </w:r>
        </w:p>
      </w:tc>
      <w:tc>
        <w:tcPr>
          <w:tcW w:w="1644" w:type="dxa"/>
        </w:tcPr>
        <w:p w14:paraId="09B8B9DC" w14:textId="77777777" w:rsidR="001A7893" w:rsidRDefault="001A7893" w:rsidP="00795269">
          <w:pPr>
            <w:pStyle w:val="Footer"/>
          </w:pPr>
          <w:r>
            <w:rPr>
              <w:rFonts w:ascii="Arial" w:hAnsi="Arial"/>
              <w:i/>
              <w:sz w:val="13"/>
            </w:rPr>
            <w:t>Téléphone</w:t>
          </w:r>
          <w:r>
            <w:rPr>
              <w:rFonts w:ascii="Arial" w:hAnsi="Arial"/>
              <w:i/>
              <w:sz w:val="13"/>
            </w:rPr>
            <w:br/>
          </w:r>
          <w:r>
            <w:t>+ 46 (0)18-17 55 00</w:t>
          </w:r>
        </w:p>
        <w:p w14:paraId="0EBEED70" w14:textId="77777777" w:rsidR="001A7893" w:rsidRDefault="001A7893" w:rsidP="00795269">
          <w:pPr>
            <w:pStyle w:val="Footer"/>
          </w:pPr>
          <w:r>
            <w:rPr>
              <w:rFonts w:ascii="Arial" w:hAnsi="Arial"/>
              <w:i/>
              <w:sz w:val="13"/>
            </w:rPr>
            <w:t>Fax</w:t>
          </w:r>
          <w:r>
            <w:rPr>
              <w:rFonts w:ascii="Arial" w:hAnsi="Arial"/>
              <w:i/>
              <w:sz w:val="13"/>
            </w:rPr>
            <w:br/>
          </w:r>
          <w:r>
            <w:t>+ 46 (0)18-10 58 48</w:t>
          </w:r>
        </w:p>
      </w:tc>
      <w:tc>
        <w:tcPr>
          <w:tcW w:w="2325" w:type="dxa"/>
        </w:tcPr>
        <w:p w14:paraId="4DA7A439" w14:textId="77777777" w:rsidR="001A7893" w:rsidRDefault="001A7893" w:rsidP="00795269">
          <w:pPr>
            <w:pStyle w:val="Footer"/>
          </w:pPr>
          <w:r>
            <w:rPr>
              <w:rFonts w:ascii="Arial" w:hAnsi="Arial"/>
              <w:i/>
              <w:sz w:val="13"/>
            </w:rPr>
            <w:t>E-mail</w:t>
          </w:r>
          <w:r>
            <w:rPr>
              <w:rFonts w:ascii="Arial" w:hAnsi="Arial"/>
              <w:i/>
              <w:sz w:val="13"/>
            </w:rPr>
            <w:br/>
          </w:r>
          <w:r>
            <w:t>livsmedelsverket@slv.se</w:t>
          </w:r>
        </w:p>
        <w:p w14:paraId="335403F0" w14:textId="77777777" w:rsidR="001A7893" w:rsidRDefault="001A7893" w:rsidP="00795269">
          <w:pPr>
            <w:pStyle w:val="Footer"/>
          </w:pPr>
          <w:r>
            <w:rPr>
              <w:rFonts w:ascii="Arial" w:hAnsi="Arial"/>
              <w:i/>
              <w:sz w:val="13"/>
            </w:rPr>
            <w:t>Site Web</w:t>
          </w:r>
          <w:r>
            <w:rPr>
              <w:rFonts w:ascii="Arial" w:hAnsi="Arial"/>
              <w:i/>
              <w:sz w:val="13"/>
            </w:rPr>
            <w:br/>
          </w:r>
          <w:r>
            <w:t>www.livsmedelsverket.se</w:t>
          </w:r>
        </w:p>
      </w:tc>
      <w:tc>
        <w:tcPr>
          <w:tcW w:w="1531" w:type="dxa"/>
        </w:tcPr>
        <w:p w14:paraId="3927D0E0" w14:textId="77777777" w:rsidR="001A7893" w:rsidRDefault="001A7893" w:rsidP="00795269">
          <w:pPr>
            <w:pStyle w:val="Footer"/>
          </w:pPr>
          <w:r>
            <w:rPr>
              <w:rFonts w:ascii="Arial" w:hAnsi="Arial"/>
              <w:i/>
              <w:sz w:val="13"/>
            </w:rPr>
            <w:t>Numéro d’identité d’entreprise</w:t>
          </w:r>
          <w:r>
            <w:rPr>
              <w:rFonts w:ascii="Arial" w:hAnsi="Arial"/>
              <w:i/>
              <w:sz w:val="13"/>
            </w:rPr>
            <w:br/>
          </w:r>
          <w:r>
            <w:t>202100-1850</w:t>
          </w:r>
        </w:p>
        <w:p w14:paraId="4784EE2D" w14:textId="77777777" w:rsidR="001A7893" w:rsidRDefault="001A7893" w:rsidP="00795269">
          <w:pPr>
            <w:pStyle w:val="Footer"/>
          </w:pPr>
          <w:r>
            <w:rPr>
              <w:rFonts w:ascii="Arial" w:hAnsi="Arial"/>
              <w:i/>
              <w:sz w:val="13"/>
            </w:rPr>
            <w:t>Numéro de TVA</w:t>
          </w:r>
          <w:r>
            <w:rPr>
              <w:rFonts w:ascii="Arial" w:hAnsi="Arial"/>
              <w:i/>
              <w:sz w:val="13"/>
            </w:rPr>
            <w:br/>
          </w:r>
          <w:r>
            <w:t>SE202100185001</w:t>
          </w:r>
          <w:r>
            <w:br/>
          </w:r>
          <w:r>
            <w:rPr>
              <w:rFonts w:ascii="Arial" w:hAnsi="Arial"/>
              <w:i/>
              <w:sz w:val="13"/>
            </w:rPr>
            <w:t>Entreprise soumise à l’impôt</w:t>
          </w:r>
        </w:p>
      </w:tc>
    </w:tr>
  </w:tbl>
  <w:p w14:paraId="37E26D15" w14:textId="77777777" w:rsidR="001A7893" w:rsidRPr="00DE24A7" w:rsidRDefault="001A7893" w:rsidP="0079526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5D56" w14:textId="77777777" w:rsidR="00794481" w:rsidRDefault="00794481" w:rsidP="007C53E8">
      <w:pPr>
        <w:spacing w:line="240" w:lineRule="auto"/>
      </w:pPr>
      <w:r>
        <w:separator/>
      </w:r>
    </w:p>
  </w:footnote>
  <w:footnote w:type="continuationSeparator" w:id="0">
    <w:p w14:paraId="2D6A3FCC" w14:textId="77777777" w:rsidR="00794481" w:rsidRDefault="00794481" w:rsidP="007C53E8">
      <w:pPr>
        <w:spacing w:line="240" w:lineRule="auto"/>
      </w:pPr>
      <w:r>
        <w:continuationSeparator/>
      </w:r>
    </w:p>
  </w:footnote>
  <w:footnote w:id="1">
    <w:p w14:paraId="350F4045" w14:textId="5EEA598B" w:rsidR="001A7893" w:rsidRDefault="001A7893">
      <w:pPr>
        <w:pStyle w:val="FootnoteText"/>
      </w:pPr>
      <w:r>
        <w:rPr>
          <w:rStyle w:val="FootnoteReference"/>
        </w:rPr>
        <w:footnoteRef/>
      </w:r>
      <w:r>
        <w:t xml:space="preserve"> Selon la proposition de l’enquête 2020 sur l’eau potable dans SOU 2021:81, l’évaluation sera effectuée par les autorités chargées de l’eau. Si la proposition n’est pas réalisée, le règlement de l’Agence suédoise de l’alimentation en matière d’eau potable sera </w:t>
      </w:r>
      <w:proofErr w:type="gramStart"/>
      <w:r>
        <w:t>adaptée</w:t>
      </w:r>
      <w:proofErr w:type="gramEnd"/>
      <w:r>
        <w:t xml:space="preserve"> en conséquence.</w:t>
      </w:r>
    </w:p>
  </w:footnote>
  <w:footnote w:id="2">
    <w:p w14:paraId="3A5E6510" w14:textId="257C2CE6" w:rsidR="001A7893" w:rsidRDefault="001A7893">
      <w:pPr>
        <w:pStyle w:val="FootnoteText"/>
      </w:pPr>
      <w:r>
        <w:rPr>
          <w:rStyle w:val="FootnoteReference"/>
        </w:rPr>
        <w:footnoteRef/>
      </w:r>
      <w:r>
        <w:t xml:space="preserve"> Agence suédoise de l’alimentation. </w:t>
      </w:r>
      <w:proofErr w:type="spellStart"/>
      <w:r>
        <w:t>Gyllenhammar</w:t>
      </w:r>
      <w:proofErr w:type="spellEnd"/>
      <w:r>
        <w:t xml:space="preserve"> I, </w:t>
      </w:r>
      <w:proofErr w:type="spellStart"/>
      <w:r>
        <w:t>Lindfeldt</w:t>
      </w:r>
      <w:proofErr w:type="spellEnd"/>
      <w:r>
        <w:t xml:space="preserve"> E, </w:t>
      </w:r>
      <w:proofErr w:type="spellStart"/>
      <w:r>
        <w:t>Ankarberg</w:t>
      </w:r>
      <w:proofErr w:type="spellEnd"/>
      <w:r>
        <w:t xml:space="preserve"> EH. 2022. </w:t>
      </w:r>
      <w:proofErr w:type="spellStart"/>
      <w:r>
        <w:t>Vetenskapligt</w:t>
      </w:r>
      <w:proofErr w:type="spellEnd"/>
      <w:r>
        <w:t xml:space="preserve"> </w:t>
      </w:r>
      <w:proofErr w:type="spellStart"/>
      <w:r>
        <w:t>underlag</w:t>
      </w:r>
      <w:proofErr w:type="spellEnd"/>
      <w:r>
        <w:t xml:space="preserve"> </w:t>
      </w:r>
      <w:proofErr w:type="spellStart"/>
      <w:r>
        <w:t>för</w:t>
      </w:r>
      <w:proofErr w:type="spellEnd"/>
      <w:r>
        <w:t xml:space="preserve"> PFAS i </w:t>
      </w:r>
      <w:proofErr w:type="spellStart"/>
      <w:r>
        <w:t>dricksvatten</w:t>
      </w:r>
      <w:proofErr w:type="spellEnd"/>
      <w:r>
        <w:t xml:space="preserve"> (Base scientifique des PFAS dans les eaux destinées à la consommation humaine). Note de l’Autorité alimentaire suédoise. Uppsala.</w:t>
      </w:r>
    </w:p>
  </w:footnote>
  <w:footnote w:id="3">
    <w:p w14:paraId="4DB3EBBC" w14:textId="413DF002" w:rsidR="001A7893" w:rsidRDefault="001A7893">
      <w:pPr>
        <w:pStyle w:val="FootnoteText"/>
      </w:pPr>
      <w:r>
        <w:rPr>
          <w:rStyle w:val="FootnoteReference"/>
        </w:rPr>
        <w:footnoteRef/>
      </w:r>
      <w:r>
        <w:t xml:space="preserve"> Selon l’Agence suédoise de l’alimentation 22/02/2022.</w:t>
      </w:r>
    </w:p>
  </w:footnote>
  <w:footnote w:id="4">
    <w:p w14:paraId="5BD02A2C" w14:textId="77777777" w:rsidR="001A7893" w:rsidRDefault="001A7893" w:rsidP="00DE3C19">
      <w:pPr>
        <w:pStyle w:val="FootnoteText"/>
      </w:pPr>
      <w:r>
        <w:rPr>
          <w:rStyle w:val="FootnoteReference"/>
        </w:rPr>
        <w:footnoteRef/>
      </w:r>
      <w:r>
        <w:t xml:space="preserve"> C 182, Institut suédois de recherche environnementale IVL, </w:t>
      </w:r>
      <w:proofErr w:type="spellStart"/>
      <w:r>
        <w:t>Sammanställning</w:t>
      </w:r>
      <w:proofErr w:type="spellEnd"/>
      <w:r>
        <w:t xml:space="preserve"> av </w:t>
      </w:r>
      <w:proofErr w:type="spellStart"/>
      <w:r>
        <w:t>befintlig</w:t>
      </w:r>
      <w:proofErr w:type="spellEnd"/>
      <w:r>
        <w:t xml:space="preserve"> </w:t>
      </w:r>
      <w:proofErr w:type="spellStart"/>
      <w:r>
        <w:t>kunskap</w:t>
      </w:r>
      <w:proofErr w:type="spellEnd"/>
      <w:r>
        <w:t xml:space="preserve"> om </w:t>
      </w:r>
      <w:proofErr w:type="spellStart"/>
      <w:r>
        <w:t>föroreningskällor</w:t>
      </w:r>
      <w:proofErr w:type="spellEnd"/>
      <w:r>
        <w:t xml:space="preserve"> till PFAS-</w:t>
      </w:r>
      <w:proofErr w:type="spellStart"/>
      <w:r>
        <w:t>ämnen</w:t>
      </w:r>
      <w:proofErr w:type="spellEnd"/>
      <w:r>
        <w:t xml:space="preserve"> i svensk </w:t>
      </w:r>
      <w:proofErr w:type="spellStart"/>
      <w:r>
        <w:t>miljö</w:t>
      </w:r>
      <w:proofErr w:type="spellEnd"/>
      <w:r>
        <w:t xml:space="preserve"> (Compilation des connaissances existantes sur les sources de contamination par les PFAS dans l’environnement suédois).</w:t>
      </w:r>
    </w:p>
  </w:footnote>
  <w:footnote w:id="5">
    <w:p w14:paraId="5BEEB938" w14:textId="77777777" w:rsidR="001A7893" w:rsidRDefault="001A7893" w:rsidP="00DE3C19">
      <w:pPr>
        <w:pStyle w:val="FootnoteText"/>
      </w:pPr>
      <w:r>
        <w:rPr>
          <w:rStyle w:val="FootnoteReference"/>
        </w:rPr>
        <w:footnoteRef/>
      </w:r>
      <w:r>
        <w:t xml:space="preserve"> Rapport 2016:2, Université suédoise des sciences agricoles, Département de l’eau et de l’environnement, </w:t>
      </w:r>
    </w:p>
    <w:p w14:paraId="70446E03" w14:textId="77777777" w:rsidR="001A7893" w:rsidRDefault="001A7893" w:rsidP="00DE3C19">
      <w:pPr>
        <w:pStyle w:val="FootnoteText"/>
      </w:pPr>
      <w:r>
        <w:t>ISBN 978-91-576-9386--0.</w:t>
      </w:r>
    </w:p>
  </w:footnote>
  <w:footnote w:id="6">
    <w:p w14:paraId="76BE74FD" w14:textId="77777777" w:rsidR="001A7893" w:rsidRPr="00836FEC" w:rsidRDefault="001A7893" w:rsidP="00DE3C19">
      <w:pPr>
        <w:pStyle w:val="FootnoteText"/>
      </w:pPr>
      <w:r>
        <w:rPr>
          <w:rStyle w:val="FootnoteReference"/>
        </w:rPr>
        <w:footnoteRef/>
      </w:r>
      <w:r>
        <w:t xml:space="preserve"> Agence suédoise de l’alimentation. </w:t>
      </w:r>
      <w:proofErr w:type="spellStart"/>
      <w:r>
        <w:t>Lindfeldt</w:t>
      </w:r>
      <w:proofErr w:type="spellEnd"/>
      <w:r>
        <w:t xml:space="preserve">, E, </w:t>
      </w:r>
      <w:proofErr w:type="spellStart"/>
      <w:r>
        <w:t>Gyllenhammar</w:t>
      </w:r>
      <w:proofErr w:type="spellEnd"/>
      <w:r>
        <w:t xml:space="preserve">, I, </w:t>
      </w:r>
      <w:proofErr w:type="spellStart"/>
      <w:r>
        <w:t>Strandh</w:t>
      </w:r>
      <w:proofErr w:type="spellEnd"/>
      <w:r>
        <w:t xml:space="preserve">, S, </w:t>
      </w:r>
      <w:proofErr w:type="spellStart"/>
      <w:r>
        <w:t>Halldin</w:t>
      </w:r>
      <w:proofErr w:type="spellEnd"/>
      <w:r>
        <w:t xml:space="preserve"> </w:t>
      </w:r>
      <w:proofErr w:type="spellStart"/>
      <w:r>
        <w:t>Ankarberg</w:t>
      </w:r>
      <w:proofErr w:type="spellEnd"/>
      <w:r>
        <w:t xml:space="preserve">, E, 2021. L 2021 no 21: </w:t>
      </w:r>
      <w:proofErr w:type="spellStart"/>
      <w:r>
        <w:t>Kartläggning</w:t>
      </w:r>
      <w:proofErr w:type="spellEnd"/>
      <w:r>
        <w:t xml:space="preserve"> av per- </w:t>
      </w:r>
      <w:proofErr w:type="spellStart"/>
      <w:r>
        <w:t>och</w:t>
      </w:r>
      <w:proofErr w:type="spellEnd"/>
      <w:r>
        <w:t xml:space="preserve"> </w:t>
      </w:r>
      <w:proofErr w:type="spellStart"/>
      <w:r>
        <w:t>polyfluorerade</w:t>
      </w:r>
      <w:proofErr w:type="spellEnd"/>
      <w:r>
        <w:t xml:space="preserve"> </w:t>
      </w:r>
      <w:proofErr w:type="spellStart"/>
      <w:r>
        <w:t>alkylsubstanser</w:t>
      </w:r>
      <w:proofErr w:type="spellEnd"/>
      <w:r>
        <w:t xml:space="preserve"> (PFAS) i </w:t>
      </w:r>
      <w:proofErr w:type="spellStart"/>
      <w:r>
        <w:t>Sveriges</w:t>
      </w:r>
      <w:proofErr w:type="spellEnd"/>
      <w:r>
        <w:t xml:space="preserve"> </w:t>
      </w:r>
      <w:proofErr w:type="spellStart"/>
      <w:r>
        <w:t>kommunala</w:t>
      </w:r>
      <w:proofErr w:type="spellEnd"/>
      <w:r>
        <w:t xml:space="preserve"> </w:t>
      </w:r>
      <w:proofErr w:type="spellStart"/>
      <w:r>
        <w:t>rå</w:t>
      </w:r>
      <w:proofErr w:type="spellEnd"/>
      <w:r>
        <w:t xml:space="preserve">- </w:t>
      </w:r>
      <w:proofErr w:type="spellStart"/>
      <w:r>
        <w:t>och</w:t>
      </w:r>
      <w:proofErr w:type="spellEnd"/>
      <w:r>
        <w:t xml:space="preserve"> </w:t>
      </w:r>
      <w:proofErr w:type="spellStart"/>
      <w:r>
        <w:t>dricksvatten</w:t>
      </w:r>
      <w:proofErr w:type="spellEnd"/>
      <w:r>
        <w:t xml:space="preserve"> (Enquête de substances alkyles per et </w:t>
      </w:r>
      <w:proofErr w:type="spellStart"/>
      <w:r>
        <w:t>polyfluorées</w:t>
      </w:r>
      <w:proofErr w:type="spellEnd"/>
      <w:r>
        <w:t xml:space="preserve"> (PFAS) dans les eaux brutes municipales et les eaux destinées à la consommation humaine). Série de rapports de l’Agence suédoise de l’alimentation. Uppsala.</w:t>
      </w:r>
    </w:p>
  </w:footnote>
  <w:footnote w:id="7">
    <w:p w14:paraId="7F22B98B" w14:textId="171987C5" w:rsidR="001A7893" w:rsidRPr="00836FEC" w:rsidRDefault="001A7893" w:rsidP="00DE3C19">
      <w:pPr>
        <w:pStyle w:val="FootnoteText"/>
      </w:pPr>
      <w:r>
        <w:rPr>
          <w:rStyle w:val="FootnoteReference"/>
        </w:rPr>
        <w:footnoteRef/>
      </w:r>
      <w:r>
        <w:t xml:space="preserve"> Hoeringportalen.dk, </w:t>
      </w:r>
      <w:proofErr w:type="spellStart"/>
      <w:r>
        <w:t>høring</w:t>
      </w:r>
      <w:proofErr w:type="spellEnd"/>
      <w:r>
        <w:t xml:space="preserve"> over </w:t>
      </w:r>
      <w:proofErr w:type="spellStart"/>
      <w:r>
        <w:t>Udkast</w:t>
      </w:r>
      <w:proofErr w:type="spellEnd"/>
      <w:r>
        <w:t xml:space="preserve"> </w:t>
      </w:r>
      <w:proofErr w:type="spellStart"/>
      <w:r>
        <w:t>til</w:t>
      </w:r>
      <w:proofErr w:type="spellEnd"/>
      <w:r>
        <w:t xml:space="preserve"> </w:t>
      </w:r>
      <w:proofErr w:type="spellStart"/>
      <w:r>
        <w:t>ændring</w:t>
      </w:r>
      <w:proofErr w:type="spellEnd"/>
      <w:r>
        <w:t xml:space="preserve"> </w:t>
      </w:r>
      <w:proofErr w:type="spellStart"/>
      <w:r>
        <w:t>af</w:t>
      </w:r>
      <w:proofErr w:type="spellEnd"/>
      <w:r>
        <w:t xml:space="preserve"> </w:t>
      </w:r>
      <w:proofErr w:type="spellStart"/>
      <w:r>
        <w:t>drikkevandsbekendtgørelsen</w:t>
      </w:r>
      <w:proofErr w:type="spellEnd"/>
      <w:r>
        <w:t xml:space="preserve"> </w:t>
      </w:r>
      <w:proofErr w:type="spellStart"/>
      <w:r>
        <w:t>og</w:t>
      </w:r>
      <w:proofErr w:type="spellEnd"/>
      <w:r>
        <w:t xml:space="preserve"> </w:t>
      </w:r>
      <w:proofErr w:type="spellStart"/>
      <w:r>
        <w:t>bekendtgørelse</w:t>
      </w:r>
      <w:proofErr w:type="spellEnd"/>
      <w:r>
        <w:t xml:space="preserve"> om </w:t>
      </w:r>
      <w:proofErr w:type="spellStart"/>
      <w:r>
        <w:t>kvalitetskrav</w:t>
      </w:r>
      <w:proofErr w:type="spellEnd"/>
      <w:r>
        <w:t xml:space="preserve"> </w:t>
      </w:r>
      <w:proofErr w:type="spellStart"/>
      <w:r>
        <w:t>tiljømålinger</w:t>
      </w:r>
      <w:proofErr w:type="spellEnd"/>
      <w:r>
        <w:t xml:space="preserve">, </w:t>
      </w:r>
      <w:proofErr w:type="spellStart"/>
      <w:r>
        <w:t>høringsnotat</w:t>
      </w:r>
      <w:proofErr w:type="spellEnd"/>
      <w:r>
        <w:t xml:space="preserve"> and </w:t>
      </w:r>
      <w:proofErr w:type="spellStart"/>
      <w:r>
        <w:t>høringsansans</w:t>
      </w:r>
      <w:proofErr w:type="spellEnd"/>
      <w:r>
        <w:t>, téléchargé 06/04/2022.</w:t>
      </w:r>
    </w:p>
  </w:footnote>
  <w:footnote w:id="8">
    <w:p w14:paraId="7234F9BC" w14:textId="77777777" w:rsidR="001A7893" w:rsidRPr="00836FEC" w:rsidRDefault="001A7893" w:rsidP="00DE3C19">
      <w:pPr>
        <w:pStyle w:val="FootnoteText"/>
      </w:pPr>
      <w:r>
        <w:rPr>
          <w:rStyle w:val="FootnoteReference"/>
        </w:rPr>
        <w:footnoteRef/>
      </w:r>
      <w:r>
        <w:t xml:space="preserve"> </w:t>
      </w:r>
      <w:proofErr w:type="spellStart"/>
      <w:r>
        <w:t>TemaNord</w:t>
      </w:r>
      <w:proofErr w:type="spellEnd"/>
      <w:r>
        <w:t xml:space="preserve"> 2019:516, Le coût de l’inaction Une analyse socio-économique des impacts environnementaux et sanitaires liés à l’exposition aux PFAS, </w:t>
      </w:r>
      <w:proofErr w:type="spellStart"/>
      <w:r>
        <w:t>Gretta</w:t>
      </w:r>
      <w:proofErr w:type="spellEnd"/>
      <w:r>
        <w:t xml:space="preserve"> </w:t>
      </w:r>
      <w:proofErr w:type="spellStart"/>
      <w:r>
        <w:t>Goldenman</w:t>
      </w:r>
      <w:proofErr w:type="spellEnd"/>
      <w:r>
        <w:t xml:space="preserve">, </w:t>
      </w:r>
      <w:proofErr w:type="spellStart"/>
      <w:r>
        <w:t>Meena</w:t>
      </w:r>
      <w:proofErr w:type="spellEnd"/>
      <w:r>
        <w:t xml:space="preserve"> Fernandes, Michael Holland, </w:t>
      </w:r>
      <w:proofErr w:type="spellStart"/>
      <w:r>
        <w:t>Tugce</w:t>
      </w:r>
      <w:proofErr w:type="spellEnd"/>
      <w:r>
        <w:t xml:space="preserve"> </w:t>
      </w:r>
      <w:proofErr w:type="spellStart"/>
      <w:r>
        <w:t>Tugran</w:t>
      </w:r>
      <w:proofErr w:type="spellEnd"/>
      <w:r>
        <w:t xml:space="preserve">, Amanda </w:t>
      </w:r>
      <w:proofErr w:type="spellStart"/>
      <w:r>
        <w:t>Nordin</w:t>
      </w:r>
      <w:proofErr w:type="spellEnd"/>
      <w:r>
        <w:t xml:space="preserve">, Cindy </w:t>
      </w:r>
      <w:proofErr w:type="spellStart"/>
      <w:r>
        <w:t>Schoumacher</w:t>
      </w:r>
      <w:proofErr w:type="spellEnd"/>
      <w:r>
        <w:t xml:space="preserve"> et Alicia </w:t>
      </w:r>
      <w:proofErr w:type="spellStart"/>
      <w:r>
        <w:t>McNeill</w:t>
      </w:r>
      <w:proofErr w:type="spellEnd"/>
      <w:r>
        <w:t>.</w:t>
      </w:r>
    </w:p>
  </w:footnote>
  <w:footnote w:id="9">
    <w:p w14:paraId="13A7DB78" w14:textId="208B0B16" w:rsidR="001A7893" w:rsidRPr="001161FA" w:rsidRDefault="001A7893">
      <w:pPr>
        <w:pStyle w:val="FootnoteText"/>
      </w:pPr>
      <w:r>
        <w:rPr>
          <w:rStyle w:val="FootnoteReference"/>
        </w:rPr>
        <w:footnoteRef/>
      </w:r>
      <w:r>
        <w:t xml:space="preserve"> </w:t>
      </w:r>
      <w:proofErr w:type="spellStart"/>
      <w:r>
        <w:t>Kartläggning</w:t>
      </w:r>
      <w:proofErr w:type="spellEnd"/>
      <w:r>
        <w:t xml:space="preserve"> </w:t>
      </w:r>
      <w:proofErr w:type="spellStart"/>
      <w:r>
        <w:t>och</w:t>
      </w:r>
      <w:proofErr w:type="spellEnd"/>
      <w:r>
        <w:t xml:space="preserve"> </w:t>
      </w:r>
      <w:proofErr w:type="spellStart"/>
      <w:r>
        <w:t>tolkning</w:t>
      </w:r>
      <w:proofErr w:type="spellEnd"/>
      <w:r>
        <w:t xml:space="preserve"> av </w:t>
      </w:r>
      <w:proofErr w:type="spellStart"/>
      <w:r>
        <w:t>ursprung</w:t>
      </w:r>
      <w:proofErr w:type="spellEnd"/>
      <w:r>
        <w:t xml:space="preserve"> till </w:t>
      </w:r>
      <w:proofErr w:type="spellStart"/>
      <w:r>
        <w:t>höga</w:t>
      </w:r>
      <w:proofErr w:type="spellEnd"/>
      <w:r>
        <w:t xml:space="preserve"> halter av </w:t>
      </w:r>
      <w:proofErr w:type="spellStart"/>
      <w:r>
        <w:t>kadmium</w:t>
      </w:r>
      <w:proofErr w:type="spellEnd"/>
      <w:r>
        <w:t xml:space="preserve"> </w:t>
      </w:r>
      <w:proofErr w:type="spellStart"/>
      <w:r>
        <w:t>och</w:t>
      </w:r>
      <w:proofErr w:type="spellEnd"/>
      <w:r>
        <w:t xml:space="preserve"> </w:t>
      </w:r>
      <w:proofErr w:type="spellStart"/>
      <w:r>
        <w:t>bly</w:t>
      </w:r>
      <w:proofErr w:type="spellEnd"/>
      <w:r>
        <w:t xml:space="preserve"> i </w:t>
      </w:r>
      <w:proofErr w:type="spellStart"/>
      <w:r>
        <w:t>grundvattnet</w:t>
      </w:r>
      <w:proofErr w:type="spellEnd"/>
      <w:r>
        <w:t xml:space="preserve"> i </w:t>
      </w:r>
      <w:proofErr w:type="spellStart"/>
      <w:r>
        <w:t>Maglasäte-Lilasäte</w:t>
      </w:r>
      <w:proofErr w:type="spellEnd"/>
      <w:r>
        <w:t xml:space="preserve">, </w:t>
      </w:r>
      <w:proofErr w:type="spellStart"/>
      <w:r>
        <w:t>Höörs</w:t>
      </w:r>
      <w:proofErr w:type="spellEnd"/>
      <w:r>
        <w:t xml:space="preserve"> </w:t>
      </w:r>
      <w:proofErr w:type="spellStart"/>
      <w:r>
        <w:t>kommun</w:t>
      </w:r>
      <w:proofErr w:type="spellEnd"/>
      <w:r>
        <w:t xml:space="preserve">, Skåne (Enquête et interprétation de l’origine des concentrations élevées de cadmium et de plomb dans les eaux souterraines de </w:t>
      </w:r>
      <w:proofErr w:type="spellStart"/>
      <w:r>
        <w:t>Maglasäte-Lilasäte</w:t>
      </w:r>
      <w:proofErr w:type="spellEnd"/>
      <w:r>
        <w:t xml:space="preserve">, </w:t>
      </w:r>
      <w:proofErr w:type="spellStart"/>
      <w:r>
        <w:t>Höörs</w:t>
      </w:r>
      <w:proofErr w:type="spellEnd"/>
      <w:r>
        <w:t xml:space="preserve"> </w:t>
      </w:r>
      <w:proofErr w:type="spellStart"/>
      <w:r>
        <w:t>kommun</w:t>
      </w:r>
      <w:proofErr w:type="spellEnd"/>
      <w:r>
        <w:t>, Skåne), rapport SGU 2016:02.</w:t>
      </w:r>
    </w:p>
  </w:footnote>
  <w:footnote w:id="10">
    <w:p w14:paraId="6A5672CB" w14:textId="5CC0FD0F" w:rsidR="001A7893" w:rsidRPr="00063954" w:rsidRDefault="001A7893">
      <w:pPr>
        <w:pStyle w:val="FootnoteText"/>
      </w:pPr>
      <w:r>
        <w:rPr>
          <w:rStyle w:val="FootnoteReference"/>
        </w:rPr>
        <w:footnoteRef/>
      </w:r>
      <w:r>
        <w:t xml:space="preserve"> Lignes directrices pour la qualité de l’eau potable, 2017.</w:t>
      </w:r>
    </w:p>
  </w:footnote>
  <w:footnote w:id="11">
    <w:p w14:paraId="4200AA3E" w14:textId="20AAD64F" w:rsidR="001A7893" w:rsidRDefault="001A7893">
      <w:pPr>
        <w:pStyle w:val="FootnoteText"/>
      </w:pPr>
      <w:r>
        <w:rPr>
          <w:rStyle w:val="FootnoteReference"/>
        </w:rPr>
        <w:footnoteRef/>
      </w:r>
      <w:r>
        <w:t xml:space="preserve"> </w:t>
      </w:r>
      <w:proofErr w:type="spellStart"/>
      <w:r>
        <w:t>Toxikologiska</w:t>
      </w:r>
      <w:proofErr w:type="spellEnd"/>
      <w:r>
        <w:t xml:space="preserve"> </w:t>
      </w:r>
      <w:proofErr w:type="spellStart"/>
      <w:r>
        <w:t>rådets</w:t>
      </w:r>
      <w:proofErr w:type="spellEnd"/>
      <w:r>
        <w:t xml:space="preserve"> </w:t>
      </w:r>
      <w:proofErr w:type="spellStart"/>
      <w:r>
        <w:t>årsrapport</w:t>
      </w:r>
      <w:proofErr w:type="spellEnd"/>
      <w:r>
        <w:t xml:space="preserve"> (Rapport annuel du Conseil de toxicologie), 2021.</w:t>
      </w:r>
    </w:p>
  </w:footnote>
  <w:footnote w:id="12">
    <w:p w14:paraId="47B7BCD6" w14:textId="3A091B40" w:rsidR="001A7893" w:rsidRDefault="001A7893">
      <w:pPr>
        <w:pStyle w:val="FootnoteText"/>
      </w:pPr>
      <w:r>
        <w:rPr>
          <w:rStyle w:val="FootnoteReference"/>
        </w:rPr>
        <w:footnoteRef/>
      </w:r>
      <w:r>
        <w:t xml:space="preserve"> Rapport officiel 2021.</w:t>
      </w:r>
    </w:p>
  </w:footnote>
  <w:footnote w:id="13">
    <w:p w14:paraId="3D62B695" w14:textId="76FC07AE" w:rsidR="001A7893" w:rsidRDefault="001A7893">
      <w:pPr>
        <w:pStyle w:val="FootnoteText"/>
      </w:pPr>
      <w:r>
        <w:rPr>
          <w:rStyle w:val="FootnoteReference"/>
        </w:rPr>
        <w:footnoteRef/>
      </w:r>
      <w:r>
        <w:t xml:space="preserve"> </w:t>
      </w:r>
      <w:proofErr w:type="spellStart"/>
      <w:r>
        <w:t>Svenskt</w:t>
      </w:r>
      <w:proofErr w:type="spellEnd"/>
      <w:r>
        <w:t xml:space="preserve"> </w:t>
      </w:r>
      <w:proofErr w:type="spellStart"/>
      <w:r>
        <w:t>Vatten</w:t>
      </w:r>
      <w:proofErr w:type="spellEnd"/>
      <w:r>
        <w:t xml:space="preserve"> — </w:t>
      </w:r>
      <w:proofErr w:type="spellStart"/>
      <w:r>
        <w:t>Branschriktlinjer</w:t>
      </w:r>
      <w:proofErr w:type="spellEnd"/>
      <w:r>
        <w:t xml:space="preserve"> </w:t>
      </w:r>
      <w:proofErr w:type="spellStart"/>
      <w:r>
        <w:t>för</w:t>
      </w:r>
      <w:proofErr w:type="spellEnd"/>
      <w:r>
        <w:t xml:space="preserve"> </w:t>
      </w:r>
      <w:proofErr w:type="spellStart"/>
      <w:r>
        <w:t>råvattenkvalitet</w:t>
      </w:r>
      <w:proofErr w:type="spellEnd"/>
      <w:r>
        <w:t xml:space="preserve"> (Directives industrielles pour la qualité de l’eau brute), 08/12/2008.</w:t>
      </w:r>
    </w:p>
  </w:footnote>
  <w:footnote w:id="14">
    <w:p w14:paraId="7B02A978" w14:textId="039A3832" w:rsidR="001A7893" w:rsidRDefault="001A7893">
      <w:pPr>
        <w:pStyle w:val="FootnoteText"/>
      </w:pPr>
      <w:r>
        <w:rPr>
          <w:rStyle w:val="FootnoteReference"/>
        </w:rPr>
        <w:footnoteRef/>
      </w:r>
      <w:r>
        <w:t xml:space="preserve"> Extraits du rapport officiel 2021.</w:t>
      </w:r>
    </w:p>
  </w:footnote>
  <w:footnote w:id="15">
    <w:p w14:paraId="0694E895" w14:textId="761D0972" w:rsidR="001A7893" w:rsidRDefault="001A7893">
      <w:pPr>
        <w:pStyle w:val="FootnoteText"/>
      </w:pPr>
      <w:r>
        <w:rPr>
          <w:rStyle w:val="FootnoteReference"/>
        </w:rPr>
        <w:footnoteRef/>
      </w:r>
      <w:r>
        <w:t xml:space="preserve"> Installation municipale d’approvisionnement en eau ou installation de distribution d’eau, dont le but est de fournir de l’eau destinée à la consommation humaine dans un contexte plus large en vertu de la Loi (2016:412) sur les services publics de distribution d’eau.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8035" w14:textId="3B3EBD7B" w:rsidR="001A7893" w:rsidRDefault="001A7893" w:rsidP="00297001">
    <w:pPr>
      <w:pStyle w:val="Header"/>
    </w:pPr>
    <w:r>
      <mc:AlternateContent>
        <mc:Choice Requires="wps">
          <w:drawing>
            <wp:anchor distT="0" distB="0" distL="0" distR="0" simplePos="0" relativeHeight="251657216" behindDoc="0" locked="1" layoutInCell="1" allowOverlap="1" wp14:anchorId="3CD57134" wp14:editId="6364A5BD">
              <wp:simplePos x="0" y="0"/>
              <wp:positionH relativeFrom="page">
                <wp:posOffset>683895</wp:posOffset>
              </wp:positionH>
              <wp:positionV relativeFrom="page">
                <wp:posOffset>572770</wp:posOffset>
              </wp:positionV>
              <wp:extent cx="3348000" cy="165600"/>
              <wp:effectExtent l="0" t="0" r="5080" b="4445"/>
              <wp:wrapSquare wrapText="bothSides"/>
              <wp:docPr id="5" name="_LtrHdr2"/>
              <wp:cNvGraphicFramePr/>
              <a:graphic xmlns:a="http://schemas.openxmlformats.org/drawingml/2006/main">
                <a:graphicData uri="http://schemas.microsoft.com/office/word/2010/wordprocessingShape">
                  <wps:wsp>
                    <wps:cNvSpPr txBox="1"/>
                    <wps:spPr>
                      <a:xfrm>
                        <a:off x="0" y="0"/>
                        <a:ext cx="3348000" cy="16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958FF" w14:textId="2C2E3259" w:rsidR="001A7893" w:rsidRPr="00787CB6" w:rsidRDefault="001A7893" w:rsidP="006C7B78">
                          <w:pPr>
                            <w:spacing w:line="240" w:lineRule="auto"/>
                          </w:pPr>
                          <w:bookmarkStart w:id="0" w:name="oHdrP2"/>
                          <w:r>
                            <w:t>Division du développement et du soutien stratégiques</w:t>
                          </w:r>
                          <w:r>
                            <w:br/>
                            <w:t>Affaires juridiques</w:t>
                          </w:r>
                          <w:r>
                            <w:br/>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D57134" id="_x0000_t202" coordsize="21600,21600" o:spt="202" path="m,l,21600r21600,l21600,xe">
              <v:stroke joinstyle="miter"/>
              <v:path gradientshapeok="t" o:connecttype="rect"/>
            </v:shapetype>
            <v:shape id="_LtrHdr2" o:spid="_x0000_s1026" type="#_x0000_t202" style="position:absolute;left:0;text-align:left;margin-left:53.85pt;margin-top:45.1pt;width:263.6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" fillcolor="white [3201]" stroked="f" strokeweight=".5pt">
              <v:textbox style="mso-fit-shape-to-text:t" inset="0,0,0,0">
                <w:txbxContent>
                  <w:p w14:paraId="28B958FF" w14:textId="2C2E3259" w:rsidR="001A7893" w:rsidRPr="00787CB6" w:rsidRDefault="001A7893" w:rsidP="006C7B78">
                    <w:pPr>
                      <w:spacing w:line="240" w:lineRule="auto"/>
                    </w:pPr>
                    <w:bookmarkStart w:id="1" w:name="oHdrP2"/>
                    <w:r>
                      <w:t>Division du développement et du soutien stratégiques</w:t>
                    </w:r>
                    <w:r>
                      <w:br/>
                      <w:t>Affaires juridiques</w:t>
                    </w:r>
                    <w:r>
                      <w:br/>
                    </w:r>
                    <w:bookmarkEnd w:id="1"/>
                  </w:p>
                </w:txbxContent>
              </v:textbox>
              <w10:wrap type="square" anchorx="page" anchory="page"/>
              <w10:anchorlock/>
            </v:shape>
          </w:pict>
        </mc:Fallback>
      </mc:AlternateContent>
    </w:r>
    <w:bookmarkStart w:id="2" w:name="oHdrO2"/>
    <w:r>
      <w:t>AGENCE SUÉDOISE DE L’ALIMENTATION</w:t>
    </w:r>
    <w:bookmarkEnd w:id="2"/>
    <w:r>
      <w:tab/>
    </w:r>
    <w:r>
      <w:tab/>
    </w:r>
    <w:r>
      <w:tab/>
    </w:r>
    <w:r>
      <w:fldChar w:fldCharType="begin"/>
    </w:r>
    <w:r>
      <w:instrText xml:space="preserve"> PAGE  \* Arabic </w:instrText>
    </w:r>
    <w:r>
      <w:fldChar w:fldCharType="separate"/>
    </w:r>
    <w:r w:rsidR="00F66B47">
      <w:t>22</w:t>
    </w:r>
    <w:r>
      <w:fldChar w:fldCharType="end"/>
    </w:r>
    <w:r>
      <w:t xml:space="preserve"> (</w:t>
    </w:r>
    <w:r>
      <w:fldChar w:fldCharType="begin"/>
    </w:r>
    <w:r>
      <w:instrText xml:space="preserve"> NUMPAGES  \* Arabic </w:instrText>
    </w:r>
    <w:r>
      <w:fldChar w:fldCharType="separate"/>
    </w:r>
    <w:r w:rsidR="00F66B47">
      <w:t>40</w:t>
    </w:r>
    <w:r>
      <w:fldChar w:fldCharType="end"/>
    </w:r>
    <w:r>
      <w:t>)</w:t>
    </w:r>
  </w:p>
  <w:p w14:paraId="3E582C26" w14:textId="77777777" w:rsidR="001A7893" w:rsidRDefault="001A7893">
    <w:pPr>
      <w:pStyle w:val="Header"/>
    </w:pPr>
  </w:p>
  <w:p w14:paraId="57A27ECD" w14:textId="11BD234E" w:rsidR="001A7893" w:rsidRDefault="001A7893">
    <w:pPr>
      <w:pStyle w:val="Header"/>
    </w:pPr>
    <w:r>
      <w:tab/>
    </w:r>
    <w:r>
      <w:tab/>
    </w:r>
    <w:bookmarkStart w:id="3" w:name="cDnr2"/>
    <w:r>
      <w:t>Ref. no.</w:t>
    </w:r>
    <w:bookmarkEnd w:id="3"/>
    <w:r>
      <w:t xml:space="preserve"> 2022/01733</w:t>
    </w:r>
  </w:p>
  <w:p w14:paraId="0FE765E1" w14:textId="6164F97E" w:rsidR="001A7893" w:rsidRDefault="001A7893">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D1E6" w14:textId="05768589" w:rsidR="001A7893" w:rsidRDefault="001A7893" w:rsidP="00795269">
    <w:pPr>
      <w:pStyle w:val="Header"/>
    </w:pPr>
    <w:r>
      <w:drawing>
        <wp:anchor distT="0" distB="0" distL="114300" distR="114300" simplePos="0" relativeHeight="251659264" behindDoc="0" locked="0" layoutInCell="1" allowOverlap="1" wp14:anchorId="2737394D" wp14:editId="7BBB3382">
          <wp:simplePos x="0" y="0"/>
          <wp:positionH relativeFrom="page">
            <wp:posOffset>683895</wp:posOffset>
          </wp:positionH>
          <wp:positionV relativeFrom="page">
            <wp:posOffset>626110</wp:posOffset>
          </wp:positionV>
          <wp:extent cx="2160270" cy="300995"/>
          <wp:effectExtent l="0" t="0" r="0" b="3810"/>
          <wp:wrapNone/>
          <wp:docPr id="1" name="_SLV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60270" cy="300995"/>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58240" behindDoc="0" locked="1" layoutInCell="1" allowOverlap="1" wp14:anchorId="236DABD0" wp14:editId="41650A54">
              <wp:simplePos x="0" y="0"/>
              <wp:positionH relativeFrom="page">
                <wp:posOffset>1440180</wp:posOffset>
              </wp:positionH>
              <wp:positionV relativeFrom="page">
                <wp:posOffset>1710055</wp:posOffset>
              </wp:positionV>
              <wp:extent cx="5688000" cy="1051560"/>
              <wp:effectExtent l="0" t="0" r="0" b="0"/>
              <wp:wrapSquare wrapText="bothSides"/>
              <wp:docPr id="4" name="_Distance"/>
              <wp:cNvGraphicFramePr/>
              <a:graphic xmlns:a="http://schemas.openxmlformats.org/drawingml/2006/main">
                <a:graphicData uri="http://schemas.microsoft.com/office/word/2010/wordprocessingShape">
                  <wps:wsp>
                    <wps:cNvSpPr/>
                    <wps:spPr>
                      <a:xfrm>
                        <a:off x="0" y="0"/>
                        <a:ext cx="5688000" cy="1051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77449" id="_Distance" o:spid="_x0000_s1026" style="position:absolute;margin-left:113.4pt;margin-top:134.65pt;width:447.85pt;height:8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" filled="f" stroked="f" strokeweight="1pt">
              <w10:wrap type="square" anchorx="page" anchory="page"/>
              <w10:anchorlock/>
            </v:rect>
          </w:pict>
        </mc:Fallback>
      </mc:AlternateContent>
    </w:r>
    <w:r>
      <mc:AlternateContent>
        <mc:Choice Requires="wps">
          <w:drawing>
            <wp:anchor distT="0" distB="0" distL="0" distR="0" simplePos="0" relativeHeight="251656192" behindDoc="0" locked="1" layoutInCell="1" allowOverlap="1" wp14:anchorId="5C4A0218" wp14:editId="1E3F3ACC">
              <wp:simplePos x="0" y="0"/>
              <wp:positionH relativeFrom="page">
                <wp:posOffset>4068445</wp:posOffset>
              </wp:positionH>
              <wp:positionV relativeFrom="page">
                <wp:posOffset>1710055</wp:posOffset>
              </wp:positionV>
              <wp:extent cx="2772000" cy="165600"/>
              <wp:effectExtent l="0" t="0" r="9525" b="4445"/>
              <wp:wrapSquare wrapText="bothSides"/>
              <wp:docPr id="3" name="_LtrAddr"/>
              <wp:cNvGraphicFramePr/>
              <a:graphic xmlns:a="http://schemas.openxmlformats.org/drawingml/2006/main">
                <a:graphicData uri="http://schemas.microsoft.com/office/word/2010/wordprocessingShape">
                  <wps:wsp>
                    <wps:cNvSpPr txBox="1"/>
                    <wps:spPr>
                      <a:xfrm>
                        <a:off x="0" y="0"/>
                        <a:ext cx="2772000" cy="16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F4B82" w14:textId="77777777" w:rsidR="001A7893" w:rsidRPr="00787CB6" w:rsidRDefault="001A7893" w:rsidP="00A30BA4">
                          <w:pPr>
                            <w:spacing w:line="240" w:lineRule="auto"/>
                          </w:pPr>
                          <w:bookmarkStart w:id="4" w:name="Addressee"/>
                          <w:r>
                            <w:t>Selon la liste de diffusion</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C4A0218" id="_x0000_t202" coordsize="21600,21600" o:spt="202" path="m,l,21600r21600,l21600,xe">
              <v:stroke joinstyle="miter"/>
              <v:path gradientshapeok="t" o:connecttype="rect"/>
            </v:shapetype>
            <v:shape id="_LtrAddr" o:spid="_x0000_s1027" type="#_x0000_t202" style="position:absolute;left:0;text-align:left;margin-left:320.35pt;margin-top:134.65pt;width:218.25pt;height:13.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" fillcolor="white [3201]" stroked="f" strokeweight=".5pt">
              <v:textbox style="mso-fit-shape-to-text:t" inset="0,0,0,0">
                <w:txbxContent>
                  <w:p w14:paraId="04EF4B82" w14:textId="77777777" w:rsidR="001A7893" w:rsidRPr="00787CB6" w:rsidRDefault="001A7893" w:rsidP="00A30BA4">
                    <w:pPr>
                      <w:spacing w:line="240" w:lineRule="auto"/>
                    </w:pPr>
                    <w:bookmarkStart w:id="5" w:name="Addressee"/>
                    <w:r>
                      <w:t>Selon la liste de diffusion</w:t>
                    </w:r>
                    <w:bookmarkEnd w:id="5"/>
                  </w:p>
                </w:txbxContent>
              </v:textbox>
              <w10:wrap type="square" anchorx="page" anchory="page"/>
              <w10:anchorlock/>
            </v:shape>
          </w:pict>
        </mc:Fallback>
      </mc:AlternateContent>
    </w:r>
    <w:r>
      <mc:AlternateContent>
        <mc:Choice Requires="wps">
          <w:drawing>
            <wp:anchor distT="0" distB="0" distL="0" distR="0" simplePos="0" relativeHeight="251655168" behindDoc="0" locked="1" layoutInCell="1" allowOverlap="1" wp14:anchorId="7ABF630C" wp14:editId="1B47B361">
              <wp:simplePos x="0" y="0"/>
              <wp:positionH relativeFrom="page">
                <wp:posOffset>683895</wp:posOffset>
              </wp:positionH>
              <wp:positionV relativeFrom="page">
                <wp:posOffset>1341120</wp:posOffset>
              </wp:positionV>
              <wp:extent cx="3348000" cy="165600"/>
              <wp:effectExtent l="0" t="0" r="5080" b="4445"/>
              <wp:wrapSquare wrapText="bothSides"/>
              <wp:docPr id="2" name="_LtrHdr1"/>
              <wp:cNvGraphicFramePr/>
              <a:graphic xmlns:a="http://schemas.openxmlformats.org/drawingml/2006/main">
                <a:graphicData uri="http://schemas.microsoft.com/office/word/2010/wordprocessingShape">
                  <wps:wsp>
                    <wps:cNvSpPr txBox="1"/>
                    <wps:spPr>
                      <a:xfrm>
                        <a:off x="0" y="0"/>
                        <a:ext cx="3348000" cy="16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224E5" w14:textId="77777777" w:rsidR="001A7893" w:rsidRPr="00787CB6" w:rsidRDefault="001A7893" w:rsidP="00795269">
                          <w:pPr>
                            <w:spacing w:line="240" w:lineRule="auto"/>
                          </w:pPr>
                          <w:bookmarkStart w:id="6" w:name="oHdrP1"/>
                          <w:r>
                            <w:t>Division du développement et du soutien stratégiques</w:t>
                          </w:r>
                          <w:r>
                            <w:br/>
                            <w:t>Affaires juridiques</w:t>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BF630C" id="_LtrHdr1" o:spid="_x0000_s1028" type="#_x0000_t202" style="position:absolute;left:0;text-align:left;margin-left:53.85pt;margin-top:105.6pt;width:263.6pt;height:13.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" fillcolor="white [3201]" stroked="f" strokeweight=".5pt">
              <v:textbox style="mso-fit-shape-to-text:t" inset="0,0,0,0">
                <w:txbxContent>
                  <w:p w14:paraId="3EA224E5" w14:textId="77777777" w:rsidR="001A7893" w:rsidRPr="00787CB6" w:rsidRDefault="001A7893" w:rsidP="00795269">
                    <w:pPr>
                      <w:spacing w:line="240" w:lineRule="auto"/>
                    </w:pPr>
                    <w:bookmarkStart w:id="7" w:name="oHdrP1"/>
                    <w:r>
                      <w:t>Division du développement et du soutien stratégiques</w:t>
                    </w:r>
                    <w:r>
                      <w:br/>
                      <w:t>Affaires juridiques</w:t>
                    </w:r>
                    <w:bookmarkEnd w:id="7"/>
                  </w:p>
                </w:txbxContent>
              </v:textbox>
              <w10:wrap type="square" anchorx="page" anchory="page"/>
              <w10:anchorlock/>
            </v:shape>
          </w:pict>
        </mc:Fallback>
      </mc:AlternateContent>
    </w:r>
  </w:p>
  <w:p w14:paraId="419529DD" w14:textId="2EED94A3" w:rsidR="001A7893" w:rsidRDefault="00836FEC" w:rsidP="005562DA">
    <w:pPr>
      <w:pStyle w:val="Header"/>
      <w:spacing w:after="200"/>
    </w:pPr>
    <w:r>
      <mc:AlternateContent>
        <mc:Choice Requires="wps">
          <w:drawing>
            <wp:anchor distT="0" distB="0" distL="114300" distR="114300" simplePos="0" relativeHeight="251660288" behindDoc="0" locked="0" layoutInCell="1" allowOverlap="1" wp14:anchorId="1B0439E1" wp14:editId="02D804B3">
              <wp:simplePos x="0" y="0"/>
              <wp:positionH relativeFrom="column">
                <wp:posOffset>-401955</wp:posOffset>
              </wp:positionH>
              <wp:positionV relativeFrom="paragraph">
                <wp:posOffset>154939</wp:posOffset>
              </wp:positionV>
              <wp:extent cx="2647950" cy="5619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647950" cy="561975"/>
                      </a:xfrm>
                      <a:prstGeom prst="rect">
                        <a:avLst/>
                      </a:prstGeom>
                      <a:solidFill>
                        <a:schemeClr val="lt1"/>
                      </a:solidFill>
                      <a:ln w="6350">
                        <a:noFill/>
                      </a:ln>
                    </wps:spPr>
                    <wps:txbx>
                      <w:txbxContent>
                        <w:p w14:paraId="57E002D9" w14:textId="48050C19" w:rsidR="00836FEC" w:rsidRPr="00836FEC" w:rsidRDefault="00836FEC">
                          <w:pPr>
                            <w:rPr>
                              <w:sz w:val="32"/>
                              <w:szCs w:val="32"/>
                            </w:rPr>
                          </w:pPr>
                          <w:r>
                            <w:rPr>
                              <w:sz w:val="32"/>
                            </w:rPr>
                            <w:t>Agence suédoise de l’alimentation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439E1" id="Text Box 6" o:spid="_x0000_s1029" type="#_x0000_t202" style="position:absolute;left:0;text-align:left;margin-left:-31.65pt;margin-top:12.2pt;width:208.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" fillcolor="white [3201]" stroked="f" strokeweight=".5pt">
              <v:textbox>
                <w:txbxContent>
                  <w:p w14:paraId="57E002D9" w14:textId="48050C19" w:rsidR="00836FEC" w:rsidRPr="00836FEC" w:rsidRDefault="00836FEC">
                    <w:pPr>
                      <w:rPr>
                        <w:sz w:val="32"/>
                        <w:szCs w:val="32"/>
                      </w:rPr>
                    </w:pPr>
                    <w:r>
                      <w:rPr>
                        <w:sz w:val="32"/>
                      </w:rPr>
                      <w:t>Agence suédoise de l’alimentation</w:t>
                    </w:r>
                  </w:p>
                </w:txbxContent>
              </v:textbox>
            </v:shape>
          </w:pict>
        </mc:Fallback>
      </mc:AlternateContent>
    </w:r>
    <w:r>
      <w:tab/>
    </w:r>
    <w:r>
      <w:tab/>
    </w:r>
    <w:r>
      <w:tab/>
    </w:r>
    <w:r w:rsidR="001A7893">
      <w:fldChar w:fldCharType="begin"/>
    </w:r>
    <w:r w:rsidR="001A7893">
      <w:instrText xml:space="preserve"> PAGE  \* Arabic </w:instrText>
    </w:r>
    <w:r w:rsidR="001A7893">
      <w:fldChar w:fldCharType="separate"/>
    </w:r>
    <w:r w:rsidR="00F66B47">
      <w:t>1</w:t>
    </w:r>
    <w:r w:rsidR="001A7893">
      <w:fldChar w:fldCharType="end"/>
    </w:r>
    <w:r>
      <w:t xml:space="preserve"> (</w:t>
    </w:r>
    <w:r w:rsidR="001A7893">
      <w:fldChar w:fldCharType="begin"/>
    </w:r>
    <w:r w:rsidR="001A7893">
      <w:instrText xml:space="preserve"> NUMPAGES  \* Arabic </w:instrText>
    </w:r>
    <w:r w:rsidR="001A7893">
      <w:fldChar w:fldCharType="separate"/>
    </w:r>
    <w:r w:rsidR="00F66B47">
      <w:t>40</w:t>
    </w:r>
    <w:r w:rsidR="001A7893">
      <w:fldChar w:fldCharType="end"/>
    </w:r>
    <w:r>
      <w:t>)</w:t>
    </w:r>
  </w:p>
  <w:p w14:paraId="3795B27B" w14:textId="674807B4" w:rsidR="001A7893" w:rsidRPr="000B77C0" w:rsidRDefault="001A7893" w:rsidP="000B77C0">
    <w:pPr>
      <w:pStyle w:val="Header"/>
      <w:rPr>
        <w:b/>
      </w:rPr>
    </w:pPr>
    <w:r>
      <w:tab/>
    </w:r>
    <w:r>
      <w:rPr>
        <w:b/>
      </w:rPr>
      <w:t>ANALYSE D’IMPACT</w:t>
    </w:r>
  </w:p>
  <w:p w14:paraId="0210C523" w14:textId="77777777" w:rsidR="001A7893" w:rsidRDefault="001A7893" w:rsidP="00795269">
    <w:pPr>
      <w:pStyle w:val="Header"/>
    </w:pPr>
  </w:p>
  <w:p w14:paraId="58678403" w14:textId="24027622" w:rsidR="001A7893" w:rsidRDefault="006F42B2" w:rsidP="00795269">
    <w:pPr>
      <w:pStyle w:val="Header"/>
    </w:pPr>
    <w:r>
      <w:tab/>
      <w:t>5 mai 2022</w:t>
    </w:r>
    <w:r>
      <w:tab/>
    </w:r>
    <w:bookmarkStart w:id="8" w:name="cDnr1"/>
    <w:r>
      <w:t>Ref. no.</w:t>
    </w:r>
    <w:bookmarkEnd w:id="8"/>
    <w:r>
      <w:t xml:space="preserve"> 2022/01733</w:t>
    </w:r>
  </w:p>
  <w:p w14:paraId="16405F0E" w14:textId="7F530504" w:rsidR="001A7893" w:rsidRDefault="001A7893" w:rsidP="00795269">
    <w:pPr>
      <w:pStyle w:val="Header"/>
    </w:pPr>
    <w:r>
      <w:tab/>
    </w:r>
    <w:r>
      <w:tab/>
    </w:r>
  </w:p>
  <w:p w14:paraId="3E8B5F26" w14:textId="77777777" w:rsidR="001A7893" w:rsidRDefault="001A7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BA50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30E5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DAA8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9AA23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1AFF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6436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80A1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3497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D698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DAF2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47189"/>
    <w:multiLevelType w:val="hybridMultilevel"/>
    <w:tmpl w:val="C226A6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605806"/>
    <w:multiLevelType w:val="hybridMultilevel"/>
    <w:tmpl w:val="A0AA01F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33B57F5"/>
    <w:multiLevelType w:val="hybridMultilevel"/>
    <w:tmpl w:val="432A1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C043EC0"/>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957D79"/>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AFC0AA2"/>
    <w:multiLevelType w:val="hybridMultilevel"/>
    <w:tmpl w:val="53A444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7717E3F"/>
    <w:multiLevelType w:val="hybridMultilevel"/>
    <w:tmpl w:val="0FF6AA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A72386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9365257">
    <w:abstractNumId w:val="17"/>
  </w:num>
  <w:num w:numId="2" w16cid:durableId="1080059127">
    <w:abstractNumId w:val="8"/>
  </w:num>
  <w:num w:numId="3" w16cid:durableId="1415586189">
    <w:abstractNumId w:val="3"/>
  </w:num>
  <w:num w:numId="4" w16cid:durableId="1647930534">
    <w:abstractNumId w:val="2"/>
  </w:num>
  <w:num w:numId="5" w16cid:durableId="1973948820">
    <w:abstractNumId w:val="1"/>
  </w:num>
  <w:num w:numId="6" w16cid:durableId="776560525">
    <w:abstractNumId w:val="0"/>
  </w:num>
  <w:num w:numId="7" w16cid:durableId="1344748389">
    <w:abstractNumId w:val="9"/>
  </w:num>
  <w:num w:numId="8" w16cid:durableId="1402633086">
    <w:abstractNumId w:val="7"/>
  </w:num>
  <w:num w:numId="9" w16cid:durableId="882209314">
    <w:abstractNumId w:val="6"/>
  </w:num>
  <w:num w:numId="10" w16cid:durableId="1952275204">
    <w:abstractNumId w:val="5"/>
  </w:num>
  <w:num w:numId="11" w16cid:durableId="166286214">
    <w:abstractNumId w:val="4"/>
  </w:num>
  <w:num w:numId="12" w16cid:durableId="339158710">
    <w:abstractNumId w:val="13"/>
  </w:num>
  <w:num w:numId="13" w16cid:durableId="918683876">
    <w:abstractNumId w:val="14"/>
  </w:num>
  <w:num w:numId="14" w16cid:durableId="1626959058">
    <w:abstractNumId w:val="16"/>
  </w:num>
  <w:num w:numId="15" w16cid:durableId="1490511763">
    <w:abstractNumId w:val="11"/>
  </w:num>
  <w:num w:numId="16" w16cid:durableId="1544519176">
    <w:abstractNumId w:val="10"/>
  </w:num>
  <w:num w:numId="17" w16cid:durableId="2069838431">
    <w:abstractNumId w:val="12"/>
  </w:num>
  <w:num w:numId="18" w16cid:durableId="725759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Caroline Krantz"/>
    <w:docVar w:name="DocType" w:val="Brev"/>
  </w:docVars>
  <w:rsids>
    <w:rsidRoot w:val="00C12268"/>
    <w:rsid w:val="000009B8"/>
    <w:rsid w:val="0000257B"/>
    <w:rsid w:val="00003168"/>
    <w:rsid w:val="00003551"/>
    <w:rsid w:val="00006E87"/>
    <w:rsid w:val="00010D98"/>
    <w:rsid w:val="000117FA"/>
    <w:rsid w:val="00011A36"/>
    <w:rsid w:val="00013596"/>
    <w:rsid w:val="000138EF"/>
    <w:rsid w:val="00014194"/>
    <w:rsid w:val="00014F8D"/>
    <w:rsid w:val="0001576D"/>
    <w:rsid w:val="000172D9"/>
    <w:rsid w:val="00023448"/>
    <w:rsid w:val="00024C42"/>
    <w:rsid w:val="000270B6"/>
    <w:rsid w:val="00030301"/>
    <w:rsid w:val="00031619"/>
    <w:rsid w:val="0003296C"/>
    <w:rsid w:val="00033AF3"/>
    <w:rsid w:val="0003438D"/>
    <w:rsid w:val="00034851"/>
    <w:rsid w:val="00037240"/>
    <w:rsid w:val="00037BDF"/>
    <w:rsid w:val="00044907"/>
    <w:rsid w:val="00046076"/>
    <w:rsid w:val="00047837"/>
    <w:rsid w:val="000479B0"/>
    <w:rsid w:val="00047FAB"/>
    <w:rsid w:val="0005146F"/>
    <w:rsid w:val="00052D23"/>
    <w:rsid w:val="00053BEE"/>
    <w:rsid w:val="00054C00"/>
    <w:rsid w:val="00056AD7"/>
    <w:rsid w:val="00056C48"/>
    <w:rsid w:val="00057F71"/>
    <w:rsid w:val="00061DD2"/>
    <w:rsid w:val="0006393A"/>
    <w:rsid w:val="00063954"/>
    <w:rsid w:val="00064499"/>
    <w:rsid w:val="000655E1"/>
    <w:rsid w:val="00065CC7"/>
    <w:rsid w:val="0006742A"/>
    <w:rsid w:val="000674A9"/>
    <w:rsid w:val="00070ED8"/>
    <w:rsid w:val="00071621"/>
    <w:rsid w:val="00071A43"/>
    <w:rsid w:val="00073E92"/>
    <w:rsid w:val="00074C1E"/>
    <w:rsid w:val="00080B3C"/>
    <w:rsid w:val="000816C6"/>
    <w:rsid w:val="000826DF"/>
    <w:rsid w:val="0008546C"/>
    <w:rsid w:val="00086FA1"/>
    <w:rsid w:val="0009028D"/>
    <w:rsid w:val="00091707"/>
    <w:rsid w:val="00092245"/>
    <w:rsid w:val="00093172"/>
    <w:rsid w:val="00096748"/>
    <w:rsid w:val="00097E8D"/>
    <w:rsid w:val="000A0710"/>
    <w:rsid w:val="000A45A1"/>
    <w:rsid w:val="000A4865"/>
    <w:rsid w:val="000A742C"/>
    <w:rsid w:val="000B0169"/>
    <w:rsid w:val="000B0990"/>
    <w:rsid w:val="000B136C"/>
    <w:rsid w:val="000B3BE3"/>
    <w:rsid w:val="000B4558"/>
    <w:rsid w:val="000B5A02"/>
    <w:rsid w:val="000B6333"/>
    <w:rsid w:val="000B7234"/>
    <w:rsid w:val="000B77C0"/>
    <w:rsid w:val="000C2CAC"/>
    <w:rsid w:val="000C754D"/>
    <w:rsid w:val="000D1F37"/>
    <w:rsid w:val="000D5F7C"/>
    <w:rsid w:val="000E1092"/>
    <w:rsid w:val="000E1632"/>
    <w:rsid w:val="000E2778"/>
    <w:rsid w:val="000E5B53"/>
    <w:rsid w:val="000F0C61"/>
    <w:rsid w:val="000F45A9"/>
    <w:rsid w:val="000F6CC0"/>
    <w:rsid w:val="000F726E"/>
    <w:rsid w:val="00100FCA"/>
    <w:rsid w:val="001034EB"/>
    <w:rsid w:val="00103756"/>
    <w:rsid w:val="001042B4"/>
    <w:rsid w:val="0010750F"/>
    <w:rsid w:val="001102C8"/>
    <w:rsid w:val="00110A40"/>
    <w:rsid w:val="00112009"/>
    <w:rsid w:val="001124ED"/>
    <w:rsid w:val="00113684"/>
    <w:rsid w:val="00113751"/>
    <w:rsid w:val="00113923"/>
    <w:rsid w:val="00113CC3"/>
    <w:rsid w:val="001144D4"/>
    <w:rsid w:val="001161FA"/>
    <w:rsid w:val="00116327"/>
    <w:rsid w:val="00123BE5"/>
    <w:rsid w:val="00124277"/>
    <w:rsid w:val="0012537D"/>
    <w:rsid w:val="001254F1"/>
    <w:rsid w:val="00132A17"/>
    <w:rsid w:val="001340AE"/>
    <w:rsid w:val="00134483"/>
    <w:rsid w:val="00134FC9"/>
    <w:rsid w:val="001362B0"/>
    <w:rsid w:val="00136DAF"/>
    <w:rsid w:val="001407FE"/>
    <w:rsid w:val="001410CD"/>
    <w:rsid w:val="0014308A"/>
    <w:rsid w:val="0014560B"/>
    <w:rsid w:val="00145F89"/>
    <w:rsid w:val="00146C15"/>
    <w:rsid w:val="00151980"/>
    <w:rsid w:val="001530B1"/>
    <w:rsid w:val="00155435"/>
    <w:rsid w:val="00156A2F"/>
    <w:rsid w:val="00156BCF"/>
    <w:rsid w:val="0016127B"/>
    <w:rsid w:val="00161EC7"/>
    <w:rsid w:val="001642A4"/>
    <w:rsid w:val="00165069"/>
    <w:rsid w:val="00165A54"/>
    <w:rsid w:val="00166632"/>
    <w:rsid w:val="00166E97"/>
    <w:rsid w:val="001674CF"/>
    <w:rsid w:val="001675FA"/>
    <w:rsid w:val="00167F8D"/>
    <w:rsid w:val="001712DA"/>
    <w:rsid w:val="00173CAF"/>
    <w:rsid w:val="00173EE1"/>
    <w:rsid w:val="00174404"/>
    <w:rsid w:val="00174A37"/>
    <w:rsid w:val="00175983"/>
    <w:rsid w:val="0017612E"/>
    <w:rsid w:val="00176350"/>
    <w:rsid w:val="00176BD9"/>
    <w:rsid w:val="00177FB8"/>
    <w:rsid w:val="0018594F"/>
    <w:rsid w:val="00186BC8"/>
    <w:rsid w:val="00190358"/>
    <w:rsid w:val="0019061A"/>
    <w:rsid w:val="00190B7D"/>
    <w:rsid w:val="00192B59"/>
    <w:rsid w:val="001930DD"/>
    <w:rsid w:val="00193747"/>
    <w:rsid w:val="00194027"/>
    <w:rsid w:val="00194932"/>
    <w:rsid w:val="00196D2B"/>
    <w:rsid w:val="001A5D27"/>
    <w:rsid w:val="001A7893"/>
    <w:rsid w:val="001B0163"/>
    <w:rsid w:val="001B045B"/>
    <w:rsid w:val="001B0B8C"/>
    <w:rsid w:val="001B2410"/>
    <w:rsid w:val="001B35F5"/>
    <w:rsid w:val="001B4724"/>
    <w:rsid w:val="001C128C"/>
    <w:rsid w:val="001C143B"/>
    <w:rsid w:val="001C328A"/>
    <w:rsid w:val="001C3A50"/>
    <w:rsid w:val="001C3B58"/>
    <w:rsid w:val="001C529C"/>
    <w:rsid w:val="001C56F6"/>
    <w:rsid w:val="001C78AF"/>
    <w:rsid w:val="001D474C"/>
    <w:rsid w:val="001D6061"/>
    <w:rsid w:val="001D72E2"/>
    <w:rsid w:val="001D77D2"/>
    <w:rsid w:val="001E04C4"/>
    <w:rsid w:val="001E066F"/>
    <w:rsid w:val="001E0F30"/>
    <w:rsid w:val="001E36B0"/>
    <w:rsid w:val="001E3736"/>
    <w:rsid w:val="001F0B1F"/>
    <w:rsid w:val="001F1613"/>
    <w:rsid w:val="001F1909"/>
    <w:rsid w:val="001F193F"/>
    <w:rsid w:val="001F1CBE"/>
    <w:rsid w:val="001F2580"/>
    <w:rsid w:val="0020231C"/>
    <w:rsid w:val="002034B8"/>
    <w:rsid w:val="002037A4"/>
    <w:rsid w:val="00204946"/>
    <w:rsid w:val="00205525"/>
    <w:rsid w:val="00206701"/>
    <w:rsid w:val="002070BE"/>
    <w:rsid w:val="0021024A"/>
    <w:rsid w:val="00213BFB"/>
    <w:rsid w:val="002154BB"/>
    <w:rsid w:val="00216E69"/>
    <w:rsid w:val="0022035D"/>
    <w:rsid w:val="00222226"/>
    <w:rsid w:val="002235F4"/>
    <w:rsid w:val="002250E7"/>
    <w:rsid w:val="00226026"/>
    <w:rsid w:val="00233EC6"/>
    <w:rsid w:val="0023684D"/>
    <w:rsid w:val="00241885"/>
    <w:rsid w:val="00241F38"/>
    <w:rsid w:val="00245056"/>
    <w:rsid w:val="002505E5"/>
    <w:rsid w:val="002505F5"/>
    <w:rsid w:val="00251213"/>
    <w:rsid w:val="002518F8"/>
    <w:rsid w:val="00251935"/>
    <w:rsid w:val="00253339"/>
    <w:rsid w:val="00260207"/>
    <w:rsid w:val="0026424C"/>
    <w:rsid w:val="00264E67"/>
    <w:rsid w:val="00267AFD"/>
    <w:rsid w:val="00272C16"/>
    <w:rsid w:val="0027301D"/>
    <w:rsid w:val="00273024"/>
    <w:rsid w:val="002769F2"/>
    <w:rsid w:val="002815FE"/>
    <w:rsid w:val="00285A38"/>
    <w:rsid w:val="00286D5A"/>
    <w:rsid w:val="00286EA1"/>
    <w:rsid w:val="00286EC6"/>
    <w:rsid w:val="002873D9"/>
    <w:rsid w:val="002920CF"/>
    <w:rsid w:val="00297001"/>
    <w:rsid w:val="002A1C8F"/>
    <w:rsid w:val="002A3C37"/>
    <w:rsid w:val="002A68F0"/>
    <w:rsid w:val="002B4113"/>
    <w:rsid w:val="002B6EFD"/>
    <w:rsid w:val="002B7240"/>
    <w:rsid w:val="002C0B5E"/>
    <w:rsid w:val="002C14A5"/>
    <w:rsid w:val="002C2664"/>
    <w:rsid w:val="002C2FF6"/>
    <w:rsid w:val="002C4134"/>
    <w:rsid w:val="002C5423"/>
    <w:rsid w:val="002C7FF3"/>
    <w:rsid w:val="002D178D"/>
    <w:rsid w:val="002D2928"/>
    <w:rsid w:val="002D3744"/>
    <w:rsid w:val="002D3A31"/>
    <w:rsid w:val="002D3A81"/>
    <w:rsid w:val="002D3CF0"/>
    <w:rsid w:val="002E035D"/>
    <w:rsid w:val="002E0AA5"/>
    <w:rsid w:val="002E6435"/>
    <w:rsid w:val="002F06D4"/>
    <w:rsid w:val="002F07EA"/>
    <w:rsid w:val="002F5355"/>
    <w:rsid w:val="00300C31"/>
    <w:rsid w:val="00302BC7"/>
    <w:rsid w:val="00303075"/>
    <w:rsid w:val="003033EC"/>
    <w:rsid w:val="00303B60"/>
    <w:rsid w:val="0030632C"/>
    <w:rsid w:val="00306A79"/>
    <w:rsid w:val="00312506"/>
    <w:rsid w:val="0031331B"/>
    <w:rsid w:val="00313A14"/>
    <w:rsid w:val="003149CC"/>
    <w:rsid w:val="0031699A"/>
    <w:rsid w:val="003211DD"/>
    <w:rsid w:val="00321F40"/>
    <w:rsid w:val="00322028"/>
    <w:rsid w:val="0032331B"/>
    <w:rsid w:val="003238EE"/>
    <w:rsid w:val="0032652D"/>
    <w:rsid w:val="00327B19"/>
    <w:rsid w:val="00333243"/>
    <w:rsid w:val="00335D5F"/>
    <w:rsid w:val="00335DA7"/>
    <w:rsid w:val="003405D6"/>
    <w:rsid w:val="00340926"/>
    <w:rsid w:val="003438D6"/>
    <w:rsid w:val="003446DF"/>
    <w:rsid w:val="00344B9F"/>
    <w:rsid w:val="00345FA3"/>
    <w:rsid w:val="00347E55"/>
    <w:rsid w:val="00351227"/>
    <w:rsid w:val="00351C60"/>
    <w:rsid w:val="00352115"/>
    <w:rsid w:val="0035222F"/>
    <w:rsid w:val="00356C1E"/>
    <w:rsid w:val="00357E1B"/>
    <w:rsid w:val="00360EE2"/>
    <w:rsid w:val="003617D9"/>
    <w:rsid w:val="0036543A"/>
    <w:rsid w:val="00365C0C"/>
    <w:rsid w:val="00370944"/>
    <w:rsid w:val="003817F2"/>
    <w:rsid w:val="003841F3"/>
    <w:rsid w:val="00387065"/>
    <w:rsid w:val="00387EFE"/>
    <w:rsid w:val="00390010"/>
    <w:rsid w:val="003942B6"/>
    <w:rsid w:val="003944F3"/>
    <w:rsid w:val="00395CE7"/>
    <w:rsid w:val="003A17F5"/>
    <w:rsid w:val="003A1DF8"/>
    <w:rsid w:val="003A3BDD"/>
    <w:rsid w:val="003A65B1"/>
    <w:rsid w:val="003A7395"/>
    <w:rsid w:val="003B3E92"/>
    <w:rsid w:val="003B5916"/>
    <w:rsid w:val="003B5EE7"/>
    <w:rsid w:val="003B6EA5"/>
    <w:rsid w:val="003C323D"/>
    <w:rsid w:val="003C50F8"/>
    <w:rsid w:val="003C7B31"/>
    <w:rsid w:val="003D2633"/>
    <w:rsid w:val="003D4F14"/>
    <w:rsid w:val="003D5739"/>
    <w:rsid w:val="003D6542"/>
    <w:rsid w:val="003D7245"/>
    <w:rsid w:val="003E0DB9"/>
    <w:rsid w:val="003E1306"/>
    <w:rsid w:val="003E3F05"/>
    <w:rsid w:val="003E5459"/>
    <w:rsid w:val="003E5C03"/>
    <w:rsid w:val="003E7328"/>
    <w:rsid w:val="003F042F"/>
    <w:rsid w:val="003F0BBB"/>
    <w:rsid w:val="003F0C69"/>
    <w:rsid w:val="003F1017"/>
    <w:rsid w:val="003F212A"/>
    <w:rsid w:val="003F215F"/>
    <w:rsid w:val="003F2D63"/>
    <w:rsid w:val="003F4C4A"/>
    <w:rsid w:val="003F6247"/>
    <w:rsid w:val="003F665D"/>
    <w:rsid w:val="00403AB9"/>
    <w:rsid w:val="00405A83"/>
    <w:rsid w:val="00405AFF"/>
    <w:rsid w:val="00407891"/>
    <w:rsid w:val="00413E04"/>
    <w:rsid w:val="00414AF6"/>
    <w:rsid w:val="004157D7"/>
    <w:rsid w:val="00421874"/>
    <w:rsid w:val="00421F4B"/>
    <w:rsid w:val="004238BC"/>
    <w:rsid w:val="00424223"/>
    <w:rsid w:val="00426DB7"/>
    <w:rsid w:val="00427B19"/>
    <w:rsid w:val="0043075C"/>
    <w:rsid w:val="00430ABF"/>
    <w:rsid w:val="00431990"/>
    <w:rsid w:val="00432582"/>
    <w:rsid w:val="004342D7"/>
    <w:rsid w:val="00436882"/>
    <w:rsid w:val="004369BD"/>
    <w:rsid w:val="00444874"/>
    <w:rsid w:val="00445B08"/>
    <w:rsid w:val="00446410"/>
    <w:rsid w:val="004503BC"/>
    <w:rsid w:val="00450B7C"/>
    <w:rsid w:val="00451D8A"/>
    <w:rsid w:val="00452B46"/>
    <w:rsid w:val="00452B71"/>
    <w:rsid w:val="004530F5"/>
    <w:rsid w:val="00455059"/>
    <w:rsid w:val="00457359"/>
    <w:rsid w:val="0046256C"/>
    <w:rsid w:val="0046465F"/>
    <w:rsid w:val="004665E5"/>
    <w:rsid w:val="00466C69"/>
    <w:rsid w:val="004670B4"/>
    <w:rsid w:val="00467A89"/>
    <w:rsid w:val="00467CB2"/>
    <w:rsid w:val="0047045E"/>
    <w:rsid w:val="004708EC"/>
    <w:rsid w:val="0047133F"/>
    <w:rsid w:val="0047371B"/>
    <w:rsid w:val="00473828"/>
    <w:rsid w:val="0047411C"/>
    <w:rsid w:val="004745F1"/>
    <w:rsid w:val="00474C43"/>
    <w:rsid w:val="00475456"/>
    <w:rsid w:val="00476408"/>
    <w:rsid w:val="004773AB"/>
    <w:rsid w:val="00477997"/>
    <w:rsid w:val="00477DA5"/>
    <w:rsid w:val="00484659"/>
    <w:rsid w:val="0048501A"/>
    <w:rsid w:val="00486A33"/>
    <w:rsid w:val="00490AED"/>
    <w:rsid w:val="0049552C"/>
    <w:rsid w:val="004964A8"/>
    <w:rsid w:val="004971C8"/>
    <w:rsid w:val="00497FE1"/>
    <w:rsid w:val="004A00DF"/>
    <w:rsid w:val="004A162C"/>
    <w:rsid w:val="004A189C"/>
    <w:rsid w:val="004A2AD4"/>
    <w:rsid w:val="004A3172"/>
    <w:rsid w:val="004A422D"/>
    <w:rsid w:val="004A4460"/>
    <w:rsid w:val="004A6110"/>
    <w:rsid w:val="004A64C1"/>
    <w:rsid w:val="004A7BA1"/>
    <w:rsid w:val="004B0327"/>
    <w:rsid w:val="004B1C6D"/>
    <w:rsid w:val="004B2668"/>
    <w:rsid w:val="004B4F69"/>
    <w:rsid w:val="004B6C23"/>
    <w:rsid w:val="004B77B0"/>
    <w:rsid w:val="004B7B3A"/>
    <w:rsid w:val="004B7BEB"/>
    <w:rsid w:val="004D326E"/>
    <w:rsid w:val="004D35AF"/>
    <w:rsid w:val="004D511C"/>
    <w:rsid w:val="004D7397"/>
    <w:rsid w:val="004D761B"/>
    <w:rsid w:val="004D798B"/>
    <w:rsid w:val="004D7A19"/>
    <w:rsid w:val="004D7C0E"/>
    <w:rsid w:val="004E186E"/>
    <w:rsid w:val="004E3949"/>
    <w:rsid w:val="004E3C41"/>
    <w:rsid w:val="004E40FD"/>
    <w:rsid w:val="004E4C9F"/>
    <w:rsid w:val="004E584E"/>
    <w:rsid w:val="004F0069"/>
    <w:rsid w:val="004F2144"/>
    <w:rsid w:val="004F2FE8"/>
    <w:rsid w:val="004F5152"/>
    <w:rsid w:val="004F66AB"/>
    <w:rsid w:val="004F740C"/>
    <w:rsid w:val="004F7DB2"/>
    <w:rsid w:val="0050060C"/>
    <w:rsid w:val="005008BB"/>
    <w:rsid w:val="0050095F"/>
    <w:rsid w:val="00501CC4"/>
    <w:rsid w:val="00503133"/>
    <w:rsid w:val="00507D1B"/>
    <w:rsid w:val="00507FD6"/>
    <w:rsid w:val="005135A8"/>
    <w:rsid w:val="005163F2"/>
    <w:rsid w:val="0051658D"/>
    <w:rsid w:val="005169D8"/>
    <w:rsid w:val="005217DC"/>
    <w:rsid w:val="00522F39"/>
    <w:rsid w:val="00523DF5"/>
    <w:rsid w:val="00526730"/>
    <w:rsid w:val="00526AA7"/>
    <w:rsid w:val="00530462"/>
    <w:rsid w:val="005307BB"/>
    <w:rsid w:val="00530BA7"/>
    <w:rsid w:val="0053268D"/>
    <w:rsid w:val="005329AB"/>
    <w:rsid w:val="00533107"/>
    <w:rsid w:val="00536293"/>
    <w:rsid w:val="00536D7D"/>
    <w:rsid w:val="00537D58"/>
    <w:rsid w:val="0054001B"/>
    <w:rsid w:val="00540962"/>
    <w:rsid w:val="005436AF"/>
    <w:rsid w:val="0054703D"/>
    <w:rsid w:val="00547C20"/>
    <w:rsid w:val="00550B93"/>
    <w:rsid w:val="00551700"/>
    <w:rsid w:val="00552B8D"/>
    <w:rsid w:val="00555CB8"/>
    <w:rsid w:val="005562DA"/>
    <w:rsid w:val="00556E69"/>
    <w:rsid w:val="00557C4C"/>
    <w:rsid w:val="005600A7"/>
    <w:rsid w:val="005600B0"/>
    <w:rsid w:val="00566037"/>
    <w:rsid w:val="00566FF1"/>
    <w:rsid w:val="00570275"/>
    <w:rsid w:val="00573875"/>
    <w:rsid w:val="0057522B"/>
    <w:rsid w:val="00575906"/>
    <w:rsid w:val="0057700B"/>
    <w:rsid w:val="00577148"/>
    <w:rsid w:val="0057773C"/>
    <w:rsid w:val="005800A4"/>
    <w:rsid w:val="00584FFD"/>
    <w:rsid w:val="00587985"/>
    <w:rsid w:val="00592659"/>
    <w:rsid w:val="00592802"/>
    <w:rsid w:val="00594CA2"/>
    <w:rsid w:val="00594E95"/>
    <w:rsid w:val="0059548D"/>
    <w:rsid w:val="005957E3"/>
    <w:rsid w:val="00596106"/>
    <w:rsid w:val="00596137"/>
    <w:rsid w:val="00597182"/>
    <w:rsid w:val="00597D1D"/>
    <w:rsid w:val="005A0774"/>
    <w:rsid w:val="005A0FB3"/>
    <w:rsid w:val="005A13F1"/>
    <w:rsid w:val="005A1CBC"/>
    <w:rsid w:val="005A1EEC"/>
    <w:rsid w:val="005A2B4E"/>
    <w:rsid w:val="005A357B"/>
    <w:rsid w:val="005A39E0"/>
    <w:rsid w:val="005A4AF1"/>
    <w:rsid w:val="005A653E"/>
    <w:rsid w:val="005B3BEC"/>
    <w:rsid w:val="005B485E"/>
    <w:rsid w:val="005C1C80"/>
    <w:rsid w:val="005C3F8D"/>
    <w:rsid w:val="005C5B90"/>
    <w:rsid w:val="005C7A18"/>
    <w:rsid w:val="005D23FF"/>
    <w:rsid w:val="005D2C74"/>
    <w:rsid w:val="005D338B"/>
    <w:rsid w:val="005D363F"/>
    <w:rsid w:val="005D49C1"/>
    <w:rsid w:val="005D4E73"/>
    <w:rsid w:val="005D703A"/>
    <w:rsid w:val="005E175C"/>
    <w:rsid w:val="005E20B7"/>
    <w:rsid w:val="005E2464"/>
    <w:rsid w:val="005E628F"/>
    <w:rsid w:val="005E7362"/>
    <w:rsid w:val="005F1362"/>
    <w:rsid w:val="005F3583"/>
    <w:rsid w:val="005F7040"/>
    <w:rsid w:val="006035CF"/>
    <w:rsid w:val="006037D3"/>
    <w:rsid w:val="00604A97"/>
    <w:rsid w:val="006070D3"/>
    <w:rsid w:val="00612FC6"/>
    <w:rsid w:val="00615DB5"/>
    <w:rsid w:val="00616F1E"/>
    <w:rsid w:val="00617DCD"/>
    <w:rsid w:val="00620519"/>
    <w:rsid w:val="006220D7"/>
    <w:rsid w:val="006225E3"/>
    <w:rsid w:val="00630259"/>
    <w:rsid w:val="006312DE"/>
    <w:rsid w:val="006330F8"/>
    <w:rsid w:val="006333DE"/>
    <w:rsid w:val="00633555"/>
    <w:rsid w:val="00634193"/>
    <w:rsid w:val="0063682E"/>
    <w:rsid w:val="00637509"/>
    <w:rsid w:val="0064016D"/>
    <w:rsid w:val="006408D6"/>
    <w:rsid w:val="006418BF"/>
    <w:rsid w:val="00641A1B"/>
    <w:rsid w:val="00645411"/>
    <w:rsid w:val="0064620C"/>
    <w:rsid w:val="00647381"/>
    <w:rsid w:val="00654472"/>
    <w:rsid w:val="0065667B"/>
    <w:rsid w:val="00660CBE"/>
    <w:rsid w:val="006610A5"/>
    <w:rsid w:val="00662A52"/>
    <w:rsid w:val="0066323F"/>
    <w:rsid w:val="006639CE"/>
    <w:rsid w:val="00664EAE"/>
    <w:rsid w:val="00667B3D"/>
    <w:rsid w:val="00667F3F"/>
    <w:rsid w:val="00672D59"/>
    <w:rsid w:val="00673475"/>
    <w:rsid w:val="0067704C"/>
    <w:rsid w:val="00680415"/>
    <w:rsid w:val="00682192"/>
    <w:rsid w:val="00684C51"/>
    <w:rsid w:val="0069185A"/>
    <w:rsid w:val="006920A8"/>
    <w:rsid w:val="00696511"/>
    <w:rsid w:val="006A0C4C"/>
    <w:rsid w:val="006A0DC3"/>
    <w:rsid w:val="006A1D6A"/>
    <w:rsid w:val="006A435D"/>
    <w:rsid w:val="006B1906"/>
    <w:rsid w:val="006B20B9"/>
    <w:rsid w:val="006B2307"/>
    <w:rsid w:val="006B2E92"/>
    <w:rsid w:val="006B3C44"/>
    <w:rsid w:val="006B5928"/>
    <w:rsid w:val="006B61F0"/>
    <w:rsid w:val="006B786C"/>
    <w:rsid w:val="006C05B3"/>
    <w:rsid w:val="006C34A6"/>
    <w:rsid w:val="006C3773"/>
    <w:rsid w:val="006C3B0A"/>
    <w:rsid w:val="006C7B78"/>
    <w:rsid w:val="006D0C08"/>
    <w:rsid w:val="006D282E"/>
    <w:rsid w:val="006D3CC5"/>
    <w:rsid w:val="006D7EB0"/>
    <w:rsid w:val="006E1DF4"/>
    <w:rsid w:val="006E2E5F"/>
    <w:rsid w:val="006E4359"/>
    <w:rsid w:val="006E7F22"/>
    <w:rsid w:val="006F1E05"/>
    <w:rsid w:val="006F3B5F"/>
    <w:rsid w:val="006F42B2"/>
    <w:rsid w:val="006F6A44"/>
    <w:rsid w:val="006F7235"/>
    <w:rsid w:val="00700F66"/>
    <w:rsid w:val="007011E6"/>
    <w:rsid w:val="00701E6B"/>
    <w:rsid w:val="00702D7E"/>
    <w:rsid w:val="00702D8F"/>
    <w:rsid w:val="00703A6C"/>
    <w:rsid w:val="007050C3"/>
    <w:rsid w:val="007055B5"/>
    <w:rsid w:val="00712DA5"/>
    <w:rsid w:val="0071381A"/>
    <w:rsid w:val="00715E0F"/>
    <w:rsid w:val="00716322"/>
    <w:rsid w:val="0072053B"/>
    <w:rsid w:val="00720BC7"/>
    <w:rsid w:val="00721EE7"/>
    <w:rsid w:val="00723286"/>
    <w:rsid w:val="0073084D"/>
    <w:rsid w:val="007318AF"/>
    <w:rsid w:val="0073383F"/>
    <w:rsid w:val="007362D3"/>
    <w:rsid w:val="00736EED"/>
    <w:rsid w:val="0074188D"/>
    <w:rsid w:val="007426A5"/>
    <w:rsid w:val="00742F70"/>
    <w:rsid w:val="00744CD7"/>
    <w:rsid w:val="00744E6F"/>
    <w:rsid w:val="0074568A"/>
    <w:rsid w:val="00746846"/>
    <w:rsid w:val="00751BAA"/>
    <w:rsid w:val="00752501"/>
    <w:rsid w:val="00752E5B"/>
    <w:rsid w:val="007541BC"/>
    <w:rsid w:val="00755B54"/>
    <w:rsid w:val="00756CC0"/>
    <w:rsid w:val="00757FA3"/>
    <w:rsid w:val="00761B2E"/>
    <w:rsid w:val="00761FE2"/>
    <w:rsid w:val="00762595"/>
    <w:rsid w:val="00766FD3"/>
    <w:rsid w:val="007708BA"/>
    <w:rsid w:val="00773911"/>
    <w:rsid w:val="00776D73"/>
    <w:rsid w:val="00782D76"/>
    <w:rsid w:val="007832D8"/>
    <w:rsid w:val="00785D80"/>
    <w:rsid w:val="00786AFD"/>
    <w:rsid w:val="00787CB6"/>
    <w:rsid w:val="00787D99"/>
    <w:rsid w:val="00790735"/>
    <w:rsid w:val="00794339"/>
    <w:rsid w:val="00794481"/>
    <w:rsid w:val="0079484F"/>
    <w:rsid w:val="00795269"/>
    <w:rsid w:val="00796151"/>
    <w:rsid w:val="00797548"/>
    <w:rsid w:val="007A1A09"/>
    <w:rsid w:val="007A1CC3"/>
    <w:rsid w:val="007A2D7A"/>
    <w:rsid w:val="007A6231"/>
    <w:rsid w:val="007A754B"/>
    <w:rsid w:val="007B094B"/>
    <w:rsid w:val="007B14D5"/>
    <w:rsid w:val="007B52E2"/>
    <w:rsid w:val="007B6294"/>
    <w:rsid w:val="007B7283"/>
    <w:rsid w:val="007B7414"/>
    <w:rsid w:val="007C13B4"/>
    <w:rsid w:val="007C1BD9"/>
    <w:rsid w:val="007C3FEA"/>
    <w:rsid w:val="007C5201"/>
    <w:rsid w:val="007C53E8"/>
    <w:rsid w:val="007D05A6"/>
    <w:rsid w:val="007D2798"/>
    <w:rsid w:val="007D2AFB"/>
    <w:rsid w:val="007D62C3"/>
    <w:rsid w:val="007D73C8"/>
    <w:rsid w:val="007D79DA"/>
    <w:rsid w:val="007D7C9E"/>
    <w:rsid w:val="007E1916"/>
    <w:rsid w:val="007E448C"/>
    <w:rsid w:val="007E67BB"/>
    <w:rsid w:val="007F006D"/>
    <w:rsid w:val="007F08B1"/>
    <w:rsid w:val="007F0A56"/>
    <w:rsid w:val="007F1C05"/>
    <w:rsid w:val="007F1C57"/>
    <w:rsid w:val="007F3EEA"/>
    <w:rsid w:val="007F61E2"/>
    <w:rsid w:val="0080087D"/>
    <w:rsid w:val="00801CBA"/>
    <w:rsid w:val="00802478"/>
    <w:rsid w:val="00807BF5"/>
    <w:rsid w:val="0081167B"/>
    <w:rsid w:val="00816625"/>
    <w:rsid w:val="008168BA"/>
    <w:rsid w:val="0082110E"/>
    <w:rsid w:val="00822560"/>
    <w:rsid w:val="00822D06"/>
    <w:rsid w:val="00823C07"/>
    <w:rsid w:val="00824559"/>
    <w:rsid w:val="00825DDC"/>
    <w:rsid w:val="00830529"/>
    <w:rsid w:val="008305C0"/>
    <w:rsid w:val="008309D9"/>
    <w:rsid w:val="00831825"/>
    <w:rsid w:val="00831EFE"/>
    <w:rsid w:val="008334A2"/>
    <w:rsid w:val="008338ED"/>
    <w:rsid w:val="00834DA5"/>
    <w:rsid w:val="00836EEB"/>
    <w:rsid w:val="00836FEC"/>
    <w:rsid w:val="00840532"/>
    <w:rsid w:val="008415CB"/>
    <w:rsid w:val="00845869"/>
    <w:rsid w:val="00845DBA"/>
    <w:rsid w:val="00846B61"/>
    <w:rsid w:val="008509B2"/>
    <w:rsid w:val="00850AC6"/>
    <w:rsid w:val="00850BE6"/>
    <w:rsid w:val="008530EB"/>
    <w:rsid w:val="00860EB4"/>
    <w:rsid w:val="008629D5"/>
    <w:rsid w:val="00863DE3"/>
    <w:rsid w:val="008651D3"/>
    <w:rsid w:val="00866F84"/>
    <w:rsid w:val="0087188D"/>
    <w:rsid w:val="00871ED7"/>
    <w:rsid w:val="008726CC"/>
    <w:rsid w:val="00874EF6"/>
    <w:rsid w:val="008764B7"/>
    <w:rsid w:val="00877D50"/>
    <w:rsid w:val="00880822"/>
    <w:rsid w:val="00882DA8"/>
    <w:rsid w:val="00883AF4"/>
    <w:rsid w:val="008874B1"/>
    <w:rsid w:val="0089030F"/>
    <w:rsid w:val="008931A9"/>
    <w:rsid w:val="0089488D"/>
    <w:rsid w:val="00894C25"/>
    <w:rsid w:val="00896D0B"/>
    <w:rsid w:val="00897376"/>
    <w:rsid w:val="008A096C"/>
    <w:rsid w:val="008A0FF6"/>
    <w:rsid w:val="008A1C4C"/>
    <w:rsid w:val="008A3E75"/>
    <w:rsid w:val="008A43A9"/>
    <w:rsid w:val="008A4F48"/>
    <w:rsid w:val="008A58D6"/>
    <w:rsid w:val="008A5A97"/>
    <w:rsid w:val="008A63A9"/>
    <w:rsid w:val="008B0AAA"/>
    <w:rsid w:val="008B3B53"/>
    <w:rsid w:val="008C1052"/>
    <w:rsid w:val="008C37D6"/>
    <w:rsid w:val="008C5E57"/>
    <w:rsid w:val="008C68F8"/>
    <w:rsid w:val="008C79A4"/>
    <w:rsid w:val="008D0F93"/>
    <w:rsid w:val="008D1A5C"/>
    <w:rsid w:val="008D6F64"/>
    <w:rsid w:val="008D787A"/>
    <w:rsid w:val="008E0158"/>
    <w:rsid w:val="008E2CCB"/>
    <w:rsid w:val="008E3897"/>
    <w:rsid w:val="008E494F"/>
    <w:rsid w:val="008E588B"/>
    <w:rsid w:val="008E5DEB"/>
    <w:rsid w:val="008E741A"/>
    <w:rsid w:val="008F0ECF"/>
    <w:rsid w:val="008F10FD"/>
    <w:rsid w:val="008F1F52"/>
    <w:rsid w:val="008F394C"/>
    <w:rsid w:val="008F6DD0"/>
    <w:rsid w:val="0090082F"/>
    <w:rsid w:val="0090244F"/>
    <w:rsid w:val="00903C35"/>
    <w:rsid w:val="00903F32"/>
    <w:rsid w:val="00907FA6"/>
    <w:rsid w:val="00910611"/>
    <w:rsid w:val="00912C1B"/>
    <w:rsid w:val="009131BE"/>
    <w:rsid w:val="00914CC0"/>
    <w:rsid w:val="0091689B"/>
    <w:rsid w:val="00923445"/>
    <w:rsid w:val="009242A5"/>
    <w:rsid w:val="00925408"/>
    <w:rsid w:val="00930606"/>
    <w:rsid w:val="009329EE"/>
    <w:rsid w:val="00935919"/>
    <w:rsid w:val="00936B84"/>
    <w:rsid w:val="00937BDE"/>
    <w:rsid w:val="00937CF5"/>
    <w:rsid w:val="00941AFD"/>
    <w:rsid w:val="00941FEA"/>
    <w:rsid w:val="009434F9"/>
    <w:rsid w:val="0094354F"/>
    <w:rsid w:val="00944BCC"/>
    <w:rsid w:val="0094689D"/>
    <w:rsid w:val="009507C9"/>
    <w:rsid w:val="00951763"/>
    <w:rsid w:val="00953166"/>
    <w:rsid w:val="0095689E"/>
    <w:rsid w:val="00956BAD"/>
    <w:rsid w:val="00957BC1"/>
    <w:rsid w:val="009637F5"/>
    <w:rsid w:val="00963AED"/>
    <w:rsid w:val="009646B3"/>
    <w:rsid w:val="009701DC"/>
    <w:rsid w:val="00970677"/>
    <w:rsid w:val="0097137D"/>
    <w:rsid w:val="00972A82"/>
    <w:rsid w:val="00973443"/>
    <w:rsid w:val="0098051C"/>
    <w:rsid w:val="00981061"/>
    <w:rsid w:val="009810AB"/>
    <w:rsid w:val="009811D6"/>
    <w:rsid w:val="0098268F"/>
    <w:rsid w:val="00983F05"/>
    <w:rsid w:val="00985126"/>
    <w:rsid w:val="0098554C"/>
    <w:rsid w:val="00985E4A"/>
    <w:rsid w:val="00986234"/>
    <w:rsid w:val="00987560"/>
    <w:rsid w:val="00990058"/>
    <w:rsid w:val="009905D4"/>
    <w:rsid w:val="00991A3C"/>
    <w:rsid w:val="0099472C"/>
    <w:rsid w:val="009947EA"/>
    <w:rsid w:val="00996E70"/>
    <w:rsid w:val="009973FA"/>
    <w:rsid w:val="009A148D"/>
    <w:rsid w:val="009A2B37"/>
    <w:rsid w:val="009A353D"/>
    <w:rsid w:val="009A486E"/>
    <w:rsid w:val="009A7A57"/>
    <w:rsid w:val="009B01C0"/>
    <w:rsid w:val="009B64FC"/>
    <w:rsid w:val="009C0604"/>
    <w:rsid w:val="009C4705"/>
    <w:rsid w:val="009C57CA"/>
    <w:rsid w:val="009C68CD"/>
    <w:rsid w:val="009C699D"/>
    <w:rsid w:val="009C774B"/>
    <w:rsid w:val="009D39BC"/>
    <w:rsid w:val="009D4D03"/>
    <w:rsid w:val="009D75C6"/>
    <w:rsid w:val="009D7E88"/>
    <w:rsid w:val="009E0A31"/>
    <w:rsid w:val="009E0B5E"/>
    <w:rsid w:val="009E33C4"/>
    <w:rsid w:val="009E47B4"/>
    <w:rsid w:val="009E5295"/>
    <w:rsid w:val="009E5BAB"/>
    <w:rsid w:val="009F4CA2"/>
    <w:rsid w:val="009F6BB6"/>
    <w:rsid w:val="009F76C6"/>
    <w:rsid w:val="00A04FE9"/>
    <w:rsid w:val="00A05137"/>
    <w:rsid w:val="00A11115"/>
    <w:rsid w:val="00A11698"/>
    <w:rsid w:val="00A22C9F"/>
    <w:rsid w:val="00A2385B"/>
    <w:rsid w:val="00A23C9E"/>
    <w:rsid w:val="00A24452"/>
    <w:rsid w:val="00A2500B"/>
    <w:rsid w:val="00A25B8E"/>
    <w:rsid w:val="00A265E4"/>
    <w:rsid w:val="00A26605"/>
    <w:rsid w:val="00A267ED"/>
    <w:rsid w:val="00A26C5A"/>
    <w:rsid w:val="00A2702E"/>
    <w:rsid w:val="00A30825"/>
    <w:rsid w:val="00A30BA4"/>
    <w:rsid w:val="00A327AB"/>
    <w:rsid w:val="00A32C98"/>
    <w:rsid w:val="00A32F51"/>
    <w:rsid w:val="00A33E25"/>
    <w:rsid w:val="00A348B2"/>
    <w:rsid w:val="00A378BC"/>
    <w:rsid w:val="00A379DB"/>
    <w:rsid w:val="00A40F51"/>
    <w:rsid w:val="00A42566"/>
    <w:rsid w:val="00A43CC6"/>
    <w:rsid w:val="00A445D3"/>
    <w:rsid w:val="00A44C27"/>
    <w:rsid w:val="00A45F3D"/>
    <w:rsid w:val="00A46DF9"/>
    <w:rsid w:val="00A476B0"/>
    <w:rsid w:val="00A50044"/>
    <w:rsid w:val="00A5086F"/>
    <w:rsid w:val="00A50A99"/>
    <w:rsid w:val="00A50AD3"/>
    <w:rsid w:val="00A518B0"/>
    <w:rsid w:val="00A52E1A"/>
    <w:rsid w:val="00A542C6"/>
    <w:rsid w:val="00A5444E"/>
    <w:rsid w:val="00A555E1"/>
    <w:rsid w:val="00A56E42"/>
    <w:rsid w:val="00A6395A"/>
    <w:rsid w:val="00A65B89"/>
    <w:rsid w:val="00A72654"/>
    <w:rsid w:val="00A75B78"/>
    <w:rsid w:val="00A80D3F"/>
    <w:rsid w:val="00A80ECE"/>
    <w:rsid w:val="00A815C3"/>
    <w:rsid w:val="00A83798"/>
    <w:rsid w:val="00A83E1A"/>
    <w:rsid w:val="00A91B4D"/>
    <w:rsid w:val="00AA343A"/>
    <w:rsid w:val="00AA35AA"/>
    <w:rsid w:val="00AA4A42"/>
    <w:rsid w:val="00AA52D6"/>
    <w:rsid w:val="00AB132F"/>
    <w:rsid w:val="00AB3CE7"/>
    <w:rsid w:val="00AB4F71"/>
    <w:rsid w:val="00AB5319"/>
    <w:rsid w:val="00AB711B"/>
    <w:rsid w:val="00AB72E6"/>
    <w:rsid w:val="00AC12F9"/>
    <w:rsid w:val="00AC4FE7"/>
    <w:rsid w:val="00AD1A7C"/>
    <w:rsid w:val="00AD2F72"/>
    <w:rsid w:val="00AD4472"/>
    <w:rsid w:val="00AD4E64"/>
    <w:rsid w:val="00AD4FFE"/>
    <w:rsid w:val="00AE329B"/>
    <w:rsid w:val="00AE6AAE"/>
    <w:rsid w:val="00AF0729"/>
    <w:rsid w:val="00AF13DB"/>
    <w:rsid w:val="00AF35E6"/>
    <w:rsid w:val="00AF3B5E"/>
    <w:rsid w:val="00AF4A0D"/>
    <w:rsid w:val="00AF7952"/>
    <w:rsid w:val="00B01C90"/>
    <w:rsid w:val="00B06767"/>
    <w:rsid w:val="00B12945"/>
    <w:rsid w:val="00B136B1"/>
    <w:rsid w:val="00B13D13"/>
    <w:rsid w:val="00B1414B"/>
    <w:rsid w:val="00B16359"/>
    <w:rsid w:val="00B22714"/>
    <w:rsid w:val="00B23DA4"/>
    <w:rsid w:val="00B243BE"/>
    <w:rsid w:val="00B26208"/>
    <w:rsid w:val="00B27B6C"/>
    <w:rsid w:val="00B304C1"/>
    <w:rsid w:val="00B4020B"/>
    <w:rsid w:val="00B40B5A"/>
    <w:rsid w:val="00B47CA5"/>
    <w:rsid w:val="00B53652"/>
    <w:rsid w:val="00B54EF7"/>
    <w:rsid w:val="00B5529B"/>
    <w:rsid w:val="00B579FB"/>
    <w:rsid w:val="00B64C8B"/>
    <w:rsid w:val="00B6551A"/>
    <w:rsid w:val="00B65A55"/>
    <w:rsid w:val="00B70F09"/>
    <w:rsid w:val="00B74817"/>
    <w:rsid w:val="00B755C1"/>
    <w:rsid w:val="00B76671"/>
    <w:rsid w:val="00B819D0"/>
    <w:rsid w:val="00B81CED"/>
    <w:rsid w:val="00B8242C"/>
    <w:rsid w:val="00B87BE6"/>
    <w:rsid w:val="00B91519"/>
    <w:rsid w:val="00B96D4E"/>
    <w:rsid w:val="00BA14FF"/>
    <w:rsid w:val="00BA1B5D"/>
    <w:rsid w:val="00BA2FB2"/>
    <w:rsid w:val="00BA499C"/>
    <w:rsid w:val="00BA637A"/>
    <w:rsid w:val="00BA7469"/>
    <w:rsid w:val="00BB1B0D"/>
    <w:rsid w:val="00BB44E0"/>
    <w:rsid w:val="00BB4B43"/>
    <w:rsid w:val="00BB5C7E"/>
    <w:rsid w:val="00BB654D"/>
    <w:rsid w:val="00BC0233"/>
    <w:rsid w:val="00BC033F"/>
    <w:rsid w:val="00BC25BC"/>
    <w:rsid w:val="00BC2677"/>
    <w:rsid w:val="00BC3D9C"/>
    <w:rsid w:val="00BC796C"/>
    <w:rsid w:val="00BD237E"/>
    <w:rsid w:val="00BD39E0"/>
    <w:rsid w:val="00BD551D"/>
    <w:rsid w:val="00BD566D"/>
    <w:rsid w:val="00BD5E87"/>
    <w:rsid w:val="00BD6E80"/>
    <w:rsid w:val="00BE118F"/>
    <w:rsid w:val="00BE1ACB"/>
    <w:rsid w:val="00BE4B41"/>
    <w:rsid w:val="00BE4E00"/>
    <w:rsid w:val="00BE6F69"/>
    <w:rsid w:val="00BE75EB"/>
    <w:rsid w:val="00BF096F"/>
    <w:rsid w:val="00BF1A5E"/>
    <w:rsid w:val="00BF693C"/>
    <w:rsid w:val="00BF7059"/>
    <w:rsid w:val="00C00D37"/>
    <w:rsid w:val="00C013FE"/>
    <w:rsid w:val="00C01CBB"/>
    <w:rsid w:val="00C07946"/>
    <w:rsid w:val="00C1138D"/>
    <w:rsid w:val="00C12268"/>
    <w:rsid w:val="00C12B85"/>
    <w:rsid w:val="00C1311B"/>
    <w:rsid w:val="00C17282"/>
    <w:rsid w:val="00C17527"/>
    <w:rsid w:val="00C17859"/>
    <w:rsid w:val="00C20323"/>
    <w:rsid w:val="00C209B9"/>
    <w:rsid w:val="00C20B8E"/>
    <w:rsid w:val="00C2163B"/>
    <w:rsid w:val="00C21712"/>
    <w:rsid w:val="00C230DD"/>
    <w:rsid w:val="00C23816"/>
    <w:rsid w:val="00C24A4F"/>
    <w:rsid w:val="00C30C72"/>
    <w:rsid w:val="00C31B3C"/>
    <w:rsid w:val="00C31C34"/>
    <w:rsid w:val="00C361CD"/>
    <w:rsid w:val="00C37E42"/>
    <w:rsid w:val="00C42C1B"/>
    <w:rsid w:val="00C44FEB"/>
    <w:rsid w:val="00C46328"/>
    <w:rsid w:val="00C467A4"/>
    <w:rsid w:val="00C46A97"/>
    <w:rsid w:val="00C52ADD"/>
    <w:rsid w:val="00C530EA"/>
    <w:rsid w:val="00C54CF0"/>
    <w:rsid w:val="00C63216"/>
    <w:rsid w:val="00C635FC"/>
    <w:rsid w:val="00C64C16"/>
    <w:rsid w:val="00C659D9"/>
    <w:rsid w:val="00C70855"/>
    <w:rsid w:val="00C71A7C"/>
    <w:rsid w:val="00C71DE3"/>
    <w:rsid w:val="00C734D9"/>
    <w:rsid w:val="00C73B44"/>
    <w:rsid w:val="00C73C8D"/>
    <w:rsid w:val="00C74901"/>
    <w:rsid w:val="00C74C9E"/>
    <w:rsid w:val="00C81077"/>
    <w:rsid w:val="00C81901"/>
    <w:rsid w:val="00C81AC9"/>
    <w:rsid w:val="00C83E7D"/>
    <w:rsid w:val="00C84797"/>
    <w:rsid w:val="00C847C5"/>
    <w:rsid w:val="00C84B98"/>
    <w:rsid w:val="00C86A23"/>
    <w:rsid w:val="00C91D10"/>
    <w:rsid w:val="00C93548"/>
    <w:rsid w:val="00C9367D"/>
    <w:rsid w:val="00C97A9F"/>
    <w:rsid w:val="00CA0777"/>
    <w:rsid w:val="00CA0B58"/>
    <w:rsid w:val="00CA1CEF"/>
    <w:rsid w:val="00CA1F5E"/>
    <w:rsid w:val="00CA6458"/>
    <w:rsid w:val="00CB204A"/>
    <w:rsid w:val="00CB228C"/>
    <w:rsid w:val="00CB249E"/>
    <w:rsid w:val="00CB3BEC"/>
    <w:rsid w:val="00CB4598"/>
    <w:rsid w:val="00CB47F3"/>
    <w:rsid w:val="00CB4D8C"/>
    <w:rsid w:val="00CB548B"/>
    <w:rsid w:val="00CD242C"/>
    <w:rsid w:val="00CD24BB"/>
    <w:rsid w:val="00CD64FC"/>
    <w:rsid w:val="00CD6C88"/>
    <w:rsid w:val="00CE2B71"/>
    <w:rsid w:val="00CE7286"/>
    <w:rsid w:val="00CF0441"/>
    <w:rsid w:val="00CF0D25"/>
    <w:rsid w:val="00CF13D5"/>
    <w:rsid w:val="00CF1E56"/>
    <w:rsid w:val="00CF4630"/>
    <w:rsid w:val="00CF4CD4"/>
    <w:rsid w:val="00CF53B0"/>
    <w:rsid w:val="00CF5685"/>
    <w:rsid w:val="00CF57B3"/>
    <w:rsid w:val="00D00EA9"/>
    <w:rsid w:val="00D03D91"/>
    <w:rsid w:val="00D04B8D"/>
    <w:rsid w:val="00D05967"/>
    <w:rsid w:val="00D06571"/>
    <w:rsid w:val="00D0694E"/>
    <w:rsid w:val="00D1000F"/>
    <w:rsid w:val="00D10885"/>
    <w:rsid w:val="00D11129"/>
    <w:rsid w:val="00D11306"/>
    <w:rsid w:val="00D1236D"/>
    <w:rsid w:val="00D12C8F"/>
    <w:rsid w:val="00D1346E"/>
    <w:rsid w:val="00D1420E"/>
    <w:rsid w:val="00D1685D"/>
    <w:rsid w:val="00D17F3A"/>
    <w:rsid w:val="00D20510"/>
    <w:rsid w:val="00D206FC"/>
    <w:rsid w:val="00D21976"/>
    <w:rsid w:val="00D2387F"/>
    <w:rsid w:val="00D25B64"/>
    <w:rsid w:val="00D26A4C"/>
    <w:rsid w:val="00D26EE8"/>
    <w:rsid w:val="00D30EB3"/>
    <w:rsid w:val="00D317B7"/>
    <w:rsid w:val="00D31BF0"/>
    <w:rsid w:val="00D33AE7"/>
    <w:rsid w:val="00D3400A"/>
    <w:rsid w:val="00D35048"/>
    <w:rsid w:val="00D35BC3"/>
    <w:rsid w:val="00D369D0"/>
    <w:rsid w:val="00D37B6B"/>
    <w:rsid w:val="00D40614"/>
    <w:rsid w:val="00D44B1B"/>
    <w:rsid w:val="00D52A46"/>
    <w:rsid w:val="00D52EB8"/>
    <w:rsid w:val="00D530F5"/>
    <w:rsid w:val="00D56384"/>
    <w:rsid w:val="00D61C33"/>
    <w:rsid w:val="00D61D88"/>
    <w:rsid w:val="00D6549C"/>
    <w:rsid w:val="00D70FC0"/>
    <w:rsid w:val="00D7193B"/>
    <w:rsid w:val="00D735D2"/>
    <w:rsid w:val="00D74CC2"/>
    <w:rsid w:val="00D75F3D"/>
    <w:rsid w:val="00D777D9"/>
    <w:rsid w:val="00D81773"/>
    <w:rsid w:val="00D819F4"/>
    <w:rsid w:val="00D820E7"/>
    <w:rsid w:val="00D8425B"/>
    <w:rsid w:val="00D8715A"/>
    <w:rsid w:val="00D878C8"/>
    <w:rsid w:val="00D87B37"/>
    <w:rsid w:val="00D87FE2"/>
    <w:rsid w:val="00D909B6"/>
    <w:rsid w:val="00D90A92"/>
    <w:rsid w:val="00D9135B"/>
    <w:rsid w:val="00D91BC5"/>
    <w:rsid w:val="00D92157"/>
    <w:rsid w:val="00D9412D"/>
    <w:rsid w:val="00D97BC0"/>
    <w:rsid w:val="00DA0FDB"/>
    <w:rsid w:val="00DA1920"/>
    <w:rsid w:val="00DA5412"/>
    <w:rsid w:val="00DA6A5F"/>
    <w:rsid w:val="00DA6DD2"/>
    <w:rsid w:val="00DA7086"/>
    <w:rsid w:val="00DB169B"/>
    <w:rsid w:val="00DB216D"/>
    <w:rsid w:val="00DB5569"/>
    <w:rsid w:val="00DB55CF"/>
    <w:rsid w:val="00DB687D"/>
    <w:rsid w:val="00DB79AF"/>
    <w:rsid w:val="00DC030C"/>
    <w:rsid w:val="00DC06EE"/>
    <w:rsid w:val="00DC0E00"/>
    <w:rsid w:val="00DC59D5"/>
    <w:rsid w:val="00DC6BE4"/>
    <w:rsid w:val="00DD08FB"/>
    <w:rsid w:val="00DD2230"/>
    <w:rsid w:val="00DD4EBA"/>
    <w:rsid w:val="00DD5663"/>
    <w:rsid w:val="00DD5DBF"/>
    <w:rsid w:val="00DD7B07"/>
    <w:rsid w:val="00DE24A7"/>
    <w:rsid w:val="00DE3C19"/>
    <w:rsid w:val="00DE4540"/>
    <w:rsid w:val="00DE51C2"/>
    <w:rsid w:val="00DE6143"/>
    <w:rsid w:val="00DE61AA"/>
    <w:rsid w:val="00DE621A"/>
    <w:rsid w:val="00DF00CB"/>
    <w:rsid w:val="00DF0712"/>
    <w:rsid w:val="00DF20A7"/>
    <w:rsid w:val="00DF238F"/>
    <w:rsid w:val="00DF26A2"/>
    <w:rsid w:val="00DF3BE3"/>
    <w:rsid w:val="00DF5A41"/>
    <w:rsid w:val="00DF6066"/>
    <w:rsid w:val="00E003D1"/>
    <w:rsid w:val="00E011F3"/>
    <w:rsid w:val="00E022D5"/>
    <w:rsid w:val="00E03C3B"/>
    <w:rsid w:val="00E05B72"/>
    <w:rsid w:val="00E103F9"/>
    <w:rsid w:val="00E11284"/>
    <w:rsid w:val="00E13C66"/>
    <w:rsid w:val="00E15ABA"/>
    <w:rsid w:val="00E17EB4"/>
    <w:rsid w:val="00E219F9"/>
    <w:rsid w:val="00E261CE"/>
    <w:rsid w:val="00E26DB0"/>
    <w:rsid w:val="00E306C5"/>
    <w:rsid w:val="00E3479D"/>
    <w:rsid w:val="00E37F3B"/>
    <w:rsid w:val="00E439BE"/>
    <w:rsid w:val="00E439DE"/>
    <w:rsid w:val="00E45A16"/>
    <w:rsid w:val="00E51E40"/>
    <w:rsid w:val="00E51F53"/>
    <w:rsid w:val="00E52403"/>
    <w:rsid w:val="00E5305B"/>
    <w:rsid w:val="00E533DE"/>
    <w:rsid w:val="00E535E1"/>
    <w:rsid w:val="00E54F97"/>
    <w:rsid w:val="00E56037"/>
    <w:rsid w:val="00E566F0"/>
    <w:rsid w:val="00E56F55"/>
    <w:rsid w:val="00E603FE"/>
    <w:rsid w:val="00E62FE6"/>
    <w:rsid w:val="00E63A1F"/>
    <w:rsid w:val="00E63BCF"/>
    <w:rsid w:val="00E643CF"/>
    <w:rsid w:val="00E65EBB"/>
    <w:rsid w:val="00E66E0A"/>
    <w:rsid w:val="00E7143B"/>
    <w:rsid w:val="00E716E6"/>
    <w:rsid w:val="00E7195D"/>
    <w:rsid w:val="00E74589"/>
    <w:rsid w:val="00E755BB"/>
    <w:rsid w:val="00E76059"/>
    <w:rsid w:val="00E8201D"/>
    <w:rsid w:val="00E82EDB"/>
    <w:rsid w:val="00E8511E"/>
    <w:rsid w:val="00E8653E"/>
    <w:rsid w:val="00E867BA"/>
    <w:rsid w:val="00E9027F"/>
    <w:rsid w:val="00E9038C"/>
    <w:rsid w:val="00E91E66"/>
    <w:rsid w:val="00E96411"/>
    <w:rsid w:val="00EA0F3E"/>
    <w:rsid w:val="00EA1003"/>
    <w:rsid w:val="00EA127E"/>
    <w:rsid w:val="00EA1601"/>
    <w:rsid w:val="00EA5F46"/>
    <w:rsid w:val="00EA707E"/>
    <w:rsid w:val="00EA73E3"/>
    <w:rsid w:val="00EA74C2"/>
    <w:rsid w:val="00EB38DF"/>
    <w:rsid w:val="00EB5F2E"/>
    <w:rsid w:val="00EB649B"/>
    <w:rsid w:val="00EC0C2C"/>
    <w:rsid w:val="00EC411E"/>
    <w:rsid w:val="00EC4B9F"/>
    <w:rsid w:val="00EC5BBF"/>
    <w:rsid w:val="00EC6016"/>
    <w:rsid w:val="00EC73F7"/>
    <w:rsid w:val="00ED03BB"/>
    <w:rsid w:val="00ED1233"/>
    <w:rsid w:val="00ED235B"/>
    <w:rsid w:val="00ED3AC7"/>
    <w:rsid w:val="00ED3C33"/>
    <w:rsid w:val="00ED775F"/>
    <w:rsid w:val="00EE1A01"/>
    <w:rsid w:val="00EE1C90"/>
    <w:rsid w:val="00EE4820"/>
    <w:rsid w:val="00EF0B55"/>
    <w:rsid w:val="00EF353B"/>
    <w:rsid w:val="00EF48AD"/>
    <w:rsid w:val="00EF5962"/>
    <w:rsid w:val="00EF6043"/>
    <w:rsid w:val="00EF61D3"/>
    <w:rsid w:val="00EF6D69"/>
    <w:rsid w:val="00F07C63"/>
    <w:rsid w:val="00F12642"/>
    <w:rsid w:val="00F13C1B"/>
    <w:rsid w:val="00F13CC7"/>
    <w:rsid w:val="00F1425C"/>
    <w:rsid w:val="00F15CAE"/>
    <w:rsid w:val="00F1635C"/>
    <w:rsid w:val="00F17996"/>
    <w:rsid w:val="00F17F6C"/>
    <w:rsid w:val="00F21E41"/>
    <w:rsid w:val="00F226BF"/>
    <w:rsid w:val="00F25C64"/>
    <w:rsid w:val="00F277E0"/>
    <w:rsid w:val="00F27F8D"/>
    <w:rsid w:val="00F309E3"/>
    <w:rsid w:val="00F34431"/>
    <w:rsid w:val="00F36C7F"/>
    <w:rsid w:val="00F36E19"/>
    <w:rsid w:val="00F40096"/>
    <w:rsid w:val="00F40129"/>
    <w:rsid w:val="00F42D92"/>
    <w:rsid w:val="00F469CB"/>
    <w:rsid w:val="00F503BA"/>
    <w:rsid w:val="00F51173"/>
    <w:rsid w:val="00F5146E"/>
    <w:rsid w:val="00F51F4C"/>
    <w:rsid w:val="00F5392D"/>
    <w:rsid w:val="00F54058"/>
    <w:rsid w:val="00F54C2A"/>
    <w:rsid w:val="00F55C66"/>
    <w:rsid w:val="00F56D12"/>
    <w:rsid w:val="00F6105F"/>
    <w:rsid w:val="00F616E4"/>
    <w:rsid w:val="00F633EE"/>
    <w:rsid w:val="00F6416F"/>
    <w:rsid w:val="00F6505F"/>
    <w:rsid w:val="00F66851"/>
    <w:rsid w:val="00F66B47"/>
    <w:rsid w:val="00F67A91"/>
    <w:rsid w:val="00F67D5E"/>
    <w:rsid w:val="00F707B2"/>
    <w:rsid w:val="00F70B46"/>
    <w:rsid w:val="00F716FB"/>
    <w:rsid w:val="00F71A81"/>
    <w:rsid w:val="00F77D9B"/>
    <w:rsid w:val="00F823F9"/>
    <w:rsid w:val="00F84A12"/>
    <w:rsid w:val="00F8582A"/>
    <w:rsid w:val="00F87370"/>
    <w:rsid w:val="00F8752E"/>
    <w:rsid w:val="00F9015F"/>
    <w:rsid w:val="00F9183F"/>
    <w:rsid w:val="00F91862"/>
    <w:rsid w:val="00F927E2"/>
    <w:rsid w:val="00F9321A"/>
    <w:rsid w:val="00F941E6"/>
    <w:rsid w:val="00F979E9"/>
    <w:rsid w:val="00FA1B54"/>
    <w:rsid w:val="00FA1C30"/>
    <w:rsid w:val="00FA21CA"/>
    <w:rsid w:val="00FA26D9"/>
    <w:rsid w:val="00FA2B8D"/>
    <w:rsid w:val="00FA3236"/>
    <w:rsid w:val="00FA3B9D"/>
    <w:rsid w:val="00FA5E85"/>
    <w:rsid w:val="00FB0212"/>
    <w:rsid w:val="00FB23C1"/>
    <w:rsid w:val="00FB3492"/>
    <w:rsid w:val="00FB45B6"/>
    <w:rsid w:val="00FB60A7"/>
    <w:rsid w:val="00FB76B0"/>
    <w:rsid w:val="00FB7A15"/>
    <w:rsid w:val="00FC033A"/>
    <w:rsid w:val="00FC414D"/>
    <w:rsid w:val="00FC6BD2"/>
    <w:rsid w:val="00FC6C95"/>
    <w:rsid w:val="00FD1438"/>
    <w:rsid w:val="00FD25F3"/>
    <w:rsid w:val="00FD2865"/>
    <w:rsid w:val="00FD3E96"/>
    <w:rsid w:val="00FD4357"/>
    <w:rsid w:val="00FD4F3F"/>
    <w:rsid w:val="00FE1F46"/>
    <w:rsid w:val="00FE624D"/>
    <w:rsid w:val="00FE7EF1"/>
    <w:rsid w:val="00FF14AB"/>
    <w:rsid w:val="00FF2F90"/>
    <w:rsid w:val="00FF3253"/>
    <w:rsid w:val="00FF3376"/>
    <w:rsid w:val="00FF349C"/>
    <w:rsid w:val="00FF6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54A64"/>
  <w15:docId w15:val="{B06FC23F-204F-4B05-9EF0-BEBBAA1C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qFormat="1"/>
    <w:lsdException w:name="heading 1" w:qFormat="1"/>
    <w:lsdException w:name="heading 2" w:semiHidden="1" w:uiPriority="1" w:qFormat="1"/>
    <w:lsdException w:name="heading 3" w:semiHidden="1" w:uiPriority="1" w:qFormat="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DC"/>
  </w:style>
  <w:style w:type="paragraph" w:styleId="Heading1">
    <w:name w:val="heading 1"/>
    <w:basedOn w:val="Normal"/>
    <w:next w:val="Normal"/>
    <w:link w:val="Heading1Char"/>
    <w:uiPriority w:val="1"/>
    <w:qFormat/>
    <w:rsid w:val="0001576D"/>
    <w:pPr>
      <w:keepNext/>
      <w:keepLines/>
      <w:spacing w:after="12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1"/>
    <w:qFormat/>
    <w:rsid w:val="0001576D"/>
    <w:pPr>
      <w:keepNext/>
      <w:keepLines/>
      <w:spacing w:after="12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1"/>
    <w:qFormat/>
    <w:rsid w:val="0001576D"/>
    <w:pPr>
      <w:keepNext/>
      <w:keepLines/>
      <w:spacing w:after="12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9"/>
    <w:semiHidden/>
    <w:rsid w:val="007541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semiHidden/>
    <w:rsid w:val="007541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9"/>
    <w:semiHidden/>
    <w:rsid w:val="007541B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semiHidden/>
    <w:rsid w:val="007541B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rsid w:val="007541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rsid w:val="007541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7541BC"/>
    <w:pPr>
      <w:numPr>
        <w:numId w:val="1"/>
      </w:numPr>
    </w:pPr>
  </w:style>
  <w:style w:type="paragraph" w:styleId="EnvelopeAddress">
    <w:name w:val="envelope address"/>
    <w:basedOn w:val="Normal"/>
    <w:uiPriority w:val="99"/>
    <w:rsid w:val="00795269"/>
    <w:pPr>
      <w:spacing w:line="240" w:lineRule="auto"/>
      <w:ind w:left="4139" w:right="-964"/>
    </w:pPr>
    <w:rPr>
      <w:rFonts w:eastAsiaTheme="majorEastAsia" w:cstheme="majorBidi"/>
      <w:szCs w:val="24"/>
    </w:rPr>
  </w:style>
  <w:style w:type="paragraph" w:styleId="NoteHeading">
    <w:name w:val="Note Heading"/>
    <w:basedOn w:val="Normal"/>
    <w:next w:val="Normal"/>
    <w:link w:val="NoteHeadingChar"/>
    <w:uiPriority w:val="99"/>
    <w:semiHidden/>
    <w:rsid w:val="007541BC"/>
    <w:pPr>
      <w:spacing w:line="240" w:lineRule="auto"/>
    </w:pPr>
  </w:style>
  <w:style w:type="character" w:customStyle="1" w:styleId="NoteHeadingChar">
    <w:name w:val="Note Heading Char"/>
    <w:basedOn w:val="DefaultParagraphFont"/>
    <w:link w:val="NoteHeading"/>
    <w:uiPriority w:val="99"/>
    <w:semiHidden/>
    <w:rsid w:val="007541BC"/>
  </w:style>
  <w:style w:type="character" w:styleId="FollowedHyperlink">
    <w:name w:val="FollowedHyperlink"/>
    <w:basedOn w:val="DefaultParagraphFont"/>
    <w:uiPriority w:val="99"/>
    <w:semiHidden/>
    <w:rsid w:val="007541BC"/>
    <w:rPr>
      <w:color w:val="954F72" w:themeColor="followedHyperlink"/>
      <w:u w:val="single"/>
    </w:rPr>
  </w:style>
  <w:style w:type="paragraph" w:styleId="Closing">
    <w:name w:val="Closing"/>
    <w:basedOn w:val="Normal"/>
    <w:link w:val="ClosingChar"/>
    <w:uiPriority w:val="99"/>
    <w:semiHidden/>
    <w:rsid w:val="007541BC"/>
    <w:pPr>
      <w:spacing w:line="240" w:lineRule="auto"/>
      <w:ind w:left="4252"/>
    </w:pPr>
  </w:style>
  <w:style w:type="character" w:customStyle="1" w:styleId="ClosingChar">
    <w:name w:val="Closing Char"/>
    <w:basedOn w:val="DefaultParagraphFont"/>
    <w:link w:val="Closing"/>
    <w:uiPriority w:val="99"/>
    <w:semiHidden/>
    <w:rsid w:val="007541BC"/>
  </w:style>
  <w:style w:type="paragraph" w:styleId="EnvelopeReturn">
    <w:name w:val="envelope return"/>
    <w:basedOn w:val="Normal"/>
    <w:uiPriority w:val="99"/>
    <w:semiHidden/>
    <w:rsid w:val="007541BC"/>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7541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BC"/>
    <w:rPr>
      <w:rFonts w:ascii="Segoe UI" w:hAnsi="Segoe UI" w:cs="Segoe UI"/>
      <w:sz w:val="18"/>
      <w:szCs w:val="18"/>
    </w:rPr>
  </w:style>
  <w:style w:type="paragraph" w:styleId="Caption">
    <w:name w:val="caption"/>
    <w:basedOn w:val="Normal"/>
    <w:next w:val="Normal"/>
    <w:uiPriority w:val="99"/>
    <w:semiHidden/>
    <w:rsid w:val="007541BC"/>
    <w:pPr>
      <w:spacing w:after="200" w:line="240" w:lineRule="auto"/>
    </w:pPr>
    <w:rPr>
      <w:i/>
      <w:iCs/>
      <w:color w:val="44546A" w:themeColor="text2"/>
      <w:sz w:val="18"/>
      <w:szCs w:val="18"/>
    </w:rPr>
  </w:style>
  <w:style w:type="character" w:styleId="Emphasis">
    <w:name w:val="Emphasis"/>
    <w:basedOn w:val="DefaultParagraphFont"/>
    <w:uiPriority w:val="99"/>
    <w:semiHidden/>
    <w:rsid w:val="007541BC"/>
    <w:rPr>
      <w:i/>
      <w:iCs/>
    </w:rPr>
  </w:style>
  <w:style w:type="character" w:styleId="BookTitle">
    <w:name w:val="Book Title"/>
    <w:basedOn w:val="DefaultParagraphFont"/>
    <w:uiPriority w:val="99"/>
    <w:semiHidden/>
    <w:rsid w:val="007541BC"/>
    <w:rPr>
      <w:b/>
      <w:bCs/>
      <w:i/>
      <w:iCs/>
      <w:spacing w:val="5"/>
    </w:rPr>
  </w:style>
  <w:style w:type="paragraph" w:styleId="BodyText">
    <w:name w:val="Body Text"/>
    <w:basedOn w:val="Normal"/>
    <w:link w:val="BodyTextChar"/>
    <w:uiPriority w:val="99"/>
    <w:semiHidden/>
    <w:rsid w:val="007541BC"/>
    <w:pPr>
      <w:spacing w:after="120"/>
    </w:pPr>
  </w:style>
  <w:style w:type="character" w:customStyle="1" w:styleId="BodyTextChar">
    <w:name w:val="Body Text Char"/>
    <w:basedOn w:val="DefaultParagraphFont"/>
    <w:link w:val="BodyText"/>
    <w:uiPriority w:val="99"/>
    <w:semiHidden/>
    <w:rsid w:val="007541BC"/>
  </w:style>
  <w:style w:type="paragraph" w:styleId="BodyText2">
    <w:name w:val="Body Text 2"/>
    <w:basedOn w:val="Normal"/>
    <w:link w:val="BodyText2Char"/>
    <w:uiPriority w:val="99"/>
    <w:semiHidden/>
    <w:rsid w:val="007541BC"/>
    <w:pPr>
      <w:spacing w:after="120" w:line="480" w:lineRule="auto"/>
    </w:pPr>
  </w:style>
  <w:style w:type="character" w:customStyle="1" w:styleId="BodyText2Char">
    <w:name w:val="Body Text 2 Char"/>
    <w:basedOn w:val="DefaultParagraphFont"/>
    <w:link w:val="BodyText2"/>
    <w:uiPriority w:val="99"/>
    <w:semiHidden/>
    <w:rsid w:val="007541BC"/>
  </w:style>
  <w:style w:type="paragraph" w:styleId="BodyText3">
    <w:name w:val="Body Text 3"/>
    <w:basedOn w:val="Normal"/>
    <w:link w:val="BodyText3Char"/>
    <w:uiPriority w:val="99"/>
    <w:semiHidden/>
    <w:rsid w:val="007541BC"/>
    <w:pPr>
      <w:spacing w:after="120"/>
    </w:pPr>
    <w:rPr>
      <w:sz w:val="16"/>
      <w:szCs w:val="16"/>
    </w:rPr>
  </w:style>
  <w:style w:type="character" w:customStyle="1" w:styleId="BodyText3Char">
    <w:name w:val="Body Text 3 Char"/>
    <w:basedOn w:val="DefaultParagraphFont"/>
    <w:link w:val="BodyText3"/>
    <w:uiPriority w:val="99"/>
    <w:semiHidden/>
    <w:rsid w:val="007541BC"/>
    <w:rPr>
      <w:sz w:val="16"/>
      <w:szCs w:val="16"/>
    </w:rPr>
  </w:style>
  <w:style w:type="paragraph" w:styleId="BodyTextFirstIndent">
    <w:name w:val="Body Text First Indent"/>
    <w:basedOn w:val="BodyText"/>
    <w:link w:val="BodyTextFirstIndentChar"/>
    <w:uiPriority w:val="99"/>
    <w:semiHidden/>
    <w:rsid w:val="007541BC"/>
    <w:pPr>
      <w:spacing w:after="-1"/>
      <w:ind w:firstLine="360"/>
    </w:pPr>
  </w:style>
  <w:style w:type="character" w:customStyle="1" w:styleId="BodyTextFirstIndentChar">
    <w:name w:val="Body Text First Indent Char"/>
    <w:basedOn w:val="BodyTextChar"/>
    <w:link w:val="BodyTextFirstIndent"/>
    <w:uiPriority w:val="99"/>
    <w:semiHidden/>
    <w:rsid w:val="007541BC"/>
  </w:style>
  <w:style w:type="paragraph" w:styleId="BodyTextIndent">
    <w:name w:val="Body Text Indent"/>
    <w:basedOn w:val="Normal"/>
    <w:link w:val="BodyTextIndentChar"/>
    <w:uiPriority w:val="99"/>
    <w:semiHidden/>
    <w:rsid w:val="007541BC"/>
    <w:pPr>
      <w:spacing w:after="120"/>
      <w:ind w:left="283"/>
    </w:pPr>
  </w:style>
  <w:style w:type="character" w:customStyle="1" w:styleId="BodyTextIndentChar">
    <w:name w:val="Body Text Indent Char"/>
    <w:basedOn w:val="DefaultParagraphFont"/>
    <w:link w:val="BodyTextIndent"/>
    <w:uiPriority w:val="99"/>
    <w:semiHidden/>
    <w:rsid w:val="007541BC"/>
  </w:style>
  <w:style w:type="paragraph" w:styleId="BodyTextFirstIndent2">
    <w:name w:val="Body Text First Indent 2"/>
    <w:basedOn w:val="BodyTextIndent"/>
    <w:link w:val="BodyTextFirstIndent2Char"/>
    <w:uiPriority w:val="99"/>
    <w:semiHidden/>
    <w:rsid w:val="007541BC"/>
    <w:pPr>
      <w:spacing w:after="-1"/>
      <w:ind w:left="360" w:firstLine="360"/>
    </w:pPr>
  </w:style>
  <w:style w:type="character" w:customStyle="1" w:styleId="BodyTextFirstIndent2Char">
    <w:name w:val="Body Text First Indent 2 Char"/>
    <w:basedOn w:val="BodyTextIndentChar"/>
    <w:link w:val="BodyTextFirstIndent2"/>
    <w:uiPriority w:val="99"/>
    <w:semiHidden/>
    <w:rsid w:val="007541BC"/>
  </w:style>
  <w:style w:type="paragraph" w:styleId="BodyTextIndent2">
    <w:name w:val="Body Text Indent 2"/>
    <w:basedOn w:val="Normal"/>
    <w:link w:val="BodyTextIndent2Char"/>
    <w:uiPriority w:val="99"/>
    <w:semiHidden/>
    <w:rsid w:val="007541BC"/>
    <w:pPr>
      <w:spacing w:after="120" w:line="480" w:lineRule="auto"/>
      <w:ind w:left="283"/>
    </w:pPr>
  </w:style>
  <w:style w:type="character" w:customStyle="1" w:styleId="BodyTextIndent2Char">
    <w:name w:val="Body Text Indent 2 Char"/>
    <w:basedOn w:val="DefaultParagraphFont"/>
    <w:link w:val="BodyTextIndent2"/>
    <w:uiPriority w:val="99"/>
    <w:semiHidden/>
    <w:rsid w:val="007541BC"/>
  </w:style>
  <w:style w:type="paragraph" w:styleId="BodyTextIndent3">
    <w:name w:val="Body Text Indent 3"/>
    <w:basedOn w:val="Normal"/>
    <w:link w:val="BodyTextIndent3Char"/>
    <w:uiPriority w:val="99"/>
    <w:semiHidden/>
    <w:rsid w:val="007541B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541BC"/>
    <w:rPr>
      <w:sz w:val="16"/>
      <w:szCs w:val="16"/>
    </w:rPr>
  </w:style>
  <w:style w:type="paragraph" w:styleId="Quote">
    <w:name w:val="Quote"/>
    <w:basedOn w:val="Normal"/>
    <w:next w:val="Normal"/>
    <w:link w:val="QuoteChar"/>
    <w:uiPriority w:val="99"/>
    <w:semiHidden/>
    <w:rsid w:val="007541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41BC"/>
    <w:rPr>
      <w:i/>
      <w:iCs/>
      <w:color w:val="404040" w:themeColor="text1" w:themeTint="BF"/>
    </w:rPr>
  </w:style>
  <w:style w:type="paragraph" w:styleId="TableofAuthorities">
    <w:name w:val="table of authorities"/>
    <w:basedOn w:val="Normal"/>
    <w:next w:val="Normal"/>
    <w:uiPriority w:val="99"/>
    <w:semiHidden/>
    <w:rsid w:val="007541BC"/>
    <w:pPr>
      <w:ind w:left="220" w:hanging="220"/>
    </w:pPr>
  </w:style>
  <w:style w:type="paragraph" w:styleId="TOAHeading">
    <w:name w:val="toa heading"/>
    <w:basedOn w:val="Normal"/>
    <w:next w:val="Normal"/>
    <w:uiPriority w:val="99"/>
    <w:semiHidden/>
    <w:rsid w:val="007541BC"/>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7541BC"/>
  </w:style>
  <w:style w:type="character" w:customStyle="1" w:styleId="DateChar">
    <w:name w:val="Date Char"/>
    <w:basedOn w:val="DefaultParagraphFont"/>
    <w:link w:val="Date"/>
    <w:uiPriority w:val="99"/>
    <w:semiHidden/>
    <w:rsid w:val="007541BC"/>
  </w:style>
  <w:style w:type="character" w:styleId="SubtleEmphasis">
    <w:name w:val="Subtle Emphasis"/>
    <w:basedOn w:val="DefaultParagraphFont"/>
    <w:uiPriority w:val="99"/>
    <w:semiHidden/>
    <w:rsid w:val="007541BC"/>
    <w:rPr>
      <w:i/>
      <w:iCs/>
      <w:color w:val="404040" w:themeColor="text1" w:themeTint="BF"/>
    </w:rPr>
  </w:style>
  <w:style w:type="character" w:styleId="SubtleReference">
    <w:name w:val="Subtle Reference"/>
    <w:basedOn w:val="DefaultParagraphFont"/>
    <w:uiPriority w:val="99"/>
    <w:semiHidden/>
    <w:rsid w:val="007541BC"/>
    <w:rPr>
      <w:smallCaps/>
      <w:color w:val="5A5A5A" w:themeColor="text1" w:themeTint="A5"/>
    </w:rPr>
  </w:style>
  <w:style w:type="paragraph" w:styleId="DocumentMap">
    <w:name w:val="Document Map"/>
    <w:basedOn w:val="Normal"/>
    <w:link w:val="DocumentMapChar"/>
    <w:uiPriority w:val="99"/>
    <w:semiHidden/>
    <w:rsid w:val="007541B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541BC"/>
    <w:rPr>
      <w:rFonts w:ascii="Segoe UI" w:hAnsi="Segoe UI" w:cs="Segoe UI"/>
      <w:sz w:val="16"/>
      <w:szCs w:val="16"/>
    </w:rPr>
  </w:style>
  <w:style w:type="paragraph" w:styleId="E-mailSignature">
    <w:name w:val="E-mail Signature"/>
    <w:basedOn w:val="Normal"/>
    <w:link w:val="E-mailSignatureChar"/>
    <w:uiPriority w:val="99"/>
    <w:semiHidden/>
    <w:rsid w:val="007541BC"/>
    <w:pPr>
      <w:spacing w:line="240" w:lineRule="auto"/>
    </w:pPr>
  </w:style>
  <w:style w:type="character" w:customStyle="1" w:styleId="E-mailSignatureChar">
    <w:name w:val="E-mail Signature Char"/>
    <w:basedOn w:val="DefaultParagraphFont"/>
    <w:link w:val="E-mailSignature"/>
    <w:uiPriority w:val="99"/>
    <w:semiHidden/>
    <w:rsid w:val="007541BC"/>
  </w:style>
  <w:style w:type="paragraph" w:styleId="TableofFigures">
    <w:name w:val="table of figures"/>
    <w:basedOn w:val="Normal"/>
    <w:next w:val="Normal"/>
    <w:uiPriority w:val="99"/>
    <w:semiHidden/>
    <w:rsid w:val="007541BC"/>
  </w:style>
  <w:style w:type="character" w:styleId="FootnoteReference">
    <w:name w:val="footnote reference"/>
    <w:basedOn w:val="DefaultParagraphFont"/>
    <w:semiHidden/>
    <w:rsid w:val="007541BC"/>
    <w:rPr>
      <w:vertAlign w:val="superscript"/>
    </w:rPr>
  </w:style>
  <w:style w:type="paragraph" w:styleId="FootnoteText">
    <w:name w:val="footnote text"/>
    <w:basedOn w:val="Normal"/>
    <w:link w:val="FootnoteTextChar"/>
    <w:uiPriority w:val="99"/>
    <w:semiHidden/>
    <w:rsid w:val="007541BC"/>
    <w:pPr>
      <w:spacing w:line="240" w:lineRule="auto"/>
    </w:pPr>
    <w:rPr>
      <w:sz w:val="20"/>
      <w:szCs w:val="20"/>
    </w:rPr>
  </w:style>
  <w:style w:type="character" w:customStyle="1" w:styleId="FootnoteTextChar">
    <w:name w:val="Footnote Text Char"/>
    <w:basedOn w:val="DefaultParagraphFont"/>
    <w:link w:val="FootnoteText"/>
    <w:uiPriority w:val="99"/>
    <w:semiHidden/>
    <w:rsid w:val="007541BC"/>
    <w:rPr>
      <w:sz w:val="20"/>
      <w:szCs w:val="20"/>
    </w:rPr>
  </w:style>
  <w:style w:type="paragraph" w:styleId="HTMLAddress">
    <w:name w:val="HTML Address"/>
    <w:basedOn w:val="Normal"/>
    <w:link w:val="HTMLAddressChar"/>
    <w:uiPriority w:val="99"/>
    <w:semiHidden/>
    <w:rsid w:val="007541BC"/>
    <w:pPr>
      <w:spacing w:line="240" w:lineRule="auto"/>
    </w:pPr>
    <w:rPr>
      <w:i/>
      <w:iCs/>
    </w:rPr>
  </w:style>
  <w:style w:type="character" w:customStyle="1" w:styleId="HTMLAddressChar">
    <w:name w:val="HTML Address Char"/>
    <w:basedOn w:val="DefaultParagraphFont"/>
    <w:link w:val="HTMLAddress"/>
    <w:uiPriority w:val="99"/>
    <w:semiHidden/>
    <w:rsid w:val="007541BC"/>
    <w:rPr>
      <w:i/>
      <w:iCs/>
    </w:rPr>
  </w:style>
  <w:style w:type="character" w:styleId="HTMLAcronym">
    <w:name w:val="HTML Acronym"/>
    <w:basedOn w:val="DefaultParagraphFont"/>
    <w:uiPriority w:val="99"/>
    <w:semiHidden/>
    <w:rsid w:val="007541BC"/>
  </w:style>
  <w:style w:type="character" w:styleId="HTMLCite">
    <w:name w:val="HTML Cite"/>
    <w:basedOn w:val="DefaultParagraphFont"/>
    <w:uiPriority w:val="99"/>
    <w:semiHidden/>
    <w:rsid w:val="007541BC"/>
    <w:rPr>
      <w:i/>
      <w:iCs/>
    </w:rPr>
  </w:style>
  <w:style w:type="character" w:styleId="HTMLDefinition">
    <w:name w:val="HTML Definition"/>
    <w:basedOn w:val="DefaultParagraphFont"/>
    <w:uiPriority w:val="99"/>
    <w:semiHidden/>
    <w:rsid w:val="007541BC"/>
    <w:rPr>
      <w:i/>
      <w:iCs/>
    </w:rPr>
  </w:style>
  <w:style w:type="character" w:styleId="HTMLSample">
    <w:name w:val="HTML Sample"/>
    <w:basedOn w:val="DefaultParagraphFont"/>
    <w:uiPriority w:val="99"/>
    <w:semiHidden/>
    <w:rsid w:val="007541BC"/>
    <w:rPr>
      <w:rFonts w:ascii="Consolas" w:hAnsi="Consolas" w:cs="Consolas"/>
      <w:sz w:val="24"/>
      <w:szCs w:val="24"/>
    </w:rPr>
  </w:style>
  <w:style w:type="paragraph" w:styleId="HTMLPreformatted">
    <w:name w:val="HTML Preformatted"/>
    <w:basedOn w:val="Normal"/>
    <w:link w:val="HTMLPreformattedChar"/>
    <w:uiPriority w:val="99"/>
    <w:semiHidden/>
    <w:rsid w:val="007541BC"/>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541BC"/>
    <w:rPr>
      <w:rFonts w:ascii="Consolas" w:hAnsi="Consolas" w:cs="Consolas"/>
      <w:sz w:val="20"/>
      <w:szCs w:val="20"/>
    </w:rPr>
  </w:style>
  <w:style w:type="character" w:styleId="HTMLCode">
    <w:name w:val="HTML Code"/>
    <w:basedOn w:val="DefaultParagraphFont"/>
    <w:uiPriority w:val="99"/>
    <w:semiHidden/>
    <w:rsid w:val="007541BC"/>
    <w:rPr>
      <w:rFonts w:ascii="Consolas" w:hAnsi="Consolas" w:cs="Consolas"/>
      <w:sz w:val="20"/>
      <w:szCs w:val="20"/>
    </w:rPr>
  </w:style>
  <w:style w:type="character" w:styleId="HTMLTypewriter">
    <w:name w:val="HTML Typewriter"/>
    <w:basedOn w:val="DefaultParagraphFont"/>
    <w:uiPriority w:val="99"/>
    <w:semiHidden/>
    <w:rsid w:val="007541BC"/>
    <w:rPr>
      <w:rFonts w:ascii="Consolas" w:hAnsi="Consolas" w:cs="Consolas"/>
      <w:sz w:val="20"/>
      <w:szCs w:val="20"/>
    </w:rPr>
  </w:style>
  <w:style w:type="character" w:styleId="HTMLKeyboard">
    <w:name w:val="HTML Keyboard"/>
    <w:basedOn w:val="DefaultParagraphFont"/>
    <w:uiPriority w:val="99"/>
    <w:semiHidden/>
    <w:rsid w:val="007541BC"/>
    <w:rPr>
      <w:rFonts w:ascii="Consolas" w:hAnsi="Consolas" w:cs="Consolas"/>
      <w:sz w:val="20"/>
      <w:szCs w:val="20"/>
    </w:rPr>
  </w:style>
  <w:style w:type="character" w:styleId="HTMLVariable">
    <w:name w:val="HTML Variable"/>
    <w:basedOn w:val="DefaultParagraphFont"/>
    <w:uiPriority w:val="99"/>
    <w:semiHidden/>
    <w:rsid w:val="007541BC"/>
    <w:rPr>
      <w:i/>
      <w:iCs/>
    </w:rPr>
  </w:style>
  <w:style w:type="character" w:styleId="Hyperlink">
    <w:name w:val="Hyperlink"/>
    <w:basedOn w:val="DefaultParagraphFont"/>
    <w:uiPriority w:val="99"/>
    <w:semiHidden/>
    <w:rsid w:val="007541BC"/>
    <w:rPr>
      <w:color w:val="0563C1" w:themeColor="hyperlink"/>
      <w:u w:val="single"/>
    </w:rPr>
  </w:style>
  <w:style w:type="paragraph" w:styleId="Index1">
    <w:name w:val="index 1"/>
    <w:basedOn w:val="Normal"/>
    <w:next w:val="Normal"/>
    <w:uiPriority w:val="99"/>
    <w:semiHidden/>
    <w:rsid w:val="007541BC"/>
    <w:pPr>
      <w:spacing w:line="240" w:lineRule="auto"/>
      <w:ind w:left="220" w:hanging="220"/>
    </w:pPr>
  </w:style>
  <w:style w:type="paragraph" w:styleId="Index2">
    <w:name w:val="index 2"/>
    <w:basedOn w:val="Normal"/>
    <w:next w:val="Normal"/>
    <w:uiPriority w:val="99"/>
    <w:semiHidden/>
    <w:rsid w:val="007541BC"/>
    <w:pPr>
      <w:spacing w:line="240" w:lineRule="auto"/>
      <w:ind w:left="440" w:hanging="220"/>
    </w:pPr>
  </w:style>
  <w:style w:type="paragraph" w:styleId="Index3">
    <w:name w:val="index 3"/>
    <w:basedOn w:val="Normal"/>
    <w:next w:val="Normal"/>
    <w:uiPriority w:val="99"/>
    <w:semiHidden/>
    <w:rsid w:val="007541BC"/>
    <w:pPr>
      <w:spacing w:line="240" w:lineRule="auto"/>
      <w:ind w:left="660" w:hanging="220"/>
    </w:pPr>
  </w:style>
  <w:style w:type="paragraph" w:styleId="Index4">
    <w:name w:val="index 4"/>
    <w:basedOn w:val="Normal"/>
    <w:next w:val="Normal"/>
    <w:uiPriority w:val="99"/>
    <w:semiHidden/>
    <w:rsid w:val="007541BC"/>
    <w:pPr>
      <w:spacing w:line="240" w:lineRule="auto"/>
      <w:ind w:left="880" w:hanging="220"/>
    </w:pPr>
  </w:style>
  <w:style w:type="paragraph" w:styleId="Index5">
    <w:name w:val="index 5"/>
    <w:basedOn w:val="Normal"/>
    <w:next w:val="Normal"/>
    <w:uiPriority w:val="99"/>
    <w:semiHidden/>
    <w:rsid w:val="007541BC"/>
    <w:pPr>
      <w:spacing w:line="240" w:lineRule="auto"/>
      <w:ind w:left="1100" w:hanging="220"/>
    </w:pPr>
  </w:style>
  <w:style w:type="paragraph" w:styleId="Index6">
    <w:name w:val="index 6"/>
    <w:basedOn w:val="Normal"/>
    <w:next w:val="Normal"/>
    <w:uiPriority w:val="99"/>
    <w:semiHidden/>
    <w:rsid w:val="007541BC"/>
    <w:pPr>
      <w:spacing w:line="240" w:lineRule="auto"/>
      <w:ind w:left="1320" w:hanging="220"/>
    </w:pPr>
  </w:style>
  <w:style w:type="paragraph" w:styleId="Index7">
    <w:name w:val="index 7"/>
    <w:basedOn w:val="Normal"/>
    <w:next w:val="Normal"/>
    <w:uiPriority w:val="99"/>
    <w:semiHidden/>
    <w:rsid w:val="007541BC"/>
    <w:pPr>
      <w:spacing w:line="240" w:lineRule="auto"/>
      <w:ind w:left="1540" w:hanging="220"/>
    </w:pPr>
  </w:style>
  <w:style w:type="paragraph" w:styleId="Index8">
    <w:name w:val="index 8"/>
    <w:basedOn w:val="Normal"/>
    <w:next w:val="Normal"/>
    <w:uiPriority w:val="99"/>
    <w:semiHidden/>
    <w:rsid w:val="007541BC"/>
    <w:pPr>
      <w:spacing w:line="240" w:lineRule="auto"/>
      <w:ind w:left="1760" w:hanging="220"/>
    </w:pPr>
  </w:style>
  <w:style w:type="paragraph" w:styleId="Index9">
    <w:name w:val="index 9"/>
    <w:basedOn w:val="Normal"/>
    <w:next w:val="Normal"/>
    <w:uiPriority w:val="99"/>
    <w:semiHidden/>
    <w:rsid w:val="007541BC"/>
    <w:pPr>
      <w:spacing w:line="240" w:lineRule="auto"/>
      <w:ind w:left="1980" w:hanging="220"/>
    </w:pPr>
  </w:style>
  <w:style w:type="paragraph" w:styleId="IndexHeading">
    <w:name w:val="index heading"/>
    <w:basedOn w:val="Normal"/>
    <w:next w:val="Index1"/>
    <w:uiPriority w:val="99"/>
    <w:semiHidden/>
    <w:rsid w:val="007541BC"/>
    <w:rPr>
      <w:rFonts w:asciiTheme="majorHAnsi" w:eastAsiaTheme="majorEastAsia" w:hAnsiTheme="majorHAnsi" w:cstheme="majorBidi"/>
      <w:b/>
      <w:bCs/>
    </w:rPr>
  </w:style>
  <w:style w:type="paragraph" w:styleId="BlockText">
    <w:name w:val="Block Text"/>
    <w:basedOn w:val="Normal"/>
    <w:uiPriority w:val="99"/>
    <w:semiHidden/>
    <w:rsid w:val="007541BC"/>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rsid w:val="007541BC"/>
    <w:pPr>
      <w:spacing w:line="240" w:lineRule="auto"/>
    </w:pPr>
  </w:style>
  <w:style w:type="paragraph" w:styleId="Salutation">
    <w:name w:val="Salutation"/>
    <w:basedOn w:val="Normal"/>
    <w:next w:val="Normal"/>
    <w:link w:val="SalutationChar"/>
    <w:uiPriority w:val="99"/>
    <w:semiHidden/>
    <w:rsid w:val="007541BC"/>
  </w:style>
  <w:style w:type="character" w:customStyle="1" w:styleId="SalutationChar">
    <w:name w:val="Salutation Char"/>
    <w:basedOn w:val="DefaultParagraphFont"/>
    <w:link w:val="Salutation"/>
    <w:uiPriority w:val="99"/>
    <w:semiHidden/>
    <w:rsid w:val="007541BC"/>
  </w:style>
  <w:style w:type="paragraph" w:styleId="TOC1">
    <w:name w:val="toc 1"/>
    <w:basedOn w:val="Normal"/>
    <w:next w:val="Normal"/>
    <w:uiPriority w:val="99"/>
    <w:semiHidden/>
    <w:rsid w:val="007541BC"/>
    <w:pPr>
      <w:spacing w:after="100"/>
    </w:pPr>
  </w:style>
  <w:style w:type="paragraph" w:styleId="TOC2">
    <w:name w:val="toc 2"/>
    <w:basedOn w:val="Normal"/>
    <w:next w:val="Normal"/>
    <w:uiPriority w:val="99"/>
    <w:semiHidden/>
    <w:rsid w:val="007541BC"/>
    <w:pPr>
      <w:spacing w:after="100"/>
      <w:ind w:left="220"/>
    </w:pPr>
  </w:style>
  <w:style w:type="paragraph" w:styleId="TOC3">
    <w:name w:val="toc 3"/>
    <w:basedOn w:val="Normal"/>
    <w:next w:val="Normal"/>
    <w:uiPriority w:val="99"/>
    <w:semiHidden/>
    <w:rsid w:val="007541BC"/>
    <w:pPr>
      <w:spacing w:after="100"/>
      <w:ind w:left="440"/>
    </w:pPr>
  </w:style>
  <w:style w:type="paragraph" w:styleId="TOC4">
    <w:name w:val="toc 4"/>
    <w:basedOn w:val="Normal"/>
    <w:next w:val="Normal"/>
    <w:uiPriority w:val="99"/>
    <w:semiHidden/>
    <w:rsid w:val="007541BC"/>
    <w:pPr>
      <w:spacing w:after="100"/>
      <w:ind w:left="660"/>
    </w:pPr>
  </w:style>
  <w:style w:type="paragraph" w:styleId="TOC5">
    <w:name w:val="toc 5"/>
    <w:basedOn w:val="Normal"/>
    <w:next w:val="Normal"/>
    <w:uiPriority w:val="99"/>
    <w:semiHidden/>
    <w:rsid w:val="007541BC"/>
    <w:pPr>
      <w:spacing w:after="100"/>
      <w:ind w:left="880"/>
    </w:pPr>
  </w:style>
  <w:style w:type="paragraph" w:styleId="TOC6">
    <w:name w:val="toc 6"/>
    <w:basedOn w:val="Normal"/>
    <w:next w:val="Normal"/>
    <w:uiPriority w:val="99"/>
    <w:semiHidden/>
    <w:rsid w:val="007541BC"/>
    <w:pPr>
      <w:spacing w:after="100"/>
      <w:ind w:left="1100"/>
    </w:pPr>
  </w:style>
  <w:style w:type="paragraph" w:styleId="TOC7">
    <w:name w:val="toc 7"/>
    <w:basedOn w:val="Normal"/>
    <w:next w:val="Normal"/>
    <w:uiPriority w:val="99"/>
    <w:semiHidden/>
    <w:rsid w:val="007541BC"/>
    <w:pPr>
      <w:spacing w:after="100"/>
      <w:ind w:left="1320"/>
    </w:pPr>
  </w:style>
  <w:style w:type="paragraph" w:styleId="TOC8">
    <w:name w:val="toc 8"/>
    <w:basedOn w:val="Normal"/>
    <w:next w:val="Normal"/>
    <w:uiPriority w:val="99"/>
    <w:semiHidden/>
    <w:rsid w:val="007541BC"/>
    <w:pPr>
      <w:spacing w:after="100"/>
      <w:ind w:left="1540"/>
    </w:pPr>
  </w:style>
  <w:style w:type="paragraph" w:styleId="TOC9">
    <w:name w:val="toc 9"/>
    <w:basedOn w:val="Normal"/>
    <w:next w:val="Normal"/>
    <w:uiPriority w:val="99"/>
    <w:semiHidden/>
    <w:rsid w:val="007541BC"/>
    <w:pPr>
      <w:spacing w:after="100"/>
      <w:ind w:left="1760"/>
    </w:pPr>
  </w:style>
  <w:style w:type="character" w:customStyle="1" w:styleId="Heading1Char">
    <w:name w:val="Heading 1 Char"/>
    <w:basedOn w:val="DefaultParagraphFont"/>
    <w:link w:val="Heading1"/>
    <w:uiPriority w:val="1"/>
    <w:rsid w:val="0001576D"/>
    <w:rPr>
      <w:rFonts w:asciiTheme="majorHAnsi" w:eastAsiaTheme="majorEastAsia" w:hAnsiTheme="majorHAnsi" w:cstheme="majorBidi"/>
      <w:b/>
      <w:sz w:val="28"/>
      <w:szCs w:val="32"/>
    </w:rPr>
  </w:style>
  <w:style w:type="paragraph" w:styleId="TOCHeading">
    <w:name w:val="TOC Heading"/>
    <w:basedOn w:val="Heading1"/>
    <w:next w:val="Normal"/>
    <w:uiPriority w:val="99"/>
    <w:semiHidden/>
    <w:rsid w:val="007541BC"/>
    <w:pPr>
      <w:outlineLvl w:val="9"/>
    </w:pPr>
  </w:style>
  <w:style w:type="paragraph" w:styleId="CommentText">
    <w:name w:val="annotation text"/>
    <w:basedOn w:val="Normal"/>
    <w:link w:val="CommentTextChar"/>
    <w:uiPriority w:val="99"/>
    <w:rsid w:val="007541BC"/>
    <w:pPr>
      <w:spacing w:line="240" w:lineRule="auto"/>
    </w:pPr>
    <w:rPr>
      <w:sz w:val="20"/>
      <w:szCs w:val="20"/>
    </w:rPr>
  </w:style>
  <w:style w:type="character" w:customStyle="1" w:styleId="CommentTextChar">
    <w:name w:val="Comment Text Char"/>
    <w:basedOn w:val="DefaultParagraphFont"/>
    <w:link w:val="CommentText"/>
    <w:uiPriority w:val="99"/>
    <w:rsid w:val="007541BC"/>
    <w:rPr>
      <w:sz w:val="20"/>
      <w:szCs w:val="20"/>
    </w:rPr>
  </w:style>
  <w:style w:type="character" w:styleId="CommentReference">
    <w:name w:val="annotation reference"/>
    <w:basedOn w:val="DefaultParagraphFont"/>
    <w:uiPriority w:val="99"/>
    <w:semiHidden/>
    <w:rsid w:val="007541BC"/>
    <w:rPr>
      <w:sz w:val="16"/>
      <w:szCs w:val="16"/>
    </w:rPr>
  </w:style>
  <w:style w:type="paragraph" w:styleId="CommentSubject">
    <w:name w:val="annotation subject"/>
    <w:basedOn w:val="CommentText"/>
    <w:next w:val="CommentText"/>
    <w:link w:val="CommentSubjectChar"/>
    <w:uiPriority w:val="99"/>
    <w:semiHidden/>
    <w:rsid w:val="007541BC"/>
    <w:rPr>
      <w:b/>
      <w:bCs/>
    </w:rPr>
  </w:style>
  <w:style w:type="character" w:customStyle="1" w:styleId="CommentSubjectChar">
    <w:name w:val="Comment Subject Char"/>
    <w:basedOn w:val="CommentTextChar"/>
    <w:link w:val="CommentSubject"/>
    <w:uiPriority w:val="99"/>
    <w:semiHidden/>
    <w:rsid w:val="007541BC"/>
    <w:rPr>
      <w:b/>
      <w:bCs/>
      <w:sz w:val="20"/>
      <w:szCs w:val="20"/>
    </w:rPr>
  </w:style>
  <w:style w:type="paragraph" w:styleId="List">
    <w:name w:val="List"/>
    <w:basedOn w:val="Normal"/>
    <w:uiPriority w:val="99"/>
    <w:semiHidden/>
    <w:rsid w:val="007541BC"/>
    <w:pPr>
      <w:ind w:left="283" w:hanging="283"/>
      <w:contextualSpacing/>
    </w:pPr>
  </w:style>
  <w:style w:type="paragraph" w:styleId="List2">
    <w:name w:val="List 2"/>
    <w:basedOn w:val="Normal"/>
    <w:uiPriority w:val="99"/>
    <w:semiHidden/>
    <w:rsid w:val="007541BC"/>
    <w:pPr>
      <w:ind w:left="566" w:hanging="283"/>
      <w:contextualSpacing/>
    </w:pPr>
  </w:style>
  <w:style w:type="paragraph" w:styleId="List3">
    <w:name w:val="List 3"/>
    <w:basedOn w:val="Normal"/>
    <w:uiPriority w:val="99"/>
    <w:semiHidden/>
    <w:rsid w:val="007541BC"/>
    <w:pPr>
      <w:ind w:left="849" w:hanging="283"/>
      <w:contextualSpacing/>
    </w:pPr>
  </w:style>
  <w:style w:type="paragraph" w:styleId="List4">
    <w:name w:val="List 4"/>
    <w:basedOn w:val="Normal"/>
    <w:uiPriority w:val="99"/>
    <w:semiHidden/>
    <w:rsid w:val="007541BC"/>
    <w:pPr>
      <w:ind w:left="1132" w:hanging="283"/>
      <w:contextualSpacing/>
    </w:pPr>
  </w:style>
  <w:style w:type="paragraph" w:styleId="List5">
    <w:name w:val="List 5"/>
    <w:basedOn w:val="Normal"/>
    <w:uiPriority w:val="99"/>
    <w:semiHidden/>
    <w:rsid w:val="007541BC"/>
    <w:pPr>
      <w:ind w:left="1415" w:hanging="283"/>
      <w:contextualSpacing/>
    </w:pPr>
  </w:style>
  <w:style w:type="paragraph" w:styleId="ListContinue">
    <w:name w:val="List Continue"/>
    <w:basedOn w:val="Normal"/>
    <w:uiPriority w:val="99"/>
    <w:semiHidden/>
    <w:rsid w:val="007541BC"/>
    <w:pPr>
      <w:spacing w:after="120"/>
      <w:ind w:left="283"/>
      <w:contextualSpacing/>
    </w:pPr>
  </w:style>
  <w:style w:type="paragraph" w:styleId="ListContinue2">
    <w:name w:val="List Continue 2"/>
    <w:basedOn w:val="Normal"/>
    <w:uiPriority w:val="99"/>
    <w:semiHidden/>
    <w:rsid w:val="007541BC"/>
    <w:pPr>
      <w:spacing w:after="120"/>
      <w:ind w:left="566"/>
      <w:contextualSpacing/>
    </w:pPr>
  </w:style>
  <w:style w:type="paragraph" w:styleId="ListContinue3">
    <w:name w:val="List Continue 3"/>
    <w:basedOn w:val="Normal"/>
    <w:uiPriority w:val="99"/>
    <w:semiHidden/>
    <w:rsid w:val="007541BC"/>
    <w:pPr>
      <w:spacing w:after="120"/>
      <w:ind w:left="849"/>
      <w:contextualSpacing/>
    </w:pPr>
  </w:style>
  <w:style w:type="paragraph" w:styleId="ListContinue4">
    <w:name w:val="List Continue 4"/>
    <w:basedOn w:val="Normal"/>
    <w:uiPriority w:val="99"/>
    <w:semiHidden/>
    <w:rsid w:val="007541BC"/>
    <w:pPr>
      <w:spacing w:after="120"/>
      <w:ind w:left="1132"/>
      <w:contextualSpacing/>
    </w:pPr>
  </w:style>
  <w:style w:type="paragraph" w:styleId="ListContinue5">
    <w:name w:val="List Continue 5"/>
    <w:basedOn w:val="Normal"/>
    <w:uiPriority w:val="99"/>
    <w:semiHidden/>
    <w:rsid w:val="007541BC"/>
    <w:pPr>
      <w:spacing w:after="120"/>
      <w:ind w:left="1415"/>
      <w:contextualSpacing/>
    </w:pPr>
  </w:style>
  <w:style w:type="paragraph" w:styleId="ListParagraph">
    <w:name w:val="List Paragraph"/>
    <w:basedOn w:val="Normal"/>
    <w:uiPriority w:val="99"/>
    <w:semiHidden/>
    <w:rsid w:val="007541BC"/>
    <w:pPr>
      <w:ind w:left="720"/>
      <w:contextualSpacing/>
    </w:pPr>
  </w:style>
  <w:style w:type="paragraph" w:styleId="Bibliography">
    <w:name w:val="Bibliography"/>
    <w:basedOn w:val="Normal"/>
    <w:next w:val="Normal"/>
    <w:uiPriority w:val="99"/>
    <w:semiHidden/>
    <w:rsid w:val="007541BC"/>
  </w:style>
  <w:style w:type="paragraph" w:styleId="MacroText">
    <w:name w:val="macro"/>
    <w:link w:val="MacroTextChar"/>
    <w:uiPriority w:val="99"/>
    <w:semiHidden/>
    <w:rsid w:val="007541B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7541BC"/>
    <w:rPr>
      <w:rFonts w:ascii="Consolas" w:hAnsi="Consolas" w:cs="Consolas"/>
      <w:sz w:val="20"/>
      <w:szCs w:val="20"/>
    </w:rPr>
  </w:style>
  <w:style w:type="paragraph" w:styleId="MessageHeader">
    <w:name w:val="Message Header"/>
    <w:basedOn w:val="Normal"/>
    <w:link w:val="MessageHeaderChar"/>
    <w:uiPriority w:val="99"/>
    <w:semiHidden/>
    <w:rsid w:val="007541B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41BC"/>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541BC"/>
    <w:rPr>
      <w:rFonts w:ascii="Times New Roman" w:hAnsi="Times New Roman" w:cs="Times New Roman"/>
      <w:sz w:val="24"/>
      <w:szCs w:val="24"/>
    </w:rPr>
  </w:style>
  <w:style w:type="paragraph" w:styleId="NormalIndent">
    <w:name w:val="Normal Indent"/>
    <w:basedOn w:val="Normal"/>
    <w:uiPriority w:val="99"/>
    <w:semiHidden/>
    <w:rsid w:val="007541BC"/>
    <w:pPr>
      <w:ind w:left="1304"/>
    </w:pPr>
  </w:style>
  <w:style w:type="paragraph" w:styleId="ListNumber">
    <w:name w:val="List Number"/>
    <w:basedOn w:val="Normal"/>
    <w:uiPriority w:val="4"/>
    <w:qFormat/>
    <w:rsid w:val="007541BC"/>
    <w:pPr>
      <w:numPr>
        <w:numId w:val="2"/>
      </w:numPr>
      <w:contextualSpacing/>
    </w:pPr>
  </w:style>
  <w:style w:type="paragraph" w:styleId="ListNumber2">
    <w:name w:val="List Number 2"/>
    <w:basedOn w:val="Normal"/>
    <w:uiPriority w:val="99"/>
    <w:semiHidden/>
    <w:rsid w:val="007541BC"/>
    <w:pPr>
      <w:numPr>
        <w:numId w:val="3"/>
      </w:numPr>
      <w:contextualSpacing/>
    </w:pPr>
  </w:style>
  <w:style w:type="paragraph" w:styleId="ListNumber3">
    <w:name w:val="List Number 3"/>
    <w:basedOn w:val="Normal"/>
    <w:uiPriority w:val="99"/>
    <w:semiHidden/>
    <w:rsid w:val="007541BC"/>
    <w:pPr>
      <w:numPr>
        <w:numId w:val="4"/>
      </w:numPr>
      <w:contextualSpacing/>
    </w:pPr>
  </w:style>
  <w:style w:type="paragraph" w:styleId="ListNumber4">
    <w:name w:val="List Number 4"/>
    <w:basedOn w:val="Normal"/>
    <w:uiPriority w:val="99"/>
    <w:semiHidden/>
    <w:rsid w:val="007541BC"/>
    <w:pPr>
      <w:numPr>
        <w:numId w:val="5"/>
      </w:numPr>
      <w:contextualSpacing/>
    </w:pPr>
  </w:style>
  <w:style w:type="paragraph" w:styleId="ListNumber5">
    <w:name w:val="List Number 5"/>
    <w:basedOn w:val="Normal"/>
    <w:uiPriority w:val="99"/>
    <w:semiHidden/>
    <w:rsid w:val="007541BC"/>
    <w:pPr>
      <w:numPr>
        <w:numId w:val="6"/>
      </w:numPr>
      <w:contextualSpacing/>
    </w:pPr>
  </w:style>
  <w:style w:type="paragraph" w:styleId="PlainText">
    <w:name w:val="Plain Text"/>
    <w:basedOn w:val="Normal"/>
    <w:link w:val="PlainTextChar"/>
    <w:uiPriority w:val="99"/>
    <w:semiHidden/>
    <w:rsid w:val="007541BC"/>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541BC"/>
    <w:rPr>
      <w:rFonts w:ascii="Consolas" w:hAnsi="Consolas" w:cs="Consolas"/>
      <w:sz w:val="21"/>
      <w:szCs w:val="21"/>
    </w:rPr>
  </w:style>
  <w:style w:type="character" w:styleId="PlaceholderText">
    <w:name w:val="Placeholder Text"/>
    <w:basedOn w:val="DefaultParagraphFont"/>
    <w:uiPriority w:val="99"/>
    <w:semiHidden/>
    <w:rsid w:val="007541BC"/>
    <w:rPr>
      <w:color w:val="808080"/>
    </w:rPr>
  </w:style>
  <w:style w:type="paragraph" w:styleId="ListBullet">
    <w:name w:val="List Bullet"/>
    <w:basedOn w:val="Normal"/>
    <w:uiPriority w:val="4"/>
    <w:qFormat/>
    <w:rsid w:val="007541BC"/>
    <w:pPr>
      <w:numPr>
        <w:numId w:val="7"/>
      </w:numPr>
      <w:contextualSpacing/>
    </w:pPr>
  </w:style>
  <w:style w:type="paragraph" w:styleId="ListBullet2">
    <w:name w:val="List Bullet 2"/>
    <w:basedOn w:val="Normal"/>
    <w:uiPriority w:val="99"/>
    <w:semiHidden/>
    <w:rsid w:val="007541BC"/>
    <w:pPr>
      <w:numPr>
        <w:numId w:val="8"/>
      </w:numPr>
      <w:contextualSpacing/>
    </w:pPr>
  </w:style>
  <w:style w:type="paragraph" w:styleId="ListBullet3">
    <w:name w:val="List Bullet 3"/>
    <w:basedOn w:val="Normal"/>
    <w:uiPriority w:val="99"/>
    <w:semiHidden/>
    <w:rsid w:val="007541BC"/>
    <w:pPr>
      <w:numPr>
        <w:numId w:val="9"/>
      </w:numPr>
      <w:contextualSpacing/>
    </w:pPr>
  </w:style>
  <w:style w:type="paragraph" w:styleId="ListBullet4">
    <w:name w:val="List Bullet 4"/>
    <w:basedOn w:val="Normal"/>
    <w:uiPriority w:val="99"/>
    <w:semiHidden/>
    <w:rsid w:val="007541BC"/>
    <w:pPr>
      <w:numPr>
        <w:numId w:val="10"/>
      </w:numPr>
      <w:contextualSpacing/>
    </w:pPr>
  </w:style>
  <w:style w:type="paragraph" w:styleId="ListBullet5">
    <w:name w:val="List Bullet 5"/>
    <w:basedOn w:val="Normal"/>
    <w:uiPriority w:val="99"/>
    <w:semiHidden/>
    <w:rsid w:val="007541BC"/>
    <w:pPr>
      <w:numPr>
        <w:numId w:val="11"/>
      </w:numPr>
      <w:contextualSpacing/>
    </w:pPr>
  </w:style>
  <w:style w:type="character" w:styleId="LineNumber">
    <w:name w:val="line number"/>
    <w:basedOn w:val="DefaultParagraphFont"/>
    <w:uiPriority w:val="99"/>
    <w:semiHidden/>
    <w:rsid w:val="007541BC"/>
  </w:style>
  <w:style w:type="paragraph" w:styleId="Title">
    <w:name w:val="Title"/>
    <w:basedOn w:val="Normal"/>
    <w:next w:val="Normal"/>
    <w:link w:val="TitleChar"/>
    <w:uiPriority w:val="99"/>
    <w:semiHidden/>
    <w:rsid w:val="007541B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1B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1"/>
    <w:rsid w:val="0001576D"/>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1"/>
    <w:rsid w:val="0001576D"/>
    <w:rPr>
      <w:rFonts w:asciiTheme="majorHAnsi" w:eastAsiaTheme="majorEastAsia" w:hAnsiTheme="majorHAnsi" w:cstheme="majorBidi"/>
      <w:b/>
      <w:i/>
      <w:szCs w:val="24"/>
    </w:rPr>
  </w:style>
  <w:style w:type="character" w:customStyle="1" w:styleId="Heading4Char">
    <w:name w:val="Heading 4 Char"/>
    <w:basedOn w:val="DefaultParagraphFont"/>
    <w:link w:val="Heading4"/>
    <w:uiPriority w:val="9"/>
    <w:semiHidden/>
    <w:rsid w:val="007541B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541B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541B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541B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541B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41BC"/>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semiHidden/>
    <w:rsid w:val="00EF48AD"/>
    <w:pPr>
      <w:tabs>
        <w:tab w:val="center" w:pos="4536"/>
        <w:tab w:val="right" w:pos="9072"/>
      </w:tabs>
      <w:spacing w:before="40" w:line="240" w:lineRule="auto"/>
    </w:pPr>
    <w:rPr>
      <w:noProof/>
      <w:sz w:val="15"/>
    </w:rPr>
  </w:style>
  <w:style w:type="character" w:customStyle="1" w:styleId="FooterChar">
    <w:name w:val="Footer Char"/>
    <w:basedOn w:val="DefaultParagraphFont"/>
    <w:link w:val="Footer"/>
    <w:uiPriority w:val="99"/>
    <w:semiHidden/>
    <w:rsid w:val="00EF48AD"/>
    <w:rPr>
      <w:noProof/>
      <w:sz w:val="15"/>
    </w:rPr>
  </w:style>
  <w:style w:type="paragraph" w:styleId="Header">
    <w:name w:val="header"/>
    <w:basedOn w:val="Normal"/>
    <w:link w:val="HeaderChar"/>
    <w:uiPriority w:val="99"/>
    <w:semiHidden/>
    <w:rsid w:val="00044907"/>
    <w:pPr>
      <w:tabs>
        <w:tab w:val="left" w:pos="4139"/>
        <w:tab w:val="left" w:pos="6747"/>
        <w:tab w:val="left" w:pos="7966"/>
      </w:tabs>
      <w:spacing w:line="240" w:lineRule="auto"/>
      <w:ind w:left="-1191" w:right="-964"/>
    </w:pPr>
    <w:rPr>
      <w:noProof/>
    </w:rPr>
  </w:style>
  <w:style w:type="character" w:customStyle="1" w:styleId="HeaderChar">
    <w:name w:val="Header Char"/>
    <w:basedOn w:val="DefaultParagraphFont"/>
    <w:link w:val="Header"/>
    <w:uiPriority w:val="99"/>
    <w:semiHidden/>
    <w:rsid w:val="00044907"/>
    <w:rPr>
      <w:noProof/>
    </w:rPr>
  </w:style>
  <w:style w:type="character" w:styleId="PageNumber">
    <w:name w:val="page number"/>
    <w:basedOn w:val="DefaultParagraphFont"/>
    <w:uiPriority w:val="99"/>
    <w:semiHidden/>
    <w:rsid w:val="007541BC"/>
  </w:style>
  <w:style w:type="paragraph" w:styleId="Signature">
    <w:name w:val="Signature"/>
    <w:basedOn w:val="Normal"/>
    <w:link w:val="SignatureChar"/>
    <w:uiPriority w:val="99"/>
    <w:semiHidden/>
    <w:rsid w:val="007541BC"/>
    <w:pPr>
      <w:spacing w:line="240" w:lineRule="auto"/>
      <w:ind w:left="4252"/>
    </w:pPr>
  </w:style>
  <w:style w:type="character" w:customStyle="1" w:styleId="SignatureChar">
    <w:name w:val="Signature Char"/>
    <w:basedOn w:val="DefaultParagraphFont"/>
    <w:link w:val="Signature"/>
    <w:uiPriority w:val="99"/>
    <w:semiHidden/>
    <w:rsid w:val="007541BC"/>
  </w:style>
  <w:style w:type="paragraph" w:styleId="EndnoteText">
    <w:name w:val="endnote text"/>
    <w:basedOn w:val="Normal"/>
    <w:link w:val="EndnoteTextChar"/>
    <w:uiPriority w:val="99"/>
    <w:semiHidden/>
    <w:rsid w:val="007541BC"/>
    <w:pPr>
      <w:spacing w:line="240" w:lineRule="auto"/>
    </w:pPr>
    <w:rPr>
      <w:sz w:val="20"/>
      <w:szCs w:val="20"/>
    </w:rPr>
  </w:style>
  <w:style w:type="character" w:customStyle="1" w:styleId="EndnoteTextChar">
    <w:name w:val="Endnote Text Char"/>
    <w:basedOn w:val="DefaultParagraphFont"/>
    <w:link w:val="EndnoteText"/>
    <w:uiPriority w:val="99"/>
    <w:semiHidden/>
    <w:rsid w:val="007541BC"/>
    <w:rPr>
      <w:sz w:val="20"/>
      <w:szCs w:val="20"/>
    </w:rPr>
  </w:style>
  <w:style w:type="character" w:styleId="EndnoteReference">
    <w:name w:val="endnote reference"/>
    <w:basedOn w:val="DefaultParagraphFont"/>
    <w:uiPriority w:val="99"/>
    <w:semiHidden/>
    <w:rsid w:val="007541BC"/>
    <w:rPr>
      <w:vertAlign w:val="superscript"/>
    </w:rPr>
  </w:style>
  <w:style w:type="character" w:styleId="Strong">
    <w:name w:val="Strong"/>
    <w:basedOn w:val="DefaultParagraphFont"/>
    <w:uiPriority w:val="99"/>
    <w:semiHidden/>
    <w:rsid w:val="007541BC"/>
    <w:rPr>
      <w:b/>
      <w:bCs/>
    </w:rPr>
  </w:style>
  <w:style w:type="character" w:styleId="IntenseEmphasis">
    <w:name w:val="Intense Emphasis"/>
    <w:basedOn w:val="DefaultParagraphFont"/>
    <w:uiPriority w:val="99"/>
    <w:semiHidden/>
    <w:rsid w:val="007541BC"/>
    <w:rPr>
      <w:i/>
      <w:iCs/>
      <w:color w:val="5B9BD5" w:themeColor="accent1"/>
    </w:rPr>
  </w:style>
  <w:style w:type="character" w:styleId="IntenseReference">
    <w:name w:val="Intense Reference"/>
    <w:basedOn w:val="DefaultParagraphFont"/>
    <w:uiPriority w:val="99"/>
    <w:semiHidden/>
    <w:rsid w:val="007541BC"/>
    <w:rPr>
      <w:b/>
      <w:bCs/>
      <w:smallCaps/>
      <w:color w:val="5B9BD5" w:themeColor="accent1"/>
      <w:spacing w:val="5"/>
    </w:rPr>
  </w:style>
  <w:style w:type="paragraph" w:styleId="IntenseQuote">
    <w:name w:val="Intense Quote"/>
    <w:basedOn w:val="Normal"/>
    <w:next w:val="Normal"/>
    <w:link w:val="IntenseQuoteChar"/>
    <w:uiPriority w:val="99"/>
    <w:semiHidden/>
    <w:rsid w:val="00754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541BC"/>
    <w:rPr>
      <w:i/>
      <w:iCs/>
      <w:color w:val="5B9BD5" w:themeColor="accent1"/>
    </w:rPr>
  </w:style>
  <w:style w:type="paragraph" w:styleId="Subtitle">
    <w:name w:val="Subtitle"/>
    <w:basedOn w:val="Normal"/>
    <w:next w:val="Normal"/>
    <w:link w:val="SubtitleChar"/>
    <w:uiPriority w:val="99"/>
    <w:semiHidden/>
    <w:rsid w:val="007541B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541BC"/>
    <w:rPr>
      <w:rFonts w:eastAsiaTheme="minorEastAsia"/>
      <w:color w:val="5A5A5A" w:themeColor="text1" w:themeTint="A5"/>
      <w:spacing w:val="15"/>
    </w:rPr>
  </w:style>
  <w:style w:type="numbering" w:styleId="1ai">
    <w:name w:val="Outline List 1"/>
    <w:basedOn w:val="NoList"/>
    <w:uiPriority w:val="99"/>
    <w:semiHidden/>
    <w:unhideWhenUsed/>
    <w:rsid w:val="007541BC"/>
    <w:pPr>
      <w:numPr>
        <w:numId w:val="12"/>
      </w:numPr>
    </w:pPr>
  </w:style>
  <w:style w:type="numbering" w:styleId="ArticleSection">
    <w:name w:val="Outline List 3"/>
    <w:basedOn w:val="NoList"/>
    <w:uiPriority w:val="99"/>
    <w:semiHidden/>
    <w:unhideWhenUsed/>
    <w:rsid w:val="007541BC"/>
    <w:pPr>
      <w:numPr>
        <w:numId w:val="13"/>
      </w:numPr>
    </w:pPr>
  </w:style>
  <w:style w:type="table" w:styleId="TableSubtle1">
    <w:name w:val="Table Subtle 1"/>
    <w:basedOn w:val="TableNormal"/>
    <w:uiPriority w:val="99"/>
    <w:semiHidden/>
    <w:unhideWhenUsed/>
    <w:rsid w:val="007541B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541B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7541B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7541B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541B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541B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ColorfulList">
    <w:name w:val="Colorful List"/>
    <w:basedOn w:val="TableNormal"/>
    <w:uiPriority w:val="99"/>
    <w:semiHidden/>
    <w:unhideWhenUsed/>
    <w:rsid w:val="007541B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7541BC"/>
    <w:pPr>
      <w:spacing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99"/>
    <w:semiHidden/>
    <w:unhideWhenUsed/>
    <w:rsid w:val="007541BC"/>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99"/>
    <w:semiHidden/>
    <w:unhideWhenUsed/>
    <w:rsid w:val="007541BC"/>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99"/>
    <w:semiHidden/>
    <w:unhideWhenUsed/>
    <w:rsid w:val="007541BC"/>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99"/>
    <w:semiHidden/>
    <w:unhideWhenUsed/>
    <w:rsid w:val="007541BC"/>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99"/>
    <w:semiHidden/>
    <w:unhideWhenUsed/>
    <w:rsid w:val="007541BC"/>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99"/>
    <w:semiHidden/>
    <w:unhideWhenUsed/>
    <w:rsid w:val="007541BC"/>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7541BC"/>
    <w:pPr>
      <w:spacing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7541BC"/>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7541BC"/>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99"/>
    <w:semiHidden/>
    <w:unhideWhenUsed/>
    <w:rsid w:val="007541BC"/>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7541BC"/>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7541BC"/>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7541B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541B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541B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99"/>
    <w:semiHidden/>
    <w:unhideWhenUsed/>
    <w:rsid w:val="007541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7541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99"/>
    <w:semiHidden/>
    <w:unhideWhenUsed/>
    <w:rsid w:val="007541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99"/>
    <w:semiHidden/>
    <w:unhideWhenUsed/>
    <w:rsid w:val="007541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99"/>
    <w:semiHidden/>
    <w:unhideWhenUsed/>
    <w:rsid w:val="007541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99"/>
    <w:semiHidden/>
    <w:unhideWhenUsed/>
    <w:rsid w:val="007541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99"/>
    <w:semiHidden/>
    <w:unhideWhenUsed/>
    <w:rsid w:val="007541B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Listtabell1ljus1">
    <w:name w:val="Listtabell 1 ljus1"/>
    <w:basedOn w:val="TableNormal"/>
    <w:uiPriority w:val="99"/>
    <w:semiHidden/>
    <w:rsid w:val="007541B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TableNormal"/>
    <w:uiPriority w:val="99"/>
    <w:semiHidden/>
    <w:rsid w:val="007541BC"/>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ell1ljusdekorfrg21">
    <w:name w:val="Listtabell 1 ljus – dekorfärg 21"/>
    <w:basedOn w:val="TableNormal"/>
    <w:uiPriority w:val="99"/>
    <w:semiHidden/>
    <w:rsid w:val="007541BC"/>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ell1ljusdekorfrg31">
    <w:name w:val="Listtabell 1 ljus – dekorfärg 31"/>
    <w:basedOn w:val="TableNormal"/>
    <w:uiPriority w:val="99"/>
    <w:semiHidden/>
    <w:rsid w:val="007541BC"/>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ell1ljusdekorfrg41">
    <w:name w:val="Listtabell 1 ljus – dekorfärg 41"/>
    <w:basedOn w:val="TableNormal"/>
    <w:uiPriority w:val="99"/>
    <w:semiHidden/>
    <w:rsid w:val="007541BC"/>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ell1ljusdekorfrg51">
    <w:name w:val="Listtabell 1 ljus – dekorfärg 51"/>
    <w:basedOn w:val="TableNormal"/>
    <w:uiPriority w:val="99"/>
    <w:semiHidden/>
    <w:rsid w:val="007541BC"/>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ell1ljusdekorfrg61">
    <w:name w:val="Listtabell 1 ljus – dekorfärg 61"/>
    <w:basedOn w:val="TableNormal"/>
    <w:uiPriority w:val="99"/>
    <w:semiHidden/>
    <w:rsid w:val="007541BC"/>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ell21">
    <w:name w:val="Listtabell 21"/>
    <w:basedOn w:val="TableNormal"/>
    <w:uiPriority w:val="99"/>
    <w:semiHidden/>
    <w:rsid w:val="007541B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TableNormal"/>
    <w:uiPriority w:val="99"/>
    <w:semiHidden/>
    <w:rsid w:val="007541BC"/>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ell2dekorfrg21">
    <w:name w:val="Listtabell 2 – dekorfärg 21"/>
    <w:basedOn w:val="TableNormal"/>
    <w:uiPriority w:val="99"/>
    <w:semiHidden/>
    <w:rsid w:val="007541BC"/>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ell2dekorfrg31">
    <w:name w:val="Listtabell 2 – dekorfärg 31"/>
    <w:basedOn w:val="TableNormal"/>
    <w:uiPriority w:val="99"/>
    <w:semiHidden/>
    <w:rsid w:val="007541BC"/>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ell2dekorfrg41">
    <w:name w:val="Listtabell 2 – dekorfärg 41"/>
    <w:basedOn w:val="TableNormal"/>
    <w:uiPriority w:val="99"/>
    <w:semiHidden/>
    <w:rsid w:val="007541BC"/>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ell2dekorfrg51">
    <w:name w:val="Listtabell 2 – dekorfärg 51"/>
    <w:basedOn w:val="TableNormal"/>
    <w:uiPriority w:val="99"/>
    <w:semiHidden/>
    <w:rsid w:val="007541BC"/>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ell2dekorfrg61">
    <w:name w:val="Listtabell 2 – dekorfärg 61"/>
    <w:basedOn w:val="TableNormal"/>
    <w:uiPriority w:val="99"/>
    <w:semiHidden/>
    <w:rsid w:val="007541BC"/>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ell31">
    <w:name w:val="Listtabell 31"/>
    <w:basedOn w:val="TableNormal"/>
    <w:uiPriority w:val="99"/>
    <w:semiHidden/>
    <w:rsid w:val="007541B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TableNormal"/>
    <w:uiPriority w:val="99"/>
    <w:semiHidden/>
    <w:rsid w:val="007541BC"/>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ell3dekorfrg21">
    <w:name w:val="Listtabell 3 – dekorfärg 21"/>
    <w:basedOn w:val="TableNormal"/>
    <w:uiPriority w:val="99"/>
    <w:semiHidden/>
    <w:rsid w:val="007541BC"/>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ell3dekorfrg31">
    <w:name w:val="Listtabell 3 – dekorfärg 31"/>
    <w:basedOn w:val="TableNormal"/>
    <w:uiPriority w:val="99"/>
    <w:semiHidden/>
    <w:rsid w:val="007541BC"/>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ell3dekorfrg41">
    <w:name w:val="Listtabell 3 – dekorfärg 41"/>
    <w:basedOn w:val="TableNormal"/>
    <w:uiPriority w:val="99"/>
    <w:semiHidden/>
    <w:rsid w:val="007541BC"/>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ell3dekorfrg51">
    <w:name w:val="Listtabell 3 – dekorfärg 51"/>
    <w:basedOn w:val="TableNormal"/>
    <w:uiPriority w:val="99"/>
    <w:semiHidden/>
    <w:rsid w:val="007541BC"/>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ell3dekorfrg61">
    <w:name w:val="Listtabell 3 – dekorfärg 61"/>
    <w:basedOn w:val="TableNormal"/>
    <w:uiPriority w:val="99"/>
    <w:semiHidden/>
    <w:rsid w:val="007541BC"/>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ell41">
    <w:name w:val="Listtabell 41"/>
    <w:basedOn w:val="TableNormal"/>
    <w:uiPriority w:val="99"/>
    <w:semiHidden/>
    <w:rsid w:val="007541B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TableNormal"/>
    <w:uiPriority w:val="99"/>
    <w:semiHidden/>
    <w:rsid w:val="007541BC"/>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ell4dekorfrg21">
    <w:name w:val="Listtabell 4 – dekorfärg 21"/>
    <w:basedOn w:val="TableNormal"/>
    <w:uiPriority w:val="99"/>
    <w:semiHidden/>
    <w:rsid w:val="007541BC"/>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ell4dekorfrg31">
    <w:name w:val="Listtabell 4 – dekorfärg 31"/>
    <w:basedOn w:val="TableNormal"/>
    <w:uiPriority w:val="99"/>
    <w:semiHidden/>
    <w:rsid w:val="007541BC"/>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ell4dekorfrg41">
    <w:name w:val="Listtabell 4 – dekorfärg 41"/>
    <w:basedOn w:val="TableNormal"/>
    <w:uiPriority w:val="99"/>
    <w:semiHidden/>
    <w:rsid w:val="007541BC"/>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ell4dekorfrg51">
    <w:name w:val="Listtabell 4 – dekorfärg 51"/>
    <w:basedOn w:val="TableNormal"/>
    <w:uiPriority w:val="99"/>
    <w:semiHidden/>
    <w:rsid w:val="007541BC"/>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ell4dekorfrg61">
    <w:name w:val="Listtabell 4 – dekorfärg 61"/>
    <w:basedOn w:val="TableNormal"/>
    <w:uiPriority w:val="99"/>
    <w:semiHidden/>
    <w:rsid w:val="007541BC"/>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ell5mrk1">
    <w:name w:val="Listtabell 5 mörk1"/>
    <w:basedOn w:val="TableNormal"/>
    <w:uiPriority w:val="99"/>
    <w:semiHidden/>
    <w:rsid w:val="007541B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TableNormal"/>
    <w:uiPriority w:val="99"/>
    <w:semiHidden/>
    <w:rsid w:val="007541BC"/>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TableNormal"/>
    <w:uiPriority w:val="99"/>
    <w:semiHidden/>
    <w:rsid w:val="007541BC"/>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TableNormal"/>
    <w:uiPriority w:val="99"/>
    <w:semiHidden/>
    <w:rsid w:val="007541BC"/>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TableNormal"/>
    <w:uiPriority w:val="99"/>
    <w:semiHidden/>
    <w:rsid w:val="007541BC"/>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TableNormal"/>
    <w:uiPriority w:val="99"/>
    <w:semiHidden/>
    <w:rsid w:val="007541BC"/>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TableNormal"/>
    <w:uiPriority w:val="99"/>
    <w:semiHidden/>
    <w:rsid w:val="007541BC"/>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TableNormal"/>
    <w:uiPriority w:val="99"/>
    <w:semiHidden/>
    <w:rsid w:val="007541BC"/>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TableNormal"/>
    <w:uiPriority w:val="99"/>
    <w:semiHidden/>
    <w:rsid w:val="007541BC"/>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ell6frgstarkdekorfrg21">
    <w:name w:val="Listtabell 6 färgstark – dekorfärg 21"/>
    <w:basedOn w:val="TableNormal"/>
    <w:uiPriority w:val="99"/>
    <w:semiHidden/>
    <w:rsid w:val="007541BC"/>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ell6frgstarkdekorfrg31">
    <w:name w:val="Listtabell 6 färgstark – dekorfärg 31"/>
    <w:basedOn w:val="TableNormal"/>
    <w:uiPriority w:val="99"/>
    <w:semiHidden/>
    <w:rsid w:val="007541BC"/>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ell6frgstarkdekorfrg41">
    <w:name w:val="Listtabell 6 färgstark – dekorfärg 41"/>
    <w:basedOn w:val="TableNormal"/>
    <w:uiPriority w:val="99"/>
    <w:semiHidden/>
    <w:rsid w:val="007541BC"/>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ell6frgstarkdekorfrg51">
    <w:name w:val="Listtabell 6 färgstark – dekorfärg 51"/>
    <w:basedOn w:val="TableNormal"/>
    <w:uiPriority w:val="99"/>
    <w:semiHidden/>
    <w:rsid w:val="007541BC"/>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ell6frgstarkdekorfrg61">
    <w:name w:val="Listtabell 6 färgstark – dekorfärg 61"/>
    <w:basedOn w:val="TableNormal"/>
    <w:uiPriority w:val="99"/>
    <w:semiHidden/>
    <w:rsid w:val="007541BC"/>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ell7frgstark1">
    <w:name w:val="Listtabell 7 färgstark1"/>
    <w:basedOn w:val="TableNormal"/>
    <w:uiPriority w:val="99"/>
    <w:semiHidden/>
    <w:rsid w:val="007541BC"/>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TableNormal"/>
    <w:uiPriority w:val="99"/>
    <w:semiHidden/>
    <w:rsid w:val="007541BC"/>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TableNormal"/>
    <w:uiPriority w:val="99"/>
    <w:semiHidden/>
    <w:rsid w:val="007541BC"/>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TableNormal"/>
    <w:uiPriority w:val="99"/>
    <w:semiHidden/>
    <w:rsid w:val="007541BC"/>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TableNormal"/>
    <w:uiPriority w:val="99"/>
    <w:semiHidden/>
    <w:rsid w:val="007541BC"/>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TableNormal"/>
    <w:uiPriority w:val="99"/>
    <w:semiHidden/>
    <w:rsid w:val="007541BC"/>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TableNormal"/>
    <w:uiPriority w:val="99"/>
    <w:semiHidden/>
    <w:rsid w:val="007541BC"/>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99"/>
    <w:semiHidden/>
    <w:unhideWhenUsed/>
    <w:rsid w:val="007541B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7541BC"/>
    <w:pPr>
      <w:spacing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99"/>
    <w:semiHidden/>
    <w:unhideWhenUsed/>
    <w:rsid w:val="007541BC"/>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99"/>
    <w:semiHidden/>
    <w:unhideWhenUsed/>
    <w:rsid w:val="007541BC"/>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99"/>
    <w:semiHidden/>
    <w:unhideWhenUsed/>
    <w:rsid w:val="007541BC"/>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99"/>
    <w:semiHidden/>
    <w:unhideWhenUsed/>
    <w:rsid w:val="007541BC"/>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99"/>
    <w:semiHidden/>
    <w:unhideWhenUsed/>
    <w:rsid w:val="007541BC"/>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99"/>
    <w:semiHidden/>
    <w:unhideWhenUsed/>
    <w:rsid w:val="007541B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7541BC"/>
    <w:pPr>
      <w:spacing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99"/>
    <w:semiHidden/>
    <w:unhideWhenUsed/>
    <w:rsid w:val="007541BC"/>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99"/>
    <w:semiHidden/>
    <w:unhideWhenUsed/>
    <w:rsid w:val="007541BC"/>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99"/>
    <w:semiHidden/>
    <w:unhideWhenUsed/>
    <w:rsid w:val="007541BC"/>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99"/>
    <w:semiHidden/>
    <w:unhideWhenUsed/>
    <w:rsid w:val="007541BC"/>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99"/>
    <w:semiHidden/>
    <w:unhideWhenUsed/>
    <w:rsid w:val="007541BC"/>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99"/>
    <w:semiHidden/>
    <w:unhideWhenUsed/>
    <w:rsid w:val="007541B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7541BC"/>
    <w:pPr>
      <w:spacing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99"/>
    <w:semiHidden/>
    <w:unhideWhenUsed/>
    <w:rsid w:val="007541BC"/>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99"/>
    <w:semiHidden/>
    <w:unhideWhenUsed/>
    <w:rsid w:val="007541BC"/>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99"/>
    <w:semiHidden/>
    <w:unhideWhenUsed/>
    <w:rsid w:val="007541BC"/>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99"/>
    <w:semiHidden/>
    <w:unhideWhenUsed/>
    <w:rsid w:val="007541BC"/>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99"/>
    <w:semiHidden/>
    <w:unhideWhenUsed/>
    <w:rsid w:val="007541BC"/>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List1">
    <w:name w:val="Medium List 1"/>
    <w:basedOn w:val="TableNormal"/>
    <w:uiPriority w:val="99"/>
    <w:semiHidden/>
    <w:unhideWhenUsed/>
    <w:rsid w:val="007541B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7541BC"/>
    <w:pPr>
      <w:spacing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99"/>
    <w:semiHidden/>
    <w:unhideWhenUsed/>
    <w:rsid w:val="007541BC"/>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99"/>
    <w:semiHidden/>
    <w:unhideWhenUsed/>
    <w:rsid w:val="007541BC"/>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99"/>
    <w:semiHidden/>
    <w:unhideWhenUsed/>
    <w:rsid w:val="007541BC"/>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99"/>
    <w:semiHidden/>
    <w:unhideWhenUsed/>
    <w:rsid w:val="007541BC"/>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99"/>
    <w:semiHidden/>
    <w:unhideWhenUsed/>
    <w:rsid w:val="007541BC"/>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7541B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7541BC"/>
    <w:pPr>
      <w:spacing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7541BC"/>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7541BC"/>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7541BC"/>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7541BC"/>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7541BC"/>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7541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7541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7541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7541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7541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7541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7541B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99"/>
    <w:semiHidden/>
    <w:unhideWhenUsed/>
    <w:rsid w:val="007541B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7541BC"/>
    <w:pPr>
      <w:spacing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99"/>
    <w:semiHidden/>
    <w:unhideWhenUsed/>
    <w:rsid w:val="007541BC"/>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99"/>
    <w:semiHidden/>
    <w:unhideWhenUsed/>
    <w:rsid w:val="007541BC"/>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99"/>
    <w:semiHidden/>
    <w:unhideWhenUsed/>
    <w:rsid w:val="007541BC"/>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99"/>
    <w:semiHidden/>
    <w:unhideWhenUsed/>
    <w:rsid w:val="007541BC"/>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99"/>
    <w:semiHidden/>
    <w:unhideWhenUsed/>
    <w:rsid w:val="007541BC"/>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7541B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7541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7541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99"/>
    <w:semiHidden/>
    <w:unhideWhenUsed/>
    <w:rsid w:val="007541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99"/>
    <w:semiHidden/>
    <w:unhideWhenUsed/>
    <w:rsid w:val="007541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99"/>
    <w:semiHidden/>
    <w:unhideWhenUsed/>
    <w:rsid w:val="007541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99"/>
    <w:semiHidden/>
    <w:unhideWhenUsed/>
    <w:rsid w:val="007541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99"/>
    <w:semiHidden/>
    <w:unhideWhenUsed/>
    <w:rsid w:val="007541B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Contemporary">
    <w:name w:val="Table Contemporary"/>
    <w:basedOn w:val="TableNormal"/>
    <w:uiPriority w:val="99"/>
    <w:semiHidden/>
    <w:unhideWhenUsed/>
    <w:rsid w:val="007541B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99"/>
    <w:semiHidden/>
    <w:unhideWhenUsed/>
    <w:rsid w:val="007541B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7541BC"/>
    <w:pPr>
      <w:spacing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99"/>
    <w:semiHidden/>
    <w:unhideWhenUsed/>
    <w:rsid w:val="007541BC"/>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99"/>
    <w:semiHidden/>
    <w:unhideWhenUsed/>
    <w:rsid w:val="007541BC"/>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99"/>
    <w:semiHidden/>
    <w:unhideWhenUsed/>
    <w:rsid w:val="007541BC"/>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99"/>
    <w:semiHidden/>
    <w:unhideWhenUsed/>
    <w:rsid w:val="007541BC"/>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99"/>
    <w:semiHidden/>
    <w:unhideWhenUsed/>
    <w:rsid w:val="007541BC"/>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Oformateradtabell11">
    <w:name w:val="Oformaterad tabell 11"/>
    <w:basedOn w:val="TableNormal"/>
    <w:uiPriority w:val="99"/>
    <w:semiHidden/>
    <w:rsid w:val="007541B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TableNormal"/>
    <w:uiPriority w:val="99"/>
    <w:semiHidden/>
    <w:rsid w:val="007541B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TableNormal"/>
    <w:uiPriority w:val="99"/>
    <w:semiHidden/>
    <w:rsid w:val="007541B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TableNormal"/>
    <w:uiPriority w:val="99"/>
    <w:semiHidden/>
    <w:rsid w:val="007541B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TableNormal"/>
    <w:uiPriority w:val="99"/>
    <w:semiHidden/>
    <w:rsid w:val="007541B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Professional">
    <w:name w:val="Table Professional"/>
    <w:basedOn w:val="TableNormal"/>
    <w:uiPriority w:val="99"/>
    <w:semiHidden/>
    <w:unhideWhenUsed/>
    <w:rsid w:val="007541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utntstabell1ljus1">
    <w:name w:val="Rutnätstabell 1 ljus1"/>
    <w:basedOn w:val="TableNormal"/>
    <w:uiPriority w:val="99"/>
    <w:semiHidden/>
    <w:rsid w:val="007541B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TableNormal"/>
    <w:uiPriority w:val="99"/>
    <w:semiHidden/>
    <w:rsid w:val="007541BC"/>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TableNormal"/>
    <w:uiPriority w:val="99"/>
    <w:semiHidden/>
    <w:rsid w:val="007541BC"/>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TableNormal"/>
    <w:uiPriority w:val="99"/>
    <w:semiHidden/>
    <w:rsid w:val="007541BC"/>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TableNormal"/>
    <w:uiPriority w:val="99"/>
    <w:semiHidden/>
    <w:rsid w:val="007541BC"/>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TableNormal"/>
    <w:uiPriority w:val="99"/>
    <w:semiHidden/>
    <w:rsid w:val="007541BC"/>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TableNormal"/>
    <w:uiPriority w:val="99"/>
    <w:semiHidden/>
    <w:rsid w:val="007541BC"/>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Rutntstabell21">
    <w:name w:val="Rutnätstabell 21"/>
    <w:basedOn w:val="TableNormal"/>
    <w:uiPriority w:val="99"/>
    <w:semiHidden/>
    <w:rsid w:val="007541B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TableNormal"/>
    <w:uiPriority w:val="99"/>
    <w:semiHidden/>
    <w:rsid w:val="007541BC"/>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ntstabell2dekorfrg21">
    <w:name w:val="Rutnätstabell 2 – dekorfärg 21"/>
    <w:basedOn w:val="TableNormal"/>
    <w:uiPriority w:val="99"/>
    <w:semiHidden/>
    <w:rsid w:val="007541BC"/>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ntstabell2dekorfrg31">
    <w:name w:val="Rutnätstabell 2 – dekorfärg 31"/>
    <w:basedOn w:val="TableNormal"/>
    <w:uiPriority w:val="99"/>
    <w:semiHidden/>
    <w:rsid w:val="007541BC"/>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ntstabell2dekorfrg41">
    <w:name w:val="Rutnätstabell 2 – dekorfärg 41"/>
    <w:basedOn w:val="TableNormal"/>
    <w:uiPriority w:val="99"/>
    <w:semiHidden/>
    <w:rsid w:val="007541BC"/>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ntstabell2dekorfrg51">
    <w:name w:val="Rutnätstabell 2 – dekorfärg 51"/>
    <w:basedOn w:val="TableNormal"/>
    <w:uiPriority w:val="99"/>
    <w:semiHidden/>
    <w:rsid w:val="007541BC"/>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ntstabell2dekorfrg61">
    <w:name w:val="Rutnätstabell 2 – dekorfärg 61"/>
    <w:basedOn w:val="TableNormal"/>
    <w:uiPriority w:val="99"/>
    <w:semiHidden/>
    <w:rsid w:val="007541BC"/>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ntstabell31">
    <w:name w:val="Rutnätstabell 31"/>
    <w:basedOn w:val="TableNormal"/>
    <w:uiPriority w:val="99"/>
    <w:semiHidden/>
    <w:rsid w:val="007541B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TableNormal"/>
    <w:uiPriority w:val="99"/>
    <w:semiHidden/>
    <w:rsid w:val="007541BC"/>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Rutntstabell3dekorfrg21">
    <w:name w:val="Rutnätstabell 3 – dekorfärg 21"/>
    <w:basedOn w:val="TableNormal"/>
    <w:uiPriority w:val="99"/>
    <w:semiHidden/>
    <w:rsid w:val="007541BC"/>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Rutntstabell3dekorfrg31">
    <w:name w:val="Rutnätstabell 3 – dekorfärg 31"/>
    <w:basedOn w:val="TableNormal"/>
    <w:uiPriority w:val="99"/>
    <w:semiHidden/>
    <w:rsid w:val="007541BC"/>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Rutntstabell3dekorfrg41">
    <w:name w:val="Rutnätstabell 3 – dekorfärg 41"/>
    <w:basedOn w:val="TableNormal"/>
    <w:uiPriority w:val="99"/>
    <w:semiHidden/>
    <w:rsid w:val="007541BC"/>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Rutntstabell3dekorfrg51">
    <w:name w:val="Rutnätstabell 3 – dekorfärg 51"/>
    <w:basedOn w:val="TableNormal"/>
    <w:uiPriority w:val="99"/>
    <w:semiHidden/>
    <w:rsid w:val="007541BC"/>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Rutntstabell3dekorfrg61">
    <w:name w:val="Rutnätstabell 3 – dekorfärg 61"/>
    <w:basedOn w:val="TableNormal"/>
    <w:uiPriority w:val="99"/>
    <w:semiHidden/>
    <w:rsid w:val="007541BC"/>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Rutntstabell41">
    <w:name w:val="Rutnätstabell 41"/>
    <w:basedOn w:val="TableNormal"/>
    <w:uiPriority w:val="99"/>
    <w:semiHidden/>
    <w:rsid w:val="007541B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TableNormal"/>
    <w:uiPriority w:val="99"/>
    <w:semiHidden/>
    <w:rsid w:val="007541BC"/>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ntstabell4dekorfrg21">
    <w:name w:val="Rutnätstabell 4 – dekorfärg 21"/>
    <w:basedOn w:val="TableNormal"/>
    <w:uiPriority w:val="99"/>
    <w:semiHidden/>
    <w:rsid w:val="007541BC"/>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ntstabell4dekorfrg31">
    <w:name w:val="Rutnätstabell 4 – dekorfärg 31"/>
    <w:basedOn w:val="TableNormal"/>
    <w:uiPriority w:val="99"/>
    <w:semiHidden/>
    <w:rsid w:val="007541BC"/>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ntstabell4dekorfrg41">
    <w:name w:val="Rutnätstabell 4 – dekorfärg 41"/>
    <w:basedOn w:val="TableNormal"/>
    <w:uiPriority w:val="99"/>
    <w:semiHidden/>
    <w:rsid w:val="007541BC"/>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ntstabell4dekorfrg51">
    <w:name w:val="Rutnätstabell 4 – dekorfärg 51"/>
    <w:basedOn w:val="TableNormal"/>
    <w:uiPriority w:val="99"/>
    <w:semiHidden/>
    <w:rsid w:val="007541BC"/>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ntstabell4dekorfrg61">
    <w:name w:val="Rutnätstabell 4 – dekorfärg 61"/>
    <w:basedOn w:val="TableNormal"/>
    <w:uiPriority w:val="99"/>
    <w:semiHidden/>
    <w:rsid w:val="007541BC"/>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ntstabell5mrk1">
    <w:name w:val="Rutnätstabell 5 mörk1"/>
    <w:basedOn w:val="TableNormal"/>
    <w:uiPriority w:val="99"/>
    <w:semiHidden/>
    <w:rsid w:val="007541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TableNormal"/>
    <w:uiPriority w:val="99"/>
    <w:semiHidden/>
    <w:rsid w:val="007541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Rutntstabell5mrkdekorfrg21">
    <w:name w:val="Rutnätstabell 5 mörk – dekorfärg 21"/>
    <w:basedOn w:val="TableNormal"/>
    <w:uiPriority w:val="99"/>
    <w:semiHidden/>
    <w:rsid w:val="007541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Rutntstabell5mrkdekorfrg31">
    <w:name w:val="Rutnätstabell 5 mörk – dekorfärg 31"/>
    <w:basedOn w:val="TableNormal"/>
    <w:uiPriority w:val="99"/>
    <w:semiHidden/>
    <w:rsid w:val="007541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Rutntstabell5mrkdekorfrg41">
    <w:name w:val="Rutnätstabell 5 mörk – dekorfärg 41"/>
    <w:basedOn w:val="TableNormal"/>
    <w:uiPriority w:val="99"/>
    <w:semiHidden/>
    <w:rsid w:val="007541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Rutntstabell5mrkdekorfrg51">
    <w:name w:val="Rutnätstabell 5 mörk – dekorfärg 51"/>
    <w:basedOn w:val="TableNormal"/>
    <w:uiPriority w:val="99"/>
    <w:semiHidden/>
    <w:rsid w:val="007541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Rutntstabell5mrkdekorfrg61">
    <w:name w:val="Rutnätstabell 5 mörk – dekorfärg 61"/>
    <w:basedOn w:val="TableNormal"/>
    <w:uiPriority w:val="99"/>
    <w:semiHidden/>
    <w:rsid w:val="007541B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Rutntstabell6frgstark1">
    <w:name w:val="Rutnätstabell 6 färgstark1"/>
    <w:basedOn w:val="TableNormal"/>
    <w:uiPriority w:val="99"/>
    <w:semiHidden/>
    <w:rsid w:val="007541B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TableNormal"/>
    <w:uiPriority w:val="99"/>
    <w:semiHidden/>
    <w:rsid w:val="007541BC"/>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ntstabell6frgstarkdekorfrg21">
    <w:name w:val="Rutnätstabell 6 färgstark – dekorfärg 21"/>
    <w:basedOn w:val="TableNormal"/>
    <w:uiPriority w:val="99"/>
    <w:semiHidden/>
    <w:rsid w:val="007541BC"/>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ntstabell6frgstarkdekorfrg31">
    <w:name w:val="Rutnätstabell 6 färgstark – dekorfärg 31"/>
    <w:basedOn w:val="TableNormal"/>
    <w:uiPriority w:val="99"/>
    <w:semiHidden/>
    <w:rsid w:val="007541BC"/>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ntstabell6frgstarkdekorfrg41">
    <w:name w:val="Rutnätstabell 6 färgstark – dekorfärg 41"/>
    <w:basedOn w:val="TableNormal"/>
    <w:uiPriority w:val="99"/>
    <w:semiHidden/>
    <w:rsid w:val="007541BC"/>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ntstabell6frgstarkdekorfrg51">
    <w:name w:val="Rutnätstabell 6 färgstark – dekorfärg 51"/>
    <w:basedOn w:val="TableNormal"/>
    <w:uiPriority w:val="99"/>
    <w:semiHidden/>
    <w:rsid w:val="007541BC"/>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ntstabell6frgstarkdekorfrg61">
    <w:name w:val="Rutnätstabell 6 färgstark – dekorfärg 61"/>
    <w:basedOn w:val="TableNormal"/>
    <w:uiPriority w:val="99"/>
    <w:semiHidden/>
    <w:rsid w:val="007541BC"/>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ntstabell7frgstark1">
    <w:name w:val="Rutnätstabell 7 färgstark1"/>
    <w:basedOn w:val="TableNormal"/>
    <w:uiPriority w:val="99"/>
    <w:semiHidden/>
    <w:rsid w:val="007541B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TableNormal"/>
    <w:uiPriority w:val="99"/>
    <w:semiHidden/>
    <w:rsid w:val="007541BC"/>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Rutntstabell7frgstarkdekorfrg21">
    <w:name w:val="Rutnätstabell 7 färgstark – dekorfärg 21"/>
    <w:basedOn w:val="TableNormal"/>
    <w:uiPriority w:val="99"/>
    <w:semiHidden/>
    <w:rsid w:val="007541BC"/>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Rutntstabell7frgstarkdekorfrg31">
    <w:name w:val="Rutnätstabell 7 färgstark – dekorfärg 31"/>
    <w:basedOn w:val="TableNormal"/>
    <w:uiPriority w:val="99"/>
    <w:semiHidden/>
    <w:rsid w:val="007541BC"/>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Rutntstabell7frgstarkdekorfrg41">
    <w:name w:val="Rutnätstabell 7 färgstark – dekorfärg 41"/>
    <w:basedOn w:val="TableNormal"/>
    <w:uiPriority w:val="99"/>
    <w:semiHidden/>
    <w:rsid w:val="007541BC"/>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Rutntstabell7frgstarkdekorfrg51">
    <w:name w:val="Rutnätstabell 7 färgstark – dekorfärg 51"/>
    <w:basedOn w:val="TableNormal"/>
    <w:uiPriority w:val="99"/>
    <w:semiHidden/>
    <w:rsid w:val="007541BC"/>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Rutntstabell7frgstarkdekorfrg61">
    <w:name w:val="Rutnätstabell 7 färgstark – dekorfärg 61"/>
    <w:basedOn w:val="TableNormal"/>
    <w:uiPriority w:val="99"/>
    <w:semiHidden/>
    <w:rsid w:val="007541BC"/>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Classic1">
    <w:name w:val="Table Classic 1"/>
    <w:basedOn w:val="TableNormal"/>
    <w:uiPriority w:val="99"/>
    <w:semiHidden/>
    <w:unhideWhenUsed/>
    <w:rsid w:val="007541B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541B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541B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541B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7541B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541B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541B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7541B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541B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541B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541B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541B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7541B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541B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541B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541B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541B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541B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541B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541B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7541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541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541B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541B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541B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541B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541B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541B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541B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rutntljust1">
    <w:name w:val="Tabellrutnät ljust1"/>
    <w:basedOn w:val="TableNormal"/>
    <w:uiPriority w:val="99"/>
    <w:semiHidden/>
    <w:rsid w:val="007541B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75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541B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541B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541B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remissyttrande">
    <w:name w:val="Rubrik remissyttrande"/>
    <w:basedOn w:val="Normal"/>
    <w:next w:val="Normal"/>
    <w:uiPriority w:val="99"/>
    <w:semiHidden/>
    <w:qFormat/>
    <w:rsid w:val="009701DC"/>
    <w:rPr>
      <w:rFonts w:eastAsiaTheme="majorEastAsia" w:cstheme="majorBidi"/>
      <w:b/>
      <w:sz w:val="28"/>
      <w:szCs w:val="32"/>
    </w:rPr>
  </w:style>
  <w:style w:type="paragraph" w:customStyle="1" w:styleId="Default">
    <w:name w:val="Default"/>
    <w:rsid w:val="006B786C"/>
    <w:pPr>
      <w:autoSpaceDE w:val="0"/>
      <w:autoSpaceDN w:val="0"/>
      <w:adjustRightInd w:val="0"/>
      <w:spacing w:line="240" w:lineRule="auto"/>
    </w:pPr>
    <w:rPr>
      <w:rFonts w:ascii="Times New Roman" w:hAnsi="Times New Roman" w:cs="Times New Roman"/>
      <w:color w:val="000000"/>
      <w:sz w:val="24"/>
      <w:szCs w:val="24"/>
    </w:rPr>
  </w:style>
  <w:style w:type="paragraph" w:styleId="Revision">
    <w:name w:val="Revision"/>
    <w:hidden/>
    <w:uiPriority w:val="99"/>
    <w:semiHidden/>
    <w:rsid w:val="0091061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88799">
      <w:bodyDiv w:val="1"/>
      <w:marLeft w:val="0"/>
      <w:marRight w:val="0"/>
      <w:marTop w:val="0"/>
      <w:marBottom w:val="0"/>
      <w:divBdr>
        <w:top w:val="none" w:sz="0" w:space="0" w:color="auto"/>
        <w:left w:val="none" w:sz="0" w:space="0" w:color="auto"/>
        <w:bottom w:val="none" w:sz="0" w:space="0" w:color="auto"/>
        <w:right w:val="none" w:sz="0" w:space="0" w:color="auto"/>
      </w:divBdr>
    </w:div>
    <w:div w:id="437913825">
      <w:bodyDiv w:val="1"/>
      <w:marLeft w:val="0"/>
      <w:marRight w:val="0"/>
      <w:marTop w:val="0"/>
      <w:marBottom w:val="0"/>
      <w:divBdr>
        <w:top w:val="none" w:sz="0" w:space="0" w:color="auto"/>
        <w:left w:val="none" w:sz="0" w:space="0" w:color="auto"/>
        <w:bottom w:val="none" w:sz="0" w:space="0" w:color="auto"/>
        <w:right w:val="none" w:sz="0" w:space="0" w:color="auto"/>
      </w:divBdr>
    </w:div>
    <w:div w:id="555358809">
      <w:bodyDiv w:val="1"/>
      <w:marLeft w:val="0"/>
      <w:marRight w:val="0"/>
      <w:marTop w:val="0"/>
      <w:marBottom w:val="0"/>
      <w:divBdr>
        <w:top w:val="none" w:sz="0" w:space="0" w:color="auto"/>
        <w:left w:val="none" w:sz="0" w:space="0" w:color="auto"/>
        <w:bottom w:val="none" w:sz="0" w:space="0" w:color="auto"/>
        <w:right w:val="none" w:sz="0" w:space="0" w:color="auto"/>
      </w:divBdr>
    </w:div>
    <w:div w:id="940377507">
      <w:bodyDiv w:val="1"/>
      <w:marLeft w:val="0"/>
      <w:marRight w:val="0"/>
      <w:marTop w:val="0"/>
      <w:marBottom w:val="0"/>
      <w:divBdr>
        <w:top w:val="none" w:sz="0" w:space="0" w:color="auto"/>
        <w:left w:val="none" w:sz="0" w:space="0" w:color="auto"/>
        <w:bottom w:val="none" w:sz="0" w:space="0" w:color="auto"/>
        <w:right w:val="none" w:sz="0" w:space="0" w:color="auto"/>
      </w:divBdr>
    </w:div>
    <w:div w:id="1057170282">
      <w:bodyDiv w:val="1"/>
      <w:marLeft w:val="0"/>
      <w:marRight w:val="0"/>
      <w:marTop w:val="0"/>
      <w:marBottom w:val="0"/>
      <w:divBdr>
        <w:top w:val="none" w:sz="0" w:space="0" w:color="auto"/>
        <w:left w:val="none" w:sz="0" w:space="0" w:color="auto"/>
        <w:bottom w:val="none" w:sz="0" w:space="0" w:color="auto"/>
        <w:right w:val="none" w:sz="0" w:space="0" w:color="auto"/>
      </w:divBdr>
    </w:div>
    <w:div w:id="1361004655">
      <w:bodyDiv w:val="1"/>
      <w:marLeft w:val="0"/>
      <w:marRight w:val="0"/>
      <w:marTop w:val="0"/>
      <w:marBottom w:val="0"/>
      <w:divBdr>
        <w:top w:val="none" w:sz="0" w:space="0" w:color="auto"/>
        <w:left w:val="none" w:sz="0" w:space="0" w:color="auto"/>
        <w:bottom w:val="none" w:sz="0" w:space="0" w:color="auto"/>
        <w:right w:val="none" w:sz="0" w:space="0" w:color="auto"/>
      </w:divBdr>
    </w:div>
    <w:div w:id="1524174086">
      <w:bodyDiv w:val="1"/>
      <w:marLeft w:val="0"/>
      <w:marRight w:val="0"/>
      <w:marTop w:val="0"/>
      <w:marBottom w:val="0"/>
      <w:divBdr>
        <w:top w:val="none" w:sz="0" w:space="0" w:color="auto"/>
        <w:left w:val="none" w:sz="0" w:space="0" w:color="auto"/>
        <w:bottom w:val="none" w:sz="0" w:space="0" w:color="auto"/>
        <w:right w:val="none" w:sz="0" w:space="0" w:color="auto"/>
      </w:divBdr>
    </w:div>
    <w:div w:id="1734742419">
      <w:bodyDiv w:val="1"/>
      <w:marLeft w:val="0"/>
      <w:marRight w:val="0"/>
      <w:marTop w:val="0"/>
      <w:marBottom w:val="0"/>
      <w:divBdr>
        <w:top w:val="none" w:sz="0" w:space="0" w:color="auto"/>
        <w:left w:val="none" w:sz="0" w:space="0" w:color="auto"/>
        <w:bottom w:val="none" w:sz="0" w:space="0" w:color="auto"/>
        <w:right w:val="none" w:sz="0" w:space="0" w:color="auto"/>
      </w:divBdr>
    </w:div>
    <w:div w:id="1789472685">
      <w:bodyDiv w:val="1"/>
      <w:marLeft w:val="0"/>
      <w:marRight w:val="0"/>
      <w:marTop w:val="0"/>
      <w:marBottom w:val="0"/>
      <w:divBdr>
        <w:top w:val="none" w:sz="0" w:space="0" w:color="auto"/>
        <w:left w:val="none" w:sz="0" w:space="0" w:color="auto"/>
        <w:bottom w:val="none" w:sz="0" w:space="0" w:color="auto"/>
        <w:right w:val="none" w:sz="0" w:space="0" w:color="auto"/>
      </w:divBdr>
    </w:div>
    <w:div w:id="20543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A346-AFFC-4CB7-93BF-C45454B0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7842</TotalTime>
  <Pages>48</Pages>
  <Words>20880</Words>
  <Characters>119017</Characters>
  <Application>Microsoft Office Word</Application>
  <DocSecurity>0</DocSecurity>
  <Lines>991</Lines>
  <Paragraphs>279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Texpute AB</Company>
  <LinksUpToDate>false</LinksUpToDate>
  <CharactersWithSpaces>139618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Krantz Caroline SUS_JU</dc:creator>
  <cp:lastModifiedBy>Liana Brili</cp:lastModifiedBy>
  <cp:revision>783</cp:revision>
  <cp:lastPrinted>2022-05-02T06:27:00Z</cp:lastPrinted>
  <dcterms:created xsi:type="dcterms:W3CDTF">2021-11-10T09:54:00Z</dcterms:created>
  <dcterms:modified xsi:type="dcterms:W3CDTF">2022-08-09T10:26:00Z</dcterms:modified>
</cp:coreProperties>
</file>