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A379F8" w:rsidP="00ED0627">
      <w:pPr>
        <w:jc w:val="center"/>
        <w:rPr>
          <w:rFonts w:ascii="Courier New" w:hAnsi="Courier New"/>
          <w:sz w:val="20"/>
        </w:rPr>
      </w:pPr>
      <w:r>
        <w:rPr>
          <w:rFonts w:ascii="Courier New" w:hAnsi="Courier New"/>
          <w:sz w:val="20"/>
        </w:rPr>
        <w:t xml:space="preserve">1. ------IND- 2020 0338 F-- </w:t>
      </w:r>
      <w:r w:rsidR="00ED0627">
        <w:rPr>
          <w:rFonts w:ascii="Courier New" w:hAnsi="Courier New"/>
          <w:sz w:val="20"/>
        </w:rPr>
        <w:t>EL</w:t>
      </w:r>
      <w:r>
        <w:rPr>
          <w:rFonts w:ascii="Courier New" w:hAnsi="Courier New"/>
          <w:sz w:val="20"/>
        </w:rPr>
        <w:t>-</w:t>
      </w:r>
      <w:r w:rsidR="00ED0627">
        <w:rPr>
          <w:rFonts w:ascii="Courier New" w:hAnsi="Courier New"/>
          <w:sz w:val="20"/>
        </w:rPr>
        <w:t xml:space="preserve"> ------ 20200612 --- --- PROJET</w:t>
      </w:r>
      <w:bookmarkStart w:id="0" w:name="_GoBack"/>
      <w:bookmarkEnd w:id="0"/>
    </w:p>
    <w:p w:rsidR="007606BC" w:rsidRPr="00EC1FD0" w:rsidRDefault="008E1D2E" w:rsidP="008E1D2E">
      <w:pPr>
        <w:jc w:val="center"/>
        <w:rPr>
          <w:rFonts w:ascii="Arial" w:hAnsi="Arial" w:cs="Arial"/>
          <w:b/>
        </w:rPr>
      </w:pPr>
      <w:r>
        <w:rPr>
          <w:rFonts w:ascii="Arial" w:hAnsi="Arial"/>
          <w:b/>
        </w:rPr>
        <w:t>Νόμος για τη διαφάνεια της πληροφόρησης σχετικά με τα γεωργικά και διατροφικά προϊόντα (κείμενο που εγκρίθηκε οριστικά από την Εθνοσυνέλευση στις 27 Μαΐου 2020)</w:t>
      </w:r>
    </w:p>
    <w:p w:rsidR="008E1D2E" w:rsidRPr="00EC1FD0" w:rsidRDefault="008E1D2E" w:rsidP="008E1D2E">
      <w:pPr>
        <w:jc w:val="center"/>
        <w:rPr>
          <w:rFonts w:ascii="Arial" w:hAnsi="Arial" w:cs="Arial"/>
          <w:b/>
        </w:rPr>
      </w:pPr>
      <w:r>
        <w:rPr>
          <w:rFonts w:ascii="Arial" w:hAnsi="Arial"/>
          <w:b/>
        </w:rPr>
        <w:t>-</w:t>
      </w:r>
    </w:p>
    <w:p w:rsidR="008E1D2E" w:rsidRPr="00EC1FD0" w:rsidRDefault="008E1D2E" w:rsidP="008E1D2E">
      <w:pPr>
        <w:jc w:val="center"/>
        <w:rPr>
          <w:rFonts w:ascii="Arial" w:hAnsi="Arial" w:cs="Arial"/>
        </w:rPr>
      </w:pPr>
      <w:r>
        <w:rPr>
          <w:rFonts w:ascii="Arial" w:hAnsi="Arial"/>
        </w:rPr>
        <w:t>Διατάξεις του νόμου που αποτελούν αντικείμενο της κοινοποίησης</w:t>
      </w:r>
    </w:p>
    <w:p w:rsidR="008E1D2E" w:rsidRDefault="008E1D2E"/>
    <w:p w:rsidR="008E1D2E" w:rsidRPr="008E1D2E" w:rsidRDefault="008E1D2E"/>
    <w:p w:rsidR="008E1D2E" w:rsidRPr="008E1D2E" w:rsidRDefault="008E1D2E" w:rsidP="00ED0627">
      <w:pPr>
        <w:keepNext/>
        <w:keepLines/>
        <w:jc w:val="both"/>
        <w:rPr>
          <w:rFonts w:ascii="Arial" w:hAnsi="Arial" w:cs="Arial"/>
          <w:b/>
        </w:rPr>
      </w:pPr>
      <w:r>
        <w:rPr>
          <w:rFonts w:ascii="Arial" w:hAnsi="Arial"/>
          <w:b/>
        </w:rPr>
        <w:t>Άρθρο 1</w:t>
      </w:r>
    </w:p>
    <w:p w:rsidR="008E1D2E" w:rsidRPr="008E1D2E" w:rsidRDefault="008E1D2E" w:rsidP="008E1D2E">
      <w:pPr>
        <w:jc w:val="both"/>
        <w:rPr>
          <w:rFonts w:ascii="Arial" w:hAnsi="Arial" w:cs="Arial"/>
        </w:rPr>
      </w:pPr>
      <w:r>
        <w:rPr>
          <w:rFonts w:ascii="Arial" w:hAnsi="Arial"/>
        </w:rPr>
        <w:t>Το άρθρο L.412-1 του Κώδικα Κατανάλωσης τροποποιείται ως εξής:</w:t>
      </w:r>
    </w:p>
    <w:p w:rsidR="008E1D2E" w:rsidRDefault="008E1D2E" w:rsidP="008E1D2E">
      <w:pPr>
        <w:jc w:val="both"/>
        <w:rPr>
          <w:rFonts w:ascii="Arial" w:hAnsi="Arial" w:cs="Arial"/>
        </w:rPr>
      </w:pPr>
      <w:r>
        <w:rPr>
          <w:rFonts w:ascii="Arial" w:hAnsi="Arial"/>
        </w:rPr>
        <w:t>1° Μετά από το σημείο 3 της ενότητας Ι, εισάγεται ένα σημείο 3α με την εξής διατύπωση:</w:t>
      </w:r>
    </w:p>
    <w:p w:rsidR="008E1D2E" w:rsidRDefault="008E1D2E" w:rsidP="008E1D2E">
      <w:pPr>
        <w:jc w:val="both"/>
        <w:rPr>
          <w:rFonts w:ascii="Arial" w:hAnsi="Arial" w:cs="Arial"/>
        </w:rPr>
      </w:pPr>
      <w:r>
        <w:rPr>
          <w:rFonts w:ascii="Arial" w:hAnsi="Arial"/>
        </w:rPr>
        <w:t xml:space="preserve">«3α Εφόσον πρόκειται για εγγραφές πάσης φύσεως σχετικά με </w:t>
      </w:r>
      <w:proofErr w:type="spellStart"/>
      <w:r>
        <w:rPr>
          <w:rFonts w:ascii="Arial" w:hAnsi="Arial"/>
        </w:rPr>
        <w:t>προσυσκευασμένα</w:t>
      </w:r>
      <w:proofErr w:type="spellEnd"/>
      <w:r>
        <w:rPr>
          <w:rFonts w:ascii="Arial" w:hAnsi="Arial"/>
        </w:rPr>
        <w:t xml:space="preserve"> τρόφιμα, τους όρους </w:t>
      </w:r>
      <w:proofErr w:type="spellStart"/>
      <w:r>
        <w:rPr>
          <w:rFonts w:ascii="Arial" w:hAnsi="Arial"/>
        </w:rPr>
        <w:t>επιγραμμικής</w:t>
      </w:r>
      <w:proofErr w:type="spellEnd"/>
      <w:r>
        <w:rPr>
          <w:rFonts w:ascii="Arial" w:hAnsi="Arial"/>
        </w:rPr>
        <w:t xml:space="preserve"> διάθεσης στο κοινό των αντίστοιχων πληροφοριών από τον υπεύθυνο της πρώτης διάθεσης στην αγορά, με όσα προβλέπονται στον τόμο ΙΙΙ του Κώδικα περί Σχέσεων μεταξύ Κοινού και Διοίκησης·»</w:t>
      </w:r>
    </w:p>
    <w:p w:rsidR="008E1D2E" w:rsidRDefault="008E1D2E" w:rsidP="008E1D2E">
      <w:pPr>
        <w:jc w:val="both"/>
        <w:rPr>
          <w:rFonts w:ascii="Arial" w:hAnsi="Arial" w:cs="Arial"/>
        </w:rPr>
      </w:pPr>
      <w:r>
        <w:rPr>
          <w:rFonts w:ascii="Arial" w:hAnsi="Arial"/>
        </w:rPr>
        <w:t xml:space="preserve">2° Η ενότητα ΙΙ συμπληρώνεται από ένα εδάφιο με την ακόλουθη διατύπωση: </w:t>
      </w:r>
    </w:p>
    <w:p w:rsidR="008E1D2E" w:rsidRDefault="008E1D2E" w:rsidP="008E1D2E">
      <w:pPr>
        <w:jc w:val="both"/>
        <w:rPr>
          <w:rFonts w:ascii="Arial" w:hAnsi="Arial" w:cs="Arial"/>
        </w:rPr>
      </w:pPr>
      <w:r>
        <w:rPr>
          <w:rFonts w:ascii="Arial" w:hAnsi="Arial"/>
        </w:rPr>
        <w:t xml:space="preserve">«Εφόσον πρόκειται για πληροφορίες που αναφέρονται στο σημείο 3α της ίδιας ενότητας Ι, τα εν λόγω διατάγματα καθορίζουν ιδίως τον τόπο διάθεσης και τη μορφή των δεδομένων κατά τρόπο ώστε να διαμορφωθεί μια ανοιχτή βάση </w:t>
      </w:r>
      <w:proofErr w:type="spellStart"/>
      <w:r>
        <w:rPr>
          <w:rFonts w:ascii="Arial" w:hAnsi="Arial"/>
        </w:rPr>
        <w:t>προσβάσιμη</w:t>
      </w:r>
      <w:proofErr w:type="spellEnd"/>
      <w:r>
        <w:rPr>
          <w:rFonts w:ascii="Arial" w:hAnsi="Arial"/>
        </w:rPr>
        <w:t xml:space="preserve"> από όλους τους χρήστες και να επιτραπεί η ελεύθερη επαναχρησιμοποίηση των εν λόγω δεδομένων.»</w:t>
      </w:r>
    </w:p>
    <w:p w:rsidR="007F3528" w:rsidRPr="008E1D2E" w:rsidRDefault="007F3528" w:rsidP="008E1D2E">
      <w:pPr>
        <w:jc w:val="both"/>
      </w:pPr>
    </w:p>
    <w:p w:rsidR="008E1D2E" w:rsidRPr="008E1D2E" w:rsidRDefault="008E1D2E" w:rsidP="00ED0627">
      <w:pPr>
        <w:keepNext/>
        <w:keepLines/>
        <w:jc w:val="both"/>
        <w:rPr>
          <w:rFonts w:ascii="Arial" w:hAnsi="Arial" w:cs="Arial"/>
          <w:b/>
        </w:rPr>
      </w:pPr>
      <w:r>
        <w:rPr>
          <w:rFonts w:ascii="Arial" w:hAnsi="Arial"/>
          <w:b/>
        </w:rPr>
        <w:t xml:space="preserve">Άρθρο 2 </w:t>
      </w:r>
    </w:p>
    <w:p w:rsidR="008E1D2E" w:rsidRDefault="008E1D2E" w:rsidP="008E1D2E">
      <w:pPr>
        <w:jc w:val="both"/>
        <w:rPr>
          <w:rFonts w:ascii="Arial" w:hAnsi="Arial" w:cs="Arial"/>
        </w:rPr>
      </w:pPr>
      <w:r>
        <w:rPr>
          <w:rFonts w:ascii="Arial" w:hAnsi="Arial"/>
        </w:rPr>
        <w:t>I. – Μετά το πρώτο εδάφιο του άρθρου L.412-4 του Κώδικα Κατανάλωσης, εισάγονται τρία εδάφια με την εξής διατύπωση:</w:t>
      </w:r>
    </w:p>
    <w:p w:rsidR="008E1D2E" w:rsidRDefault="008E1D2E" w:rsidP="008E1D2E">
      <w:pPr>
        <w:jc w:val="both"/>
        <w:rPr>
          <w:rFonts w:ascii="Arial" w:hAnsi="Arial" w:cs="Arial"/>
        </w:rPr>
      </w:pPr>
      <w:r>
        <w:rPr>
          <w:rFonts w:ascii="Arial" w:hAnsi="Arial"/>
        </w:rPr>
        <w:t>«Για τα προϊόντα που περιέχουν κακάο, σε ακατέργαστη ή μεταποιημένη μορφή, και προορίζονται για τη διατροφή των ανθρώπων, η ένδειξη της χώρας προέλευσης είναι επίσης υποχρεωτική.</w:t>
      </w:r>
    </w:p>
    <w:p w:rsidR="008E1D2E" w:rsidRDefault="008E1D2E" w:rsidP="008E1D2E">
      <w:pPr>
        <w:jc w:val="both"/>
        <w:rPr>
          <w:rFonts w:ascii="Arial" w:hAnsi="Arial" w:cs="Arial"/>
        </w:rPr>
      </w:pPr>
      <w:r>
        <w:rPr>
          <w:rFonts w:ascii="Arial" w:hAnsi="Arial"/>
        </w:rPr>
        <w:t xml:space="preserve">Για το μέλι που αποτελείται από μείγματα μελιών προερχόμενα από περισσότερα του ενός κράτη μέλη της Ευρωπαϊκής Ένωσης ή από τρίτη χώρα, αναγράφονται στην ετικέτα όλες οι χώρες προέλευσης της συλλογής κατά σειρά </w:t>
      </w:r>
      <w:proofErr w:type="spellStart"/>
      <w:r>
        <w:rPr>
          <w:rFonts w:ascii="Arial" w:hAnsi="Arial"/>
        </w:rPr>
        <w:t>ελαττούμενης</w:t>
      </w:r>
      <w:proofErr w:type="spellEnd"/>
      <w:r>
        <w:rPr>
          <w:rFonts w:ascii="Arial" w:hAnsi="Arial"/>
        </w:rPr>
        <w:t xml:space="preserve"> περιεκτικότητας ως προς το βάρος.</w:t>
      </w:r>
    </w:p>
    <w:p w:rsidR="008E1D2E" w:rsidRDefault="008E1D2E" w:rsidP="008E1D2E">
      <w:pPr>
        <w:jc w:val="both"/>
        <w:rPr>
          <w:rFonts w:ascii="Arial" w:hAnsi="Arial" w:cs="Arial"/>
        </w:rPr>
      </w:pPr>
      <w:r>
        <w:rPr>
          <w:rFonts w:ascii="Arial" w:hAnsi="Arial"/>
        </w:rPr>
        <w:t>Το τρίτο εδάφιο ισχύει εξίσου για τον βασιλικό πολτό.»</w:t>
      </w:r>
    </w:p>
    <w:p w:rsidR="008E1D2E" w:rsidRDefault="008E1D2E" w:rsidP="008E1D2E">
      <w:pPr>
        <w:jc w:val="both"/>
        <w:rPr>
          <w:rFonts w:ascii="Arial" w:hAnsi="Arial" w:cs="Arial"/>
        </w:rPr>
      </w:pPr>
      <w:r>
        <w:rPr>
          <w:rFonts w:ascii="Arial" w:hAnsi="Arial"/>
        </w:rPr>
        <w:t>II. - Η ενότητα I του παρόντος άρθρου τίθεται σε ισχύ την 1η Ιανουαρίου 2021. Αρχής γενομένης από την ημερομηνία αυτή, τα προϊόντα που παρασκευάζονται ή διατίθενται στην αγορά νομίμως πριν από την ημερομηνία αυτή, των οποίων η επισήμανση δεν συμμορφώνεται προς το τρίτο εδάφιο του άρθρου L.412-4 του Κώδικα Κατανάλωσης, υπό τη διατύπωση που προκύπτει από το παρόν άρθρο, μπορούν να πωλούνται ή να διατίθενται δωρεάν έως εξάντλησης των αποθεμάτων.</w:t>
      </w:r>
    </w:p>
    <w:p w:rsidR="007F3528" w:rsidRPr="008E1D2E" w:rsidRDefault="007F3528" w:rsidP="008E1D2E">
      <w:pPr>
        <w:jc w:val="both"/>
        <w:rPr>
          <w:rFonts w:ascii="Arial" w:hAnsi="Arial" w:cs="Arial"/>
        </w:rPr>
      </w:pPr>
    </w:p>
    <w:p w:rsidR="008E1D2E" w:rsidRPr="008E1D2E" w:rsidRDefault="008E1D2E" w:rsidP="00ED0627">
      <w:pPr>
        <w:keepNext/>
        <w:keepLines/>
        <w:rPr>
          <w:rFonts w:ascii="Arial" w:hAnsi="Arial" w:cs="Arial"/>
          <w:b/>
        </w:rPr>
      </w:pPr>
      <w:r>
        <w:rPr>
          <w:rFonts w:ascii="Arial" w:hAnsi="Arial"/>
          <w:b/>
        </w:rPr>
        <w:lastRenderedPageBreak/>
        <w:t>Άρθρο 5</w:t>
      </w:r>
    </w:p>
    <w:p w:rsidR="008E1D2E" w:rsidRPr="008E1D2E" w:rsidRDefault="008E1D2E" w:rsidP="00ED0627">
      <w:pPr>
        <w:jc w:val="both"/>
        <w:rPr>
          <w:rFonts w:ascii="Arial" w:hAnsi="Arial" w:cs="Arial"/>
        </w:rPr>
      </w:pPr>
      <w:r>
        <w:rPr>
          <w:rFonts w:ascii="Arial" w:hAnsi="Arial"/>
        </w:rPr>
        <w:t>Το τμήμα 2 του κεφαλαίου ΙΙ του τίτλου Ι του τόμου IV του Κώδικα Κατανάλωσης συμπληρώνεται από ένα άρθρο L.412-10 που διατυπώνεται ως εξής:</w:t>
      </w:r>
    </w:p>
    <w:p w:rsidR="008E1D2E" w:rsidRDefault="008E1D2E" w:rsidP="008E1D2E">
      <w:pPr>
        <w:jc w:val="both"/>
        <w:rPr>
          <w:rFonts w:ascii="Arial" w:hAnsi="Arial" w:cs="Arial"/>
        </w:rPr>
      </w:pPr>
      <w:r>
        <w:rPr>
          <w:rFonts w:ascii="Arial" w:hAnsi="Arial"/>
        </w:rPr>
        <w:t>«Άρθρο L.412-10. – Οι ονομασίες που χρησιμοποιούνται για τον προσδιορισμό τροφίμων ζωικής προέλευσης δεν δύνανται να χρησιμοποιηθούν για την περιγραφή, τη διάθεση στην αγορά και την προώθηση των τροφίμων που περιέχουν φυτικές πρωτεΐνες. Ένα διάταγμα ορίζει το μερίδιο των φυτικών πρωτεϊνών πέραν του οποίου δεν είναι δυνατή η εν λόγω ονομασία. Το εν λόγω διάταγμα ορίζει επίσης τους όρους εφαρμογής του παρόντος άρθρου και τις επιβαλλόμενες κυρώσεις σε περίπτωση παράβασης.»</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Άρθρο 6</w:t>
      </w:r>
    </w:p>
    <w:p w:rsidR="008E1D2E" w:rsidRDefault="008E1D2E" w:rsidP="008E1D2E">
      <w:pPr>
        <w:jc w:val="both"/>
        <w:rPr>
          <w:rFonts w:ascii="Arial" w:hAnsi="Arial" w:cs="Arial"/>
        </w:rPr>
      </w:pPr>
      <w:r>
        <w:rPr>
          <w:rFonts w:ascii="Arial" w:hAnsi="Arial"/>
        </w:rPr>
        <w:t>Το άρθρο L.641-19 του Κώδικα Γεωργίας και Θαλάσσιας Αλιείας συμπληρώνεται με ένα εδάφιο που διατυπώνεται ως εξής:</w:t>
      </w:r>
    </w:p>
    <w:p w:rsidR="008E1D2E" w:rsidRDefault="008E1D2E" w:rsidP="008E1D2E">
      <w:pPr>
        <w:jc w:val="both"/>
        <w:rPr>
          <w:rFonts w:ascii="Arial" w:hAnsi="Arial" w:cs="Arial"/>
        </w:rPr>
      </w:pPr>
      <w:r>
        <w:rPr>
          <w:rFonts w:ascii="Arial" w:hAnsi="Arial"/>
        </w:rPr>
        <w:t xml:space="preserve">«Για τα τυριά αγροκτήματος, όταν η διαδικασία ωρίμανσης λαμβάνει χώρα εκτός της εκμετάλλευσης </w:t>
      </w:r>
      <w:proofErr w:type="spellStart"/>
      <w:r>
        <w:rPr>
          <w:rFonts w:ascii="Arial" w:hAnsi="Arial"/>
        </w:rPr>
        <w:t>συμμόρφως</w:t>
      </w:r>
      <w:proofErr w:type="spellEnd"/>
      <w:r>
        <w:rPr>
          <w:rFonts w:ascii="Arial" w:hAnsi="Arial"/>
        </w:rPr>
        <w:t xml:space="preserve"> προς τις παραδοσιακές πρακτικές, πρέπει να διασφαλίζεται η πληροφόρηση του καταναλωτή συμπληρωματικά προς τις αναφορές που προβλέπονται στο πρώτο εδάφιο σύμφωνα με τους όρους που ορίζονται μέσω διατάγματος.»</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Άρθρο 8</w:t>
      </w:r>
    </w:p>
    <w:p w:rsidR="008E1D2E" w:rsidRDefault="008E1D2E" w:rsidP="008E1D2E">
      <w:pPr>
        <w:jc w:val="both"/>
        <w:rPr>
          <w:rFonts w:ascii="Arial" w:hAnsi="Arial" w:cs="Arial"/>
        </w:rPr>
      </w:pPr>
      <w:r>
        <w:rPr>
          <w:rFonts w:ascii="Arial" w:hAnsi="Arial"/>
        </w:rPr>
        <w:t>Ι. – Το τμήμα 2 του κεφαλαίου ΙΙ του τίτλου Ι του τόμου IV του Κώδικα Κατανάλωσης συμπληρώνεται από ένα άρθρο L.412-9L.412-11 που διατυπώνεται ως εξής:</w:t>
      </w:r>
    </w:p>
    <w:p w:rsidR="008E1D2E" w:rsidRDefault="008E1D2E" w:rsidP="008E1D2E">
      <w:pPr>
        <w:jc w:val="both"/>
        <w:rPr>
          <w:rFonts w:ascii="Arial" w:hAnsi="Arial" w:cs="Arial"/>
        </w:rPr>
      </w:pPr>
      <w:r>
        <w:rPr>
          <w:rFonts w:ascii="Arial" w:hAnsi="Arial"/>
        </w:rPr>
        <w:t>«L.412-11.– Οι φορείς εκμετάλλευσης εγκαταστάσεων που κατέχουν άδεια πώλησης ποτών προς επιτόπου κατανάλωση ή κατανάλωση εκτός του καταστήματος ή οι κάτοχοι άδειας εστιατορίου αναγράφουν, κατά τρόπο ευανάγνωστο, στους καταλόγους τους ή σε οποιοδήποτε άλλο μέσο την προέλευση και, κατά περίπτωση, την ονομασία της προστατευόμενης ονομασίας προέλευσης ή της προστατευόμενης γεωγραφικής ένδειξης των οίνων που τίθενται προς πώληση υπό μορφή φιάλης, καράφας ή ποτηριού.»</w:t>
      </w:r>
    </w:p>
    <w:p w:rsidR="008E1D2E" w:rsidRDefault="008E1D2E" w:rsidP="008E1D2E">
      <w:pPr>
        <w:jc w:val="both"/>
        <w:rPr>
          <w:rFonts w:ascii="Arial" w:hAnsi="Arial" w:cs="Arial"/>
        </w:rPr>
      </w:pPr>
      <w:r>
        <w:rPr>
          <w:rFonts w:ascii="Arial" w:hAnsi="Arial"/>
        </w:rPr>
        <w:t>II. – Η ενότητα I του παρόντος άρθρου τίθεται σε ισχύ την 1η Ιουνίου 2020.</w:t>
      </w:r>
    </w:p>
    <w:p w:rsidR="007F3528" w:rsidRDefault="007F3528" w:rsidP="008E1D2E">
      <w:pPr>
        <w:jc w:val="both"/>
        <w:rPr>
          <w:rFonts w:ascii="Arial" w:hAnsi="Arial" w:cs="Arial"/>
        </w:rPr>
      </w:pPr>
    </w:p>
    <w:p w:rsidR="007F3528" w:rsidRDefault="007F3528" w:rsidP="00ED0627">
      <w:pPr>
        <w:keepNext/>
        <w:keepLines/>
        <w:jc w:val="both"/>
        <w:rPr>
          <w:rFonts w:ascii="Arial" w:hAnsi="Arial" w:cs="Arial"/>
          <w:b/>
        </w:rPr>
      </w:pPr>
      <w:r>
        <w:rPr>
          <w:rFonts w:ascii="Arial" w:hAnsi="Arial"/>
          <w:b/>
        </w:rPr>
        <w:t>Άρθρο 9</w:t>
      </w:r>
    </w:p>
    <w:p w:rsidR="007F3528" w:rsidRDefault="007F3528" w:rsidP="008E1D2E">
      <w:pPr>
        <w:jc w:val="both"/>
        <w:rPr>
          <w:rFonts w:ascii="Arial" w:hAnsi="Arial" w:cs="Arial"/>
        </w:rPr>
      </w:pPr>
      <w:r>
        <w:rPr>
          <w:rFonts w:ascii="Arial" w:hAnsi="Arial"/>
        </w:rPr>
        <w:t>Το τμήμα 2 του κεφαλαίου ΙΙ του τίτλου Ι του τόμου IV του Κώδικα Κατανάλωσης συμπληρώνεται από το άρθρο L.412-12 που διατυπώνεται ως εξής:</w:t>
      </w:r>
    </w:p>
    <w:p w:rsidR="007F3528" w:rsidRPr="007F3528" w:rsidRDefault="007F3528" w:rsidP="008E1D2E">
      <w:pPr>
        <w:jc w:val="both"/>
        <w:rPr>
          <w:rFonts w:ascii="Arial" w:hAnsi="Arial" w:cs="Arial"/>
        </w:rPr>
      </w:pPr>
      <w:r>
        <w:rPr>
          <w:rFonts w:ascii="Arial" w:hAnsi="Arial"/>
        </w:rPr>
        <w:t xml:space="preserve">«Άρθρο L.412-12. – Η επωνυμία και η διεύθυνση του παραγωγού του ζύθου αναγράφονται σαφώς στην ετικέτα κατά τρόπο ώστε να μην </w:t>
      </w:r>
      <w:proofErr w:type="spellStart"/>
      <w:r>
        <w:rPr>
          <w:rFonts w:ascii="Arial" w:hAnsi="Arial"/>
        </w:rPr>
        <w:t>παραπλανάται</w:t>
      </w:r>
      <w:proofErr w:type="spellEnd"/>
      <w:r>
        <w:rPr>
          <w:rFonts w:ascii="Arial" w:hAnsi="Arial"/>
        </w:rPr>
        <w:t xml:space="preserve"> ο καταναλωτής όσον αφορά την προέλευση του ζύθου, με οποιονδήποτε τρόπο, μεταξύ άλλων λόγω της γενικής παρουσίασης της ετικέτας. »</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A379F8"/>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Ke, Tingting</cp:lastModifiedBy>
  <cp:revision>2</cp:revision>
  <dcterms:created xsi:type="dcterms:W3CDTF">2020-06-03T17:11:00Z</dcterms:created>
  <dcterms:modified xsi:type="dcterms:W3CDTF">2020-06-11T04:30:00Z</dcterms:modified>
</cp:coreProperties>
</file>