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ED0627" w:rsidP="00ED062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0338 F-- RO- ------ 20200612 --- --- PROJET</w:t>
      </w:r>
    </w:p>
    <w:p w:rsidR="007606BC" w:rsidRPr="00EC1FD0" w:rsidRDefault="008E1D2E" w:rsidP="008E1D2E">
      <w:pPr>
        <w:jc w:val="center"/>
        <w:rPr>
          <w:b/>
          <w:rFonts w:ascii="Arial" w:hAnsi="Arial" w:cs="Arial"/>
        </w:rPr>
      </w:pPr>
      <w:r>
        <w:rPr>
          <w:b/>
          <w:rFonts w:ascii="Arial" w:hAnsi="Arial"/>
        </w:rPr>
        <w:t xml:space="preserve">Legea privind transparența informațiilor cu privire la produsele agricole și alimentare (text adoptat în versiune finală de Adunarea Națională la 27 mai 2020)</w:t>
      </w:r>
    </w:p>
    <w:p w:rsidR="008E1D2E" w:rsidRPr="00EC1FD0" w:rsidRDefault="008E1D2E" w:rsidP="008E1D2E">
      <w:pPr>
        <w:jc w:val="center"/>
        <w:rPr>
          <w:b/>
          <w:rFonts w:ascii="Arial" w:hAnsi="Arial" w:cs="Arial"/>
        </w:rPr>
      </w:pPr>
      <w:r>
        <w:rPr>
          <w:b/>
          <w:rFonts w:ascii="Arial" w:hAnsi="Arial"/>
        </w:rPr>
        <w:t xml:space="preserve">-</w:t>
      </w:r>
    </w:p>
    <w:p w:rsidR="008E1D2E" w:rsidRPr="00EC1FD0" w:rsidRDefault="008E1D2E" w:rsidP="008E1D2E">
      <w:pPr>
        <w:jc w:val="center"/>
        <w:rPr>
          <w:rFonts w:ascii="Arial" w:hAnsi="Arial" w:cs="Arial"/>
        </w:rPr>
      </w:pPr>
      <w:r>
        <w:rPr>
          <w:rFonts w:ascii="Arial" w:hAnsi="Arial"/>
        </w:rPr>
        <w:t xml:space="preserve">Dispoziții ale legii care fac obiectul notificării</w:t>
      </w:r>
    </w:p>
    <w:p w:rsidR="008E1D2E" w:rsidRDefault="008E1D2E"/>
    <w:p w:rsidR="008E1D2E" w:rsidRPr="008E1D2E" w:rsidRDefault="008E1D2E"/>
    <w:p w:rsidR="008E1D2E" w:rsidRPr="008E1D2E" w:rsidRDefault="008E1D2E" w:rsidP="00ED0627">
      <w:pPr>
        <w:keepNext/>
        <w:keepLines/>
        <w:jc w:val="both"/>
        <w:rPr>
          <w:b/>
          <w:rFonts w:ascii="Arial" w:hAnsi="Arial" w:cs="Arial"/>
        </w:rPr>
      </w:pPr>
      <w:r>
        <w:rPr>
          <w:b/>
          <w:rFonts w:ascii="Arial" w:hAnsi="Arial"/>
        </w:rPr>
        <w:t xml:space="preserve">Articolul 1</w:t>
      </w:r>
    </w:p>
    <w:p w:rsidR="008E1D2E" w:rsidRPr="008E1D2E" w:rsidRDefault="008E1D2E" w:rsidP="008E1D2E">
      <w:pPr>
        <w:jc w:val="both"/>
        <w:rPr>
          <w:rFonts w:ascii="Arial" w:hAnsi="Arial" w:cs="Arial"/>
        </w:rPr>
      </w:pPr>
      <w:r>
        <w:rPr>
          <w:rFonts w:ascii="Arial" w:hAnsi="Arial"/>
        </w:rPr>
        <w:t xml:space="preserve">Articolul L.412-1 din Codul consumului se modifică după cum urmează:</w:t>
      </w:r>
    </w:p>
    <w:p w:rsidR="008E1D2E" w:rsidRDefault="008E1D2E" w:rsidP="008E1D2E">
      <w:pPr>
        <w:jc w:val="both"/>
        <w:rPr>
          <w:rFonts w:ascii="Arial" w:hAnsi="Arial" w:cs="Arial"/>
        </w:rPr>
      </w:pPr>
      <w:r>
        <w:rPr>
          <w:rFonts w:ascii="Arial" w:hAnsi="Arial"/>
        </w:rPr>
        <w:t xml:space="preserve">1. La punctul I, după subpunctul 3, se introduce subpunctul 3a</w:t>
      </w:r>
      <w:r>
        <w:rPr>
          <w:i/>
          <w:iCs/>
          <w:rFonts w:ascii="Arial" w:hAnsi="Arial"/>
        </w:rPr>
        <w:t xml:space="preserve"> </w:t>
      </w:r>
      <w:r>
        <w:rPr>
          <w:rFonts w:ascii="Arial" w:hAnsi="Arial"/>
        </w:rPr>
        <w:t xml:space="preserve">cu următoarea formulare:</w:t>
      </w:r>
    </w:p>
    <w:p w:rsidR="008E1D2E" w:rsidRDefault="008E1D2E" w:rsidP="008E1D2E">
      <w:pPr>
        <w:jc w:val="both"/>
        <w:rPr>
          <w:rFonts w:ascii="Arial" w:hAnsi="Arial" w:cs="Arial"/>
        </w:rPr>
      </w:pPr>
      <w:r>
        <w:rPr>
          <w:rFonts w:ascii="Arial" w:hAnsi="Arial"/>
        </w:rPr>
        <w:t xml:space="preserve">„3a  În ceea ce privește rubricile de orice natură referitoare la produsele alimentare preambalate, modalitățile de punere la dispoziția publicului prin publicarea online a informațiilor corespunzătoare de către persoana responsabilă cu prima introducere pe piață, în condițiile prevăzute în cartea III din Codul relațiilor dintre public și administrație;”</w:t>
      </w:r>
    </w:p>
    <w:p w:rsidR="008E1D2E" w:rsidRDefault="008E1D2E" w:rsidP="008E1D2E">
      <w:pPr>
        <w:jc w:val="both"/>
        <w:rPr>
          <w:rFonts w:ascii="Arial" w:hAnsi="Arial" w:cs="Arial"/>
        </w:rPr>
      </w:pPr>
      <w:r>
        <w:rPr>
          <w:rFonts w:ascii="Arial" w:hAnsi="Arial"/>
        </w:rPr>
        <w:t xml:space="preserve">2. Punctul II se completează cu un paragraf cu următoarea formulare:</w:t>
      </w:r>
      <w:r>
        <w:rPr>
          <w:rFonts w:ascii="Arial" w:hAnsi="Arial"/>
        </w:rPr>
        <w:t xml:space="preserve"> </w:t>
      </w:r>
    </w:p>
    <w:p w:rsidR="008E1D2E" w:rsidRDefault="008E1D2E" w:rsidP="008E1D2E">
      <w:pPr>
        <w:jc w:val="both"/>
        <w:rPr>
          <w:rFonts w:ascii="Arial" w:hAnsi="Arial" w:cs="Arial"/>
        </w:rPr>
      </w:pPr>
      <w:r>
        <w:rPr>
          <w:rFonts w:ascii="Arial" w:hAnsi="Arial"/>
        </w:rPr>
        <w:t xml:space="preserve">„În ceea ce privește informațiile menționate la punctul I subpunctul 3a, aceste decrete stabilesc în special locul publicării și formatul datelor astfel încât să se creeze o bază de date deschisă și accesibilă tuturor utilizatorilor și să se permită reutilizarea gratuită a acestor date.”</w:t>
      </w:r>
    </w:p>
    <w:p w:rsidR="007F3528" w:rsidRPr="008E1D2E" w:rsidRDefault="007F3528" w:rsidP="008E1D2E">
      <w:pPr>
        <w:jc w:val="both"/>
      </w:pPr>
    </w:p>
    <w:p w:rsidR="008E1D2E" w:rsidRPr="008E1D2E" w:rsidRDefault="008E1D2E" w:rsidP="00ED0627">
      <w:pPr>
        <w:keepNext/>
        <w:keepLines/>
        <w:jc w:val="both"/>
        <w:rPr>
          <w:b/>
          <w:rFonts w:ascii="Arial" w:hAnsi="Arial" w:cs="Arial"/>
        </w:rPr>
      </w:pPr>
      <w:r>
        <w:rPr>
          <w:b/>
          <w:rFonts w:ascii="Arial" w:hAnsi="Arial"/>
        </w:rPr>
        <w:t xml:space="preserve">Articolul 2</w:t>
      </w:r>
      <w:r>
        <w:rPr>
          <w:b/>
          <w:rFonts w:ascii="Arial" w:hAnsi="Arial"/>
        </w:rPr>
        <w:t xml:space="preserve"> </w:t>
      </w:r>
    </w:p>
    <w:p w:rsidR="008E1D2E" w:rsidRDefault="008E1D2E" w:rsidP="008E1D2E">
      <w:pPr>
        <w:jc w:val="both"/>
        <w:rPr>
          <w:rFonts w:ascii="Arial" w:hAnsi="Arial" w:cs="Arial"/>
        </w:rPr>
      </w:pPr>
      <w:r>
        <w:rPr>
          <w:rFonts w:ascii="Arial" w:hAnsi="Arial"/>
        </w:rPr>
        <w:t xml:space="preserve">I. – După articolul L.412-4 primul paragraf din Codul consumului, se introduc trei paragrafe după cum urmează:</w:t>
      </w:r>
    </w:p>
    <w:p w:rsidR="008E1D2E" w:rsidRDefault="008E1D2E" w:rsidP="008E1D2E">
      <w:pPr>
        <w:jc w:val="both"/>
        <w:rPr>
          <w:rFonts w:ascii="Arial" w:hAnsi="Arial" w:cs="Arial"/>
        </w:rPr>
      </w:pPr>
      <w:r>
        <w:rPr>
          <w:rFonts w:ascii="Arial" w:hAnsi="Arial"/>
        </w:rPr>
        <w:t xml:space="preserve">„În cazul produselor care conțin cacao, brută sau prelucrată, și destinate consumului uman, indicarea țării de origine este, de asemenea, obligatorie.</w:t>
      </w:r>
    </w:p>
    <w:p w:rsidR="008E1D2E" w:rsidRDefault="008E1D2E" w:rsidP="008E1D2E">
      <w:pPr>
        <w:jc w:val="both"/>
        <w:rPr>
          <w:rFonts w:ascii="Arial" w:hAnsi="Arial" w:cs="Arial"/>
        </w:rPr>
      </w:pPr>
      <w:r>
        <w:rPr>
          <w:rFonts w:ascii="Arial" w:hAnsi="Arial"/>
        </w:rPr>
        <w:t xml:space="preserve">În cazul mierii compuse dintr-un amestec de miere provenind din mai multe state membre ale Uniunii Europene sau dintr-o țară terță, toate țările de origine ale recoltei sunt indicate pe etichetă în ordinea descrescătoare a cantității.</w:t>
      </w:r>
    </w:p>
    <w:p w:rsidR="008E1D2E" w:rsidRDefault="008E1D2E" w:rsidP="008E1D2E">
      <w:pPr>
        <w:jc w:val="both"/>
        <w:rPr>
          <w:rFonts w:ascii="Arial" w:hAnsi="Arial" w:cs="Arial"/>
        </w:rPr>
      </w:pPr>
      <w:r>
        <w:rPr>
          <w:rFonts w:ascii="Arial" w:hAnsi="Arial"/>
        </w:rPr>
        <w:t xml:space="preserve">Dispozițiile de la al treilea paragraf se aplică și lăptișorului de matcă.”</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 Punctul I din prezentul articol intră în vigoare la 1 ianuarie 2021.</w:t>
      </w:r>
      <w:r>
        <w:rPr>
          <w:rFonts w:ascii="Arial" w:hAnsi="Arial"/>
        </w:rPr>
        <w:t xml:space="preserve"> </w:t>
      </w:r>
      <w:r>
        <w:rPr>
          <w:rFonts w:ascii="Arial" w:hAnsi="Arial"/>
        </w:rPr>
        <w:t xml:space="preserve">Începând cu această dată, produsele fabricate sau comercializate în mod legal înainte de aceeași dată, a căror etichetare nu este conformă cu dispozițiile de la articolul L.412-4 al treilea paragraf din Codul consumului, în formularea sa care rezultă din prezentul articol, pot fi vândute sau distribuite gratuit până la epuizarea stocurilor.</w:t>
      </w:r>
    </w:p>
    <w:p w:rsidR="007F3528" w:rsidRPr="008E1D2E" w:rsidRDefault="007F3528" w:rsidP="008E1D2E">
      <w:pPr>
        <w:jc w:val="both"/>
        <w:rPr>
          <w:rFonts w:ascii="Arial" w:hAnsi="Arial" w:cs="Arial"/>
        </w:rPr>
      </w:pPr>
    </w:p>
    <w:p w:rsidR="008E1D2E" w:rsidRPr="008E1D2E" w:rsidRDefault="008E1D2E" w:rsidP="00ED0627">
      <w:pPr>
        <w:keepNext/>
        <w:keepLines/>
        <w:rPr>
          <w:b/>
          <w:rFonts w:ascii="Arial" w:hAnsi="Arial" w:cs="Arial"/>
        </w:rPr>
      </w:pPr>
      <w:r>
        <w:rPr>
          <w:b/>
          <w:rFonts w:ascii="Arial" w:hAnsi="Arial"/>
        </w:rPr>
        <w:t xml:space="preserve">Articolul 5</w:t>
      </w:r>
    </w:p>
    <w:p w:rsidR="008E1D2E" w:rsidRPr="008E1D2E" w:rsidRDefault="008E1D2E" w:rsidP="00ED0627">
      <w:pPr>
        <w:jc w:val="both"/>
        <w:rPr>
          <w:rFonts w:ascii="Arial" w:hAnsi="Arial" w:cs="Arial"/>
        </w:rPr>
      </w:pPr>
      <w:r>
        <w:rPr>
          <w:rFonts w:ascii="Arial" w:hAnsi="Arial"/>
        </w:rPr>
        <w:t xml:space="preserve">Cartea IV titlul I capitolul II secțiunea 2 din Codul consumului se completează cu articolul L.412-10, cu următoarea formulare:</w:t>
      </w:r>
    </w:p>
    <w:p w:rsidR="008E1D2E" w:rsidRDefault="008E1D2E" w:rsidP="008E1D2E">
      <w:pPr>
        <w:jc w:val="both"/>
        <w:rPr>
          <w:rFonts w:ascii="Arial" w:hAnsi="Arial" w:cs="Arial"/>
        </w:rPr>
      </w:pPr>
      <w:r>
        <w:rPr>
          <w:rFonts w:ascii="Arial" w:hAnsi="Arial"/>
        </w:rPr>
        <w:t xml:space="preserve">„Articolul L.412-10.</w:t>
      </w:r>
      <w:r>
        <w:rPr>
          <w:rFonts w:ascii="Arial" w:hAnsi="Arial"/>
        </w:rPr>
        <w:t xml:space="preserve"> </w:t>
      </w:r>
      <w:r>
        <w:rPr>
          <w:rFonts w:ascii="Arial" w:hAnsi="Arial"/>
        </w:rPr>
        <w:t xml:space="preserve">– Denumirile utilizate pentru desemnarea produselor alimentare de origine animală nu pot fi utilizate pentru descrierea, comercializarea sau promovarea produselor alimentare care conțin proteine vegetale.</w:t>
      </w:r>
      <w:r>
        <w:rPr>
          <w:rFonts w:ascii="Arial" w:hAnsi="Arial"/>
        </w:rPr>
        <w:t xml:space="preserve"> </w:t>
      </w:r>
      <w:r>
        <w:rPr>
          <w:rFonts w:ascii="Arial" w:hAnsi="Arial"/>
        </w:rPr>
        <w:t xml:space="preserve">Proporția de proteine vegetale care, odată depășită, face imposibilă utilizarea respectivei denumiri se stabilește prin decret.</w:t>
      </w:r>
      <w:r>
        <w:rPr>
          <w:rFonts w:ascii="Arial" w:hAnsi="Arial"/>
        </w:rPr>
        <w:t xml:space="preserve"> </w:t>
      </w:r>
      <w:r>
        <w:rPr>
          <w:rFonts w:ascii="Arial" w:hAnsi="Arial"/>
        </w:rPr>
        <w:t xml:space="preserve">În respectivul decret se stabilesc, de asemenea, normele de aplicare a prezentului articol și sancțiunile aplicate în caz de încălcare a dispozițiilor acestuia.”</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Articolul 6</w:t>
      </w:r>
    </w:p>
    <w:p w:rsidR="008E1D2E" w:rsidRDefault="008E1D2E" w:rsidP="008E1D2E">
      <w:pPr>
        <w:jc w:val="both"/>
        <w:rPr>
          <w:rFonts w:ascii="Arial" w:hAnsi="Arial" w:cs="Arial"/>
        </w:rPr>
      </w:pPr>
      <w:r>
        <w:rPr>
          <w:rFonts w:ascii="Arial" w:hAnsi="Arial"/>
        </w:rPr>
        <w:t xml:space="preserve">Articolul L.641-19 din Codul rural și al pescuitul maritim se completează cu un paragraf cu următoarea formulare:</w:t>
      </w:r>
    </w:p>
    <w:p w:rsidR="008E1D2E" w:rsidRDefault="008E1D2E" w:rsidP="008E1D2E">
      <w:pPr>
        <w:jc w:val="both"/>
        <w:rPr>
          <w:rFonts w:ascii="Arial" w:hAnsi="Arial" w:cs="Arial"/>
        </w:rPr>
      </w:pPr>
      <w:r>
        <w:rPr>
          <w:rFonts w:ascii="Arial" w:hAnsi="Arial"/>
        </w:rPr>
        <w:t xml:space="preserve">„În cazul brânzeturilor de fermă, atunci când procesul de maturare se desfășoară în afara exploatației conform practicilor tradiționale, informațiile pentru consumatori trebuie furnizate în plus față de informațiile prevăzute la primul paragraf, în conformitate cu modalitățile prevăzute prin decret.”</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Articolul 8</w:t>
      </w:r>
    </w:p>
    <w:p w:rsidR="008E1D2E" w:rsidRDefault="008E1D2E" w:rsidP="008E1D2E">
      <w:pPr>
        <w:jc w:val="both"/>
        <w:rPr>
          <w:rFonts w:ascii="Arial" w:hAnsi="Arial" w:cs="Arial"/>
        </w:rPr>
      </w:pPr>
      <w:r>
        <w:rPr>
          <w:rFonts w:ascii="Arial" w:hAnsi="Arial"/>
        </w:rPr>
        <w:t xml:space="preserve">I. – Cartea IV titlul I capitolul II secțiunea 2 din Codul consumului se completează cu articolul L.412-11, cu următoarea formulare:</w:t>
      </w:r>
    </w:p>
    <w:p w:rsidR="008E1D2E" w:rsidRDefault="008E1D2E" w:rsidP="008E1D2E">
      <w:pPr>
        <w:jc w:val="both"/>
        <w:rPr>
          <w:rFonts w:ascii="Arial" w:hAnsi="Arial" w:cs="Arial"/>
        </w:rPr>
      </w:pPr>
      <w:r>
        <w:rPr>
          <w:rFonts w:ascii="Arial" w:hAnsi="Arial"/>
        </w:rPr>
        <w:t xml:space="preserve">„L.412-11. – Operatorii unităților care dețin o licență de vânzare a băuturilor care urmează să fie consumate la fața locului sau urmează să fie luate la pachet sau o licență pentru servicii de restaurant indică, în mod lizibil, pe meniuri sau pe orice alt suport proveniența și, dacă este cazul, denumirea de origine protejată sau indicația geografică protejată a vinurilor oferite spre vânzare în sticle, carafe sau pahare.”</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 Punctul I din prezentul articol intră în vigoare la 1 iunie 2020.</w:t>
      </w:r>
    </w:p>
    <w:p w:rsidR="007F3528" w:rsidRDefault="007F3528" w:rsidP="008E1D2E">
      <w:pPr>
        <w:jc w:val="both"/>
        <w:rPr>
          <w:rFonts w:ascii="Arial" w:hAnsi="Arial" w:cs="Arial"/>
        </w:rPr>
      </w:pPr>
    </w:p>
    <w:p w:rsidR="007F3528" w:rsidRDefault="007F3528" w:rsidP="00ED0627">
      <w:pPr>
        <w:keepNext/>
        <w:keepLines/>
        <w:jc w:val="both"/>
        <w:rPr>
          <w:b/>
          <w:rFonts w:ascii="Arial" w:hAnsi="Arial" w:cs="Arial"/>
        </w:rPr>
      </w:pPr>
      <w:r>
        <w:rPr>
          <w:b/>
          <w:rFonts w:ascii="Arial" w:hAnsi="Arial"/>
        </w:rPr>
        <w:t xml:space="preserve">Articolul 9</w:t>
      </w:r>
    </w:p>
    <w:p w:rsidR="007F3528" w:rsidRDefault="007F3528" w:rsidP="008E1D2E">
      <w:pPr>
        <w:jc w:val="both"/>
        <w:rPr>
          <w:rFonts w:ascii="Arial" w:hAnsi="Arial" w:cs="Arial"/>
        </w:rPr>
      </w:pPr>
      <w:r>
        <w:rPr>
          <w:rFonts w:ascii="Arial" w:hAnsi="Arial"/>
        </w:rPr>
        <w:t xml:space="preserve">Cartea IV titlul I capitolul II secțiunea 2 din Codul consumului se completează cu articolul L.412-12, cu următoarea formulare:</w:t>
      </w:r>
    </w:p>
    <w:p w:rsidR="007F3528" w:rsidRPr="007F3528" w:rsidRDefault="007F3528" w:rsidP="008E1D2E">
      <w:pPr>
        <w:jc w:val="both"/>
        <w:rPr>
          <w:rFonts w:ascii="Arial" w:hAnsi="Arial" w:cs="Arial"/>
        </w:rPr>
      </w:pPr>
      <w:r>
        <w:rPr>
          <w:rFonts w:ascii="Arial" w:hAnsi="Arial"/>
        </w:rPr>
        <w:t xml:space="preserve">„Articolul L.412-12.</w:t>
      </w:r>
      <w:r>
        <w:rPr>
          <w:rFonts w:ascii="Arial" w:hAnsi="Arial"/>
        </w:rPr>
        <w:t xml:space="preserve"> </w:t>
      </w:r>
      <w:r>
        <w:rPr>
          <w:rFonts w:ascii="Arial" w:hAnsi="Arial"/>
        </w:rPr>
        <w:t xml:space="preserve">— Numele și adresa producătorului de bere sunt evidențiate pe etichetă astfel încât să nu inducă în eroare consumatorul cu privire la originea berii, în orice mod, inclusiv pentru aspectul general al etichetei.</w:t>
      </w:r>
      <w:r>
        <w:rPr>
          <w:rFonts w:ascii="Arial" w:hAnsi="Arial"/>
        </w:rPr>
        <w:t xml:space="preserve"> </w:t>
      </w:r>
      <w:r>
        <w:rPr>
          <w:rFonts w:ascii="Arial" w:hAnsi="Arial"/>
        </w:rPr>
        <w:t xml:space="preserve">”</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5C36B3"/>
    <w:rsid w:val="007606BC"/>
    <w:rsid w:val="007F3528"/>
    <w:rsid w:val="008E1D2E"/>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Ke, Tingting</cp:lastModifiedBy>
  <cp:revision>1</cp:revision>
  <dcterms:created xsi:type="dcterms:W3CDTF">2020-06-03T17:11:00Z</dcterms:created>
  <dcterms:modified xsi:type="dcterms:W3CDTF">2020-06-05T09:01:00Z</dcterms:modified>
</cp:coreProperties>
</file>