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322" w:rsidRPr="00FC0D01" w:rsidRDefault="00251322" w:rsidP="00251322">
      <w:pPr>
        <w:spacing w:before="120" w:line="320" w:lineRule="exact"/>
        <w:rPr>
          <w:sz w:val="16"/>
          <w:szCs w:val="16"/>
          <w:rFonts w:ascii="Verdana" w:hAnsi="Verdana"/>
        </w:rPr>
      </w:pPr>
      <w:r>
        <w:rPr>
          <w:sz w:val="16"/>
          <w:rFonts w:ascii="Verdana" w:hAnsi="Verdana"/>
        </w:rPr>
        <w:t xml:space="preserve">Считано от:</w:t>
      </w:r>
      <w:r>
        <w:rPr>
          <w:sz w:val="16"/>
          <w:rFonts w:ascii="Verdana" w:hAnsi="Verdana"/>
        </w:rPr>
        <w:t xml:space="preserve"> </w:t>
      </w:r>
      <w:r>
        <w:rPr>
          <w:sz w:val="16"/>
          <w:rFonts w:ascii="Verdana" w:hAnsi="Verdana"/>
        </w:rPr>
        <w:t xml:space="preserve">15 март 2021 г.</w:t>
      </w:r>
    </w:p>
    <w:p w:rsidR="002C21BC" w:rsidRPr="00B93BDE" w:rsidRDefault="009C24A4">
      <w:pPr>
        <w:rPr>
          <w:sz w:val="22"/>
          <w:szCs w:val="22"/>
          <w:rFonts w:ascii="Calibri" w:hAnsi="Calibri"/>
        </w:rPr>
      </w:pPr>
      <w:r>
        <w:rPr>
          <w:sz w:val="22"/>
          <w:rFonts w:ascii="Calibri" w:hAnsi="Calibri"/>
        </w:rPr>
        <w:t xml:space="preserve">__________________________________________________________________________________</w:t>
      </w:r>
    </w:p>
    <w:p w:rsidR="009C24A4" w:rsidRPr="009C24A4" w:rsidRDefault="009C24A4" w:rsidP="003564B3">
      <w:pPr>
        <w:autoSpaceDE w:val="0"/>
        <w:autoSpaceDN w:val="0"/>
        <w:adjustRightInd w:val="0"/>
        <w:spacing w:line="276" w:lineRule="auto"/>
        <w:jc w:val="center"/>
        <w:rPr>
          <w:rFonts w:ascii="Calibri" w:hAnsi="Calibri"/>
          <w:sz w:val="22"/>
          <w:szCs w:val="22"/>
        </w:rPr>
      </w:pPr>
    </w:p>
    <w:p w:rsidR="008C60A0" w:rsidRPr="008C60A0" w:rsidRDefault="00D87095" w:rsidP="003564B3">
      <w:pPr>
        <w:spacing w:line="276" w:lineRule="auto"/>
        <w:jc w:val="center"/>
        <w:rPr>
          <w:b/>
          <w:sz w:val="22"/>
          <w:szCs w:val="22"/>
          <w:rFonts w:ascii="Calibri" w:eastAsia="Calibri" w:hAnsi="Calibri"/>
        </w:rPr>
      </w:pPr>
      <w:r>
        <w:rPr>
          <w:b/>
          <w:sz w:val="22"/>
          <w:rFonts w:ascii="Calibri" w:hAnsi="Calibri"/>
        </w:rPr>
        <w:t xml:space="preserve">Устав за регулиране на медийните посредници съгласно член 96 от Договора за държавните медии</w:t>
      </w:r>
    </w:p>
    <w:p w:rsidR="008C60A0" w:rsidRPr="008C60A0" w:rsidRDefault="008C60A0" w:rsidP="003564B3">
      <w:pPr>
        <w:spacing w:line="276" w:lineRule="auto"/>
        <w:jc w:val="center"/>
        <w:rPr>
          <w:b/>
          <w:sz w:val="22"/>
          <w:szCs w:val="22"/>
          <w:rFonts w:ascii="Calibri" w:eastAsia="Calibri" w:hAnsi="Calibri"/>
        </w:rPr>
      </w:pPr>
      <w:r>
        <w:rPr>
          <w:b/>
          <w:sz w:val="22"/>
          <w:rFonts w:ascii="Calibri" w:hAnsi="Calibri"/>
        </w:rPr>
        <w:br/>
      </w:r>
      <w:r>
        <w:rPr>
          <w:b/>
          <w:sz w:val="22"/>
          <w:rFonts w:ascii="Calibri" w:hAnsi="Calibri"/>
        </w:rPr>
        <w:t xml:space="preserve">(Устав на Ми)</w:t>
      </w:r>
    </w:p>
    <w:p w:rsidR="008C60A0" w:rsidRPr="008C60A0" w:rsidRDefault="008C60A0" w:rsidP="003564B3">
      <w:pPr>
        <w:spacing w:line="276" w:lineRule="auto"/>
        <w:jc w:val="center"/>
        <w:rPr>
          <w:b/>
          <w:sz w:val="22"/>
          <w:szCs w:val="22"/>
          <w:rFonts w:ascii="Calibri" w:eastAsia="Calibri" w:hAnsi="Calibri"/>
        </w:rPr>
      </w:pPr>
      <w:r>
        <w:rPr>
          <w:sz w:val="22"/>
          <w:rFonts w:ascii="Calibri" w:hAnsi="Calibri"/>
        </w:rPr>
        <w:br/>
      </w:r>
      <w:r>
        <w:rPr>
          <w:sz w:val="22"/>
          <w:b/>
          <w:rFonts w:ascii="Calibri" w:hAnsi="Calibri"/>
        </w:rPr>
        <w:t xml:space="preserve">от...</w:t>
      </w:r>
    </w:p>
    <w:p w:rsidR="008C60A0" w:rsidRPr="008C60A0" w:rsidRDefault="008C60A0" w:rsidP="003564B3">
      <w:pPr>
        <w:spacing w:line="276" w:lineRule="auto"/>
        <w:jc w:val="center"/>
        <w:rPr>
          <w:rFonts w:ascii="Calibri" w:eastAsia="Calibri" w:hAnsi="Calibri"/>
          <w:sz w:val="22"/>
          <w:szCs w:val="22"/>
          <w:lang w:eastAsia="en-US"/>
        </w:rPr>
      </w:pPr>
    </w:p>
    <w:p w:rsidR="008C60A0" w:rsidRPr="008C60A0" w:rsidRDefault="008C60A0" w:rsidP="003564B3">
      <w:pPr>
        <w:spacing w:line="276" w:lineRule="auto"/>
        <w:rPr>
          <w:bCs/>
          <w:sz w:val="22"/>
          <w:szCs w:val="22"/>
          <w:rFonts w:ascii="Calibri" w:eastAsia="Calibri" w:hAnsi="Calibri"/>
        </w:rPr>
      </w:pPr>
      <w:r>
        <w:rPr>
          <w:sz w:val="22"/>
          <w:rFonts w:ascii="Calibri" w:hAnsi="Calibri"/>
        </w:rPr>
        <w:t xml:space="preserve">Въз основа на член 96, изречение 1 от Договора за държавните медии (MStV) от 14 до 28 април 2020 г. (... препратка), [име на федералния държавен медиен орган], в съгласие с другите федерални държавни медийни органи, приема следния статут:</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Раздел 1:</w:t>
      </w:r>
      <w:r>
        <w:rPr>
          <w:b/>
          <w:sz w:val="22"/>
          <w:rFonts w:ascii="Calibri" w:hAnsi="Calibri"/>
        </w:rPr>
        <w:t xml:space="preserve"> </w:t>
      </w:r>
      <w:r>
        <w:rPr>
          <w:b/>
          <w:sz w:val="22"/>
          <w:rFonts w:ascii="Calibri" w:hAnsi="Calibri"/>
        </w:rPr>
        <w:t xml:space="preserve">Общи разпоредби</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Член 1.</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Цел и предназначение</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Съгласно Член 96 MStV, настоящият устав урежда подробности относно материалното и процедурното уточняване на правните разпоредби за регулиране на медийните посредници и доставчиците на медийни посредници (Членове от 91 до 95 MStV).</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Този статут служи за защита на разнообразието от мнения (разнообразие на предлагане и предоставяне).</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Насочващата роля на медийните посредници за съответните групи потребители се взема предвид при прилагането на настоящия устав.</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Член 2.</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Обхват на прилагане</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Обхватът на прилагане на устава включва медийни посредници, интегрирани медийни посредници и техни доставчици.</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Терминът „интегриран медиен посредник“ съгласно член 91, параграф 1 от MStV обхваща всяко интегриране на посредническа функция в предлагането на трети страни, което дава възможност на потребителите на предложенията на трети страни да използват посредническата функция.</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Броят на потребителите съгласно член 91, параграф 2, алинея 1 MStV е сборът на уникалните месечни потребители.</w:t>
      </w:r>
      <w:r>
        <w:rPr>
          <w:sz w:val="22"/>
          <w:rFonts w:ascii="Calibri" w:hAnsi="Calibri"/>
        </w:rPr>
        <w:t xml:space="preserve"> </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(3) Ако доставчикът на медиен посредник се позовава на регламента в член 91, параграф 2, алинея 1 MStV, той представя и обосновава броя на потребителите в срок от един месец и представя документите и информацията, необходими за проверката.</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(4) Ако междинната функция все още не е предложена или е била предложена в продължение на по-малко от шест месеца, доставчикът на медийния посредник, по искане на компетентния федерален държавен медиен орган, изготвя прогноза за напредъка на номерата на потребителите по смисъла на член 91, параграф 2, алинея 1 MStV и предоставя достоверни доказателства, а също така представя документите и информацията, необходими за проверката.</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Член 3.</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Упълномощен агент</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Упълномощен агент може да бъде физическо или юридическо лице.</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Физическите лица трябва да имат местоживеене или обичайно местопребиваване, юридическите лица трябва да имат седалище на основното си място на стопанска дейност във Федерална република Германия.</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Посочва се адрес, който може да бъде призован.</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Изискванията съгласно член 92, изречение 1, втората половина MStV обикновено са изпълнени, ако упълномощеният агент е определен в обхвата на информацията, изисквана съгласно член 5, параграф 1 от Закона за телемедията (TMG) и Член 18, параграф 1 от MStV.</w:t>
      </w: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Раздел 2:</w:t>
      </w:r>
      <w:r>
        <w:rPr>
          <w:b/>
          <w:sz w:val="22"/>
          <w:rFonts w:ascii="Calibri" w:hAnsi="Calibri"/>
        </w:rPr>
        <w:t xml:space="preserve"> </w:t>
      </w:r>
      <w:r>
        <w:rPr>
          <w:b/>
          <w:sz w:val="22"/>
          <w:rFonts w:ascii="Calibri" w:hAnsi="Calibri"/>
        </w:rPr>
        <w:t xml:space="preserve">Прозрачност</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Член 4.</w:t>
      </w:r>
    </w:p>
    <w:p w:rsidR="00D87095" w:rsidRDefault="00D87095" w:rsidP="00D87095">
      <w:pPr>
        <w:spacing w:line="276" w:lineRule="auto"/>
        <w:jc w:val="center"/>
        <w:rPr>
          <w:b/>
          <w:sz w:val="22"/>
          <w:szCs w:val="22"/>
          <w:rFonts w:ascii="Calibri" w:eastAsia="Calibri" w:hAnsi="Calibri"/>
        </w:rPr>
      </w:pPr>
      <w:r>
        <w:rPr>
          <w:b/>
          <w:sz w:val="22"/>
          <w:rFonts w:ascii="Calibri" w:hAnsi="Calibri"/>
        </w:rPr>
        <w:t xml:space="preserve">Цел и предназначение</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Разпоредбите на този раздел имат за цел да гарантират създаването на подходяща прозрачност за потребителите на медийни посредници по отношение на информацията, посочена в член 93, параграф 1 MStV и член 6 (информация, която трябва да бъде прозрачна).</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По-специално това трябва да даде възможност за информирано използване на медийния посредник по отношение на агрегацията, подбора и представянето на журналистическо-редакционно съдържание.</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Те се обръщат и към доставчиците на журналистическо-редакционно съдържание.</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Член 5.</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Официални изисквания</w:t>
      </w:r>
    </w:p>
    <w:p w:rsidR="00D87095" w:rsidRPr="00D87095" w:rsidRDefault="00D87095"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(1) Информацията съгласно член 93, параграф 1 от MStV измененията съгласно член 93, параграф 3 MStV и информацията съгласно член 6 трябва да бъдат направени прозрачни на немски език.</w:t>
      </w:r>
    </w:p>
    <w:p w:rsidR="002A4057" w:rsidRPr="00D87095"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Информацията, която трябва да бъде прозрачна, е лесно забележима по смисъла на член 93 MStV, ако тя е поставена в ясно забележима позиция за среден потребител, като се има предвид типичното положение на използване на медийния посредник.</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Това обикновено е така, ако информацията, която трябва да се направи прозрачна, очевидно се различава от останалата част от съдържанието и е пряко свързана с входните или навигационните опции, от съществено значение за използването на медийния посредник.</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При използване на уеб връзка, отнасяща се до информацията, която трябва да бъде прозрачна, горепосочените изисквания се прилагат съответно.</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(3)</w:t>
      </w:r>
      <w:r>
        <w:rPr>
          <w:sz w:val="22"/>
          <w:vertAlign w:val="superscript"/>
          <w:rFonts w:ascii="Calibri" w:hAnsi="Calibri"/>
        </w:rPr>
        <w:t xml:space="preserve">1</w:t>
      </w:r>
      <w:r>
        <w:rPr>
          <w:sz w:val="22"/>
          <w:rFonts w:ascii="Calibri" w:hAnsi="Calibri"/>
        </w:rPr>
        <w:t xml:space="preserve">Информацията, която трябва да се направи прозрачна, е незабавно достъпна по смисъла на член 93 MStV, ако тя е осезаема за потребителя без значителни междинни стъпки.</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Това особено не е така, ако информацията е достъпна с повече от две уеб връзки и/или извличането на информацията зависи от предварителна регистрация или вход.</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(4) Информацията, която трябва да се направи прозрачна, винаги е достъпна по смисъла на член 93 MStV, ако потребителят има достъп до нея по всяко време.</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(5) Информацията, която трябва да се направи прозрачна, се предоставя на разбираем език по смисъла на член 93 MStV, ако тя може да предостави на средния потребител основното разбиране на обстоятелствата, посочени в член 93, параграф 1 MStV, необходими за информирано използване на медийния посредник.</w:t>
      </w:r>
    </w:p>
    <w:p w:rsidR="002A4057" w:rsidRDefault="002A4057"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(6) Ако използването на медийния посредник е предимно гласово, информацията, която трябва да стане прозрачна, също трябва да бъде възпроизведена акустично по искане на потребителя, при което е достатъчна акустична индикация, за това къде е предоставена информацията, която трябва да стане прозрачна.</w:t>
      </w: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Член 6.</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Задължения за информиране</w:t>
      </w:r>
    </w:p>
    <w:p w:rsidR="00D87095" w:rsidRPr="00D87095" w:rsidRDefault="00D87095" w:rsidP="002A4057">
      <w:pPr>
        <w:spacing w:line="276" w:lineRule="auto"/>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Доставчикът на медиен посредник е длъжен да направи прозрачни критериите, които определят достъпа на съдържание до медиен посредник и неговото задържане (член 93, параграф 1, алинея 1, т. 1 MStV).</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За тази цел доставчикът на медиен посредник трябва по-специално да предостави следната информация:</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Описание на техническите, икономическите, свързаните с доставчика, свързаните с потребителя и свързаните със съдържанието условия, определящи дали съдържанието е осезаемо чрез медиен посредник,</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в случай че дадено съдържание е филтрирано, понижено или модернизирано по отношение на възприемчивостта при достъпа и оставането в медийния посредник, по-специално чрез използване на автоматични системи, съответната категория съдържание и целите, преследвани от филтрирането или класификацията, се посочва и</w:t>
      </w:r>
    </w:p>
    <w:p w:rsid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информация за това дали и, ако е така, как достъпът и задържането на съдържание в медийния посредник се влияе или може да бъде повлиян от плащания или други преки или косвени ползи в натура</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Доставчикът на медиен посредник е длъжен съгласно член 93, ал. 1, параграф 2 MStV да направи прозрачни централните критерии за агрегиране, подбор и представяне на съдържанието и тяхната тежест, включително информация за функционирането на използваните алгоритми.</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За тази цел доставчикът на медиен посредник трябва по-специално да предостави следната информация:</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описание на централните критерии за агрегиране, подбор и представяне, използвани от доставчика на медиен посредник,</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описание на относителната тежест на централните критерии по отношение един на друг и по отношение на нецентралните критерии, без последните да бъдат прозрачни,</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описание на целите за оптимизация, преследвани от централните критерии,</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информация за това дали, и ако е така, как откриваемостта на съдържанието в медийния посредник е или може да бъде повлияна от плащането на такси или други преки или косвени възнаграждения,</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описание на основните етапи на процеса, в основата на агрегирането, подбора и представянето на съдържанието, включително кои лични и други данни са включени в агрегацията, подбора и представянето,</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информация за вида и обхвата на използваната персонализация и дали, и ако е така, как съдържанието се оценява за значимост за съответния потребител,</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информация за това дали, и ако е така, по какъв начин поведението на потребителя в медийния посредник може да повлияе на агрегацията, подбора и представянето на съдържание, включително индикации за възможностите за влияние на потребителя чрез настройки и частични функции и</w:t>
      </w:r>
    </w:p>
    <w:p w:rsid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информация за това дали, и ако е така, как доставчикът на медиен посредник третира собственото си съдържание, съдържание на свързано дружество (член 15 от Закон за акционерните дружества (AktG) или съдържанието на партньорите за сътрудничество по специален начин по време на агрегацията, подбора и/или представянето.</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Важно изменение на критериите, които трябва да се направят прозрачни съгласно член 93, параграф 1 MStV, се правят незабавно осезаеми.</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За тази цел доставчикът на медиен посредник съхранява на разположение преглед, показващ значителните промени, направени във времето.</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Всички други изменения на критериите, които трябва да бъдат направени прозрачни съгласно член 93, параграф 1 от MStV, се оповестяват най-малко на всеки четири месеца от влизането в сила на настоящия устав.</w:t>
      </w:r>
      <w:r>
        <w:rPr>
          <w:sz w:val="22"/>
          <w:rFonts w:ascii="Calibri" w:hAnsi="Calibri"/>
        </w:rPr>
        <w:t xml:space="preserve"> </w:t>
      </w:r>
      <w:r>
        <w:rPr>
          <w:sz w:val="22"/>
          <w:rFonts w:ascii="Calibri" w:hAnsi="Calibri"/>
        </w:rPr>
        <w:t xml:space="preserve">Член 5 се прилага съответно.</w:t>
      </w:r>
    </w:p>
    <w:p w:rsidR="00D87095" w:rsidRDefault="00D87095" w:rsidP="002A4057">
      <w:pPr>
        <w:spacing w:line="276" w:lineRule="auto"/>
        <w:jc w:val="center"/>
        <w:rPr>
          <w:rFonts w:ascii="Calibri" w:eastAsia="Calibri" w:hAnsi="Calibri"/>
          <w:b/>
          <w:sz w:val="22"/>
          <w:szCs w:val="22"/>
          <w:lang w:eastAsia="en-US"/>
        </w:rPr>
      </w:pP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jc w:val="center"/>
        <w:rPr>
          <w:b/>
          <w:sz w:val="22"/>
          <w:szCs w:val="22"/>
          <w:rFonts w:ascii="Calibri" w:eastAsia="Calibri" w:hAnsi="Calibri"/>
        </w:rPr>
      </w:pPr>
      <w:r>
        <w:rPr>
          <w:b/>
          <w:sz w:val="22"/>
          <w:rFonts w:ascii="Calibri" w:hAnsi="Calibri"/>
        </w:rPr>
        <w:t xml:space="preserve">Раздел 3:</w:t>
      </w:r>
      <w:r>
        <w:rPr>
          <w:b/>
          <w:sz w:val="22"/>
          <w:rFonts w:ascii="Calibri" w:hAnsi="Calibri"/>
        </w:rPr>
        <w:t xml:space="preserve"> </w:t>
      </w:r>
      <w:r>
        <w:rPr>
          <w:b/>
          <w:sz w:val="22"/>
          <w:rFonts w:ascii="Calibri" w:hAnsi="Calibri"/>
        </w:rPr>
        <w:t xml:space="preserve">Недискриминация</w:t>
      </w:r>
    </w:p>
    <w:p w:rsidR="00D87095" w:rsidRPr="00D87095" w:rsidRDefault="00D87095" w:rsidP="002A4057">
      <w:pPr>
        <w:spacing w:line="276" w:lineRule="auto"/>
        <w:jc w:val="center"/>
        <w:rPr>
          <w:rFonts w:ascii="Calibri" w:eastAsia="Calibri" w:hAnsi="Calibri"/>
          <w:b/>
          <w:sz w:val="22"/>
          <w:szCs w:val="22"/>
          <w:lang w:eastAsia="en-US"/>
        </w:rPr>
      </w:pPr>
    </w:p>
    <w:p w:rsidR="00D87095" w:rsidRDefault="00D87095" w:rsidP="002A4057">
      <w:pPr>
        <w:spacing w:line="276" w:lineRule="auto"/>
        <w:jc w:val="center"/>
        <w:rPr>
          <w:b/>
          <w:sz w:val="22"/>
          <w:szCs w:val="22"/>
          <w:rFonts w:ascii="Calibri" w:eastAsia="Calibri" w:hAnsi="Calibri"/>
        </w:rPr>
      </w:pPr>
      <w:r>
        <w:rPr>
          <w:b/>
          <w:sz w:val="22"/>
          <w:rFonts w:ascii="Calibri" w:hAnsi="Calibri"/>
        </w:rPr>
        <w:t xml:space="preserve">Член 7. Общи разпоредби</w:t>
      </w:r>
    </w:p>
    <w:p w:rsidR="002A4057" w:rsidRPr="00D87095" w:rsidRDefault="002A4057" w:rsidP="002A4057">
      <w:pPr>
        <w:spacing w:line="276" w:lineRule="auto"/>
        <w:jc w:val="center"/>
        <w:rPr>
          <w:rFonts w:ascii="Calibri" w:eastAsia="Calibri" w:hAnsi="Calibri"/>
          <w:b/>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Задължението на медиен посредник съгласно раздел 94, параграф 1 от MStV включва също така определени части и приноси на журналистическо-редакционно предлагане.</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При определянето на особено силно влияние по смисъла на член 94, ал. 1 MStV, влиянието на медийния посредник върху възприемчивостта на журналистическо-редакционно съдържание в процеса на формиране на становища е от решаващо значение.</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Оценката може да вземе предвид по-специално</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позицията на медийния посредник на съответните пазари;</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цялостната представа за използването, например въз основа на наличния обхват на употреба, потребителските номера, продължителността и активността на потребителите или броя показвания на потребител.</w:t>
      </w:r>
      <w:r>
        <w:rPr>
          <w:sz w:val="22"/>
          <w:rFonts w:ascii="Calibri" w:hAnsi="Calibri"/>
        </w:rPr>
        <w:t xml:space="preserve"> </w:t>
      </w:r>
    </w:p>
    <w:p w:rsidR="002A4057" w:rsidRPr="002A4057"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Член 8. </w:t>
      </w:r>
      <w:r>
        <w:rPr>
          <w:b/>
          <w:sz w:val="22"/>
          <w:rFonts w:ascii="Calibri" w:hAnsi="Calibri"/>
        </w:rPr>
        <w:br/>
      </w:r>
      <w:r>
        <w:rPr>
          <w:b/>
          <w:sz w:val="22"/>
          <w:rFonts w:ascii="Calibri" w:hAnsi="Calibri"/>
        </w:rPr>
        <w:t xml:space="preserve">Системно отклонение съгласно член 94, параграф 2, първа алтернативна MStV</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Решаващи за преценката дали се прилага нарушение на член 94, алинея 2, първа алтернативна MStV</w:t>
      </w:r>
    </w:p>
    <w:p w:rsidR="00D87095" w:rsidRP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са критериите и информацията за претеглянето на критериите, които доставчикът на медиен посредник публикува, за да изпълни задължението си съгласно член 93, параграф 1 MStV или</w:t>
      </w:r>
    </w:p>
    <w:p w:rsid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критериите и информацията относно претеглянето на критериите, които доставчикът на медиен посредник би трябвало да публикува, за да изпълни задължението си съгласно член 93, параграф 1 MStV.</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Отклонение по смисъла на член 94, параграф 2, първа алтернатива MStV се счита за съществуваща по-специално, ако доставчикът на медиен посредник</w:t>
      </w:r>
      <w:r>
        <w:rPr>
          <w:sz w:val="22"/>
          <w:rFonts w:ascii="Calibri" w:hAnsi="Calibri"/>
        </w:rPr>
        <w:t xml:space="preserve"> </w:t>
      </w:r>
    </w:p>
    <w:p w:rsidR="00D87095" w:rsidRP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не прилага публикуваните критерии или критерии, различни от тези, които се публикуват съгласно член 93, алинея 1, точки 1 и 2 MStV, или</w:t>
      </w:r>
    </w:p>
    <w:p w:rsid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отклонява се от публикуваната тежест на централните критерии за агрегация, подбор и представяне на съдържание.</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Независимо дали отклонение по смисъла на член 94, алинея 2, първа алтернатива MStV е систематично, се определя въз основа на цялостна гледна точка на всички обстоятелства.</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По-специално се вземат предвид продължителността, редовността, повторението и графика на отклонението.</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(4) Отклонението е оправдано, ако това се дължи на обективно обоснована причина.</w:t>
      </w:r>
      <w:r>
        <w:rPr>
          <w:sz w:val="22"/>
          <w:rFonts w:ascii="Calibri" w:hAnsi="Calibri"/>
        </w:rPr>
        <w:t xml:space="preserve"> </w:t>
      </w:r>
      <w:r>
        <w:rPr>
          <w:sz w:val="22"/>
          <w:rFonts w:ascii="Calibri" w:hAnsi="Calibri"/>
        </w:rPr>
        <w:t xml:space="preserve">Причините за това могат да бъдат по-специално</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правни забрани или правни задължения;</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технически условия при представянето на потребителя;</w:t>
      </w:r>
    </w:p>
    <w:p w:rsid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изисквания за защита на целостта на услугата.</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(5) Дали е налице обективно обоснована причина се преценява след претегляне на интересите на заинтересованите страни, като се вземе предвид целта на MStV да гарантира многообразието на становищата.</w:t>
      </w:r>
      <w:r>
        <w:rPr>
          <w:sz w:val="22"/>
          <w:rFonts w:ascii="Calibri" w:hAnsi="Calibri"/>
        </w:rPr>
        <w:t xml:space="preserve">  </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Член 9.</w:t>
      </w: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Неразумна пречка съгласно член 94, алинея 2, втора алтернатива MStV</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Пречка по смисъла на член 94, алинея 2, втора алтернатива MStV е прякото или непрякото увреждане по отношение на достъпа до журналистическо-редакционно предлагане.</w:t>
      </w: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Член 8, алинея 1 се прилага съответно.</w:t>
      </w:r>
    </w:p>
    <w:p w:rsidR="006E5D47"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Независимо дали пречка по смисъла на член 94, алинея 2, втора алтернативна MStV систематично се определя въз основа на цялостна гледна точка на всички обстоятелства.</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Трябва да се вземе предвид продължителността, редовността, повторението и редовността на пречката.</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w:t>
      </w:r>
      <w:r>
        <w:rPr>
          <w:sz w:val="22"/>
          <w:vertAlign w:val="superscript"/>
          <w:rFonts w:ascii="Calibri" w:hAnsi="Calibri"/>
        </w:rPr>
        <w:t xml:space="preserve">1</w:t>
      </w:r>
      <w:r>
        <w:rPr>
          <w:sz w:val="22"/>
          <w:rFonts w:ascii="Calibri" w:hAnsi="Calibri"/>
        </w:rPr>
        <w:t xml:space="preserve">Неразумният характер на препятствието се оценява въз основа на баланс между интересите на страните, като се взема предвид целта на MStV за опазване на многообразието на становищата.</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Неразумният характер на пречка може да възникне от индивидуални критерии или от кумулативно взаимодействие на няколко критерия.</w:t>
      </w:r>
      <w:r>
        <w:rPr>
          <w:sz w:val="22"/>
          <w:rFonts w:ascii="Calibri" w:hAnsi="Calibri"/>
        </w:rPr>
        <w:t xml:space="preserve">  </w:t>
      </w:r>
    </w:p>
    <w:p w:rsidR="00D87095" w:rsidRDefault="00D87095" w:rsidP="006E5D47">
      <w:pPr>
        <w:spacing w:line="276" w:lineRule="auto"/>
        <w:jc w:val="center"/>
        <w:rPr>
          <w:rFonts w:ascii="Calibri" w:eastAsia="Calibri" w:hAnsi="Calibri"/>
          <w:b/>
          <w:sz w:val="22"/>
          <w:szCs w:val="22"/>
          <w:lang w:eastAsia="en-US"/>
        </w:rPr>
      </w:pP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6E5D47" w:rsidP="006E5D47">
      <w:pPr>
        <w:spacing w:line="276" w:lineRule="auto"/>
        <w:jc w:val="center"/>
        <w:rPr>
          <w:b/>
          <w:sz w:val="22"/>
          <w:szCs w:val="22"/>
          <w:rFonts w:ascii="Calibri" w:eastAsia="Calibri" w:hAnsi="Calibri"/>
        </w:rPr>
      </w:pPr>
      <w:r>
        <w:rPr>
          <w:b/>
          <w:sz w:val="22"/>
          <w:rFonts w:ascii="Calibri" w:hAnsi="Calibri"/>
        </w:rPr>
        <w:t xml:space="preserve">Раздел 4:</w:t>
      </w:r>
      <w:r>
        <w:rPr>
          <w:b/>
          <w:sz w:val="22"/>
          <w:rFonts w:ascii="Calibri" w:hAnsi="Calibri"/>
        </w:rPr>
        <w:t xml:space="preserve"> </w:t>
      </w:r>
      <w:r>
        <w:rPr>
          <w:b/>
          <w:sz w:val="22"/>
          <w:rFonts w:ascii="Calibri" w:hAnsi="Calibri"/>
        </w:rPr>
        <w:t xml:space="preserve">Процедура и разследване</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Член 10.</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Компетентност на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За изпълнението на задачите в рамките на настоящия устав Комисията относно лицензирането и надзора (ZAK) на компетентния федерален държавен медиен орган, служи като подходящ орган (член 104, алинея 2, изречение 1 № 1, член 105, алинея 1, изречение 1, № 10 MStV във връзка с процедурния правилник на ZAK – GVO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Компетентният федерален държавен медиен орган незабавно препраща жалби до ZAK чрез Съвместната служба съгласно член 11 и го информира за последващи проверки.</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ZAK провежда производството, докато решението е готово.</w:t>
      </w:r>
    </w:p>
    <w:p w:rsidR="006E5D47" w:rsidRPr="006E5D47"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Член 11.</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Процедура за недискриминация</w:t>
      </w: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Компетентният федерален държавен медиен орган разглежда чрез ZAK, въз основа на жалба или в очевидни случаи ex officio, дали доставчикът на медиен посредник нарушава разпоредбите на член 94, параграфи 1 и 2 MStV или членове 8 и 9.</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Право на обжалване по смисъла на член 94, параграф 3, изречение 1 MStV се предоставя на</w:t>
      </w:r>
      <w:r>
        <w:rPr>
          <w:sz w:val="22"/>
          <w:rFonts w:ascii="Calibri" w:hAnsi="Calibri"/>
        </w:rPr>
        <w:t xml:space="preserve"> </w:t>
      </w:r>
    </w:p>
    <w:p w:rsidR="00D87095" w:rsidRP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доставчици на журналистическо-редакционно съдържание и</w:t>
      </w:r>
      <w:r>
        <w:rPr>
          <w:sz w:val="22"/>
          <w:rFonts w:ascii="Calibri" w:hAnsi="Calibri"/>
        </w:rPr>
        <w:t xml:space="preserve"> </w:t>
      </w:r>
    </w:p>
    <w:p w:rsid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доставчици на медийни платформи и потребителски интерфейси, доколкото те се оплакват от дискриминация срещу пакетите на журналистическо-редакционно съдържание, които предлагат.</w:t>
      </w:r>
    </w:p>
    <w:p w:rsidR="006E5D47" w:rsidRPr="00D87095" w:rsidRDefault="006E5D47" w:rsidP="006E5D47">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Жалбоподателят дава основания за жалбата си.</w:t>
      </w:r>
      <w:r>
        <w:rPr>
          <w:sz w:val="22"/>
          <w:rFonts w:ascii="Calibri" w:hAnsi="Calibri"/>
        </w:rPr>
        <w:t xml:space="preserve"> </w:t>
      </w:r>
      <w:r>
        <w:rPr>
          <w:sz w:val="22"/>
          <w:rFonts w:ascii="Calibri" w:hAnsi="Calibri"/>
        </w:rPr>
        <w:t xml:space="preserve">За тази цел се предоставят подходящи доказателства, от които ще се появят достатъчно улики за предполагаемата дискриминация на неговото журналистическо-редакционно съдържание по смисъла на член 94, алинея 2 MStV или членове 8 и 9.</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По-специално, може да се представи следното:</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оценки на намирането на собствено журналистическо-редакционно съдържание в медийния посредник и</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подходящи изследвания.</w:t>
      </w: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3</w:t>
      </w:r>
      <w:r>
        <w:rPr>
          <w:sz w:val="22"/>
          <w:rFonts w:ascii="Calibri" w:hAnsi="Calibri"/>
        </w:rPr>
        <w:t xml:space="preserve">В допълнение, когато е възможно, жалбоподателят предоставя подходящо доказателство, от което има достатъчно улики за особено силното влияние на медийния посредник върху възприемчивостта на журналистическото-редакционно съдържание по смисъла на член 94, алинея 1 от MStV.</w:t>
      </w:r>
      <w:r>
        <w:rPr>
          <w:sz w:val="22"/>
          <w:rFonts w:ascii="Calibri" w:hAnsi="Calibri"/>
        </w:rPr>
        <w:t xml:space="preserve"> </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Очевидно дело съгласно член 94, алинея 3, изречение 2 MStV и точка 1 съществува, ако фактите, свързани с нарушението на забраната за дискриминация, са ясно идентифицирани за трети лица.</w:t>
      </w:r>
      <w:r>
        <w:rPr>
          <w:sz w:val="22"/>
          <w:rFonts w:ascii="Calibri" w:hAnsi="Calibri"/>
        </w:rPr>
        <w:t xml:space="preserve"> </w:t>
      </w:r>
    </w:p>
    <w:p w:rsidR="00D87095" w:rsidRPr="00D87095" w:rsidRDefault="00D87095"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Член 12.</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Коригиране</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Ако компетентният федерален държавен медиен орган реши чрез ZAK, че доставчикът на медиен посредник нарушава членове 92 до 94 MStV или разпоредби от този устав, доставчикът на медийния посредник незабавно коригира медийния посредник.</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Доставчикът на медийния посредник е длъжен да предостави доказателства за коригирането на компетентния федерален държавен медиен орган по подходящ и разбираем начин.</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Член 13.</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Информация и представяне на документи</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За проверка на евентуално нарушение, доставчикът на медиен посредник е длъжен да предостави цялата необходима информация, да предоставя информация като цяло и да подава документи.</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Компетентният федерален държавен медиен орган може по-специално</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да изиска представянето на цялата документация, която доказва критериите по смисъла на член 93, алинея 1, параграф 1 MStV или централните критерии и тяхното претегляне, както и функционирането на алгоритмите, използвани по смисъла на член 93, алинея 1 точка 2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да изслушат като свидетели служителите на доставчика на медиен посредник, участващи в определението, техническото изпълнение и изменението на критериите по смисъла на член 93, алинея 1, точка 1 MStV или централни критерии и тяхната тежест, както и алгоритмите, използвани по смисъла на член 93, алинея 1, точка 2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изискват от доставчика на медиен посредник, декларация, относно информацията, която следва да бъде направена прозрачна съгласно член 93, алинея 1 от MStV и член 6;</w:t>
      </w:r>
    </w:p>
    <w:p w:rsid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изисква подаването на договорни споразумения, ангажименти или други задължения, които са обективно свързани с достъпа и запазването на съдържание до медийния посредник, по-специално що се отнася до включването, представянето и запазването на журналистическото-редакционно съдържание.</w:t>
      </w:r>
    </w:p>
    <w:p w:rsidR="00D622FF" w:rsidRPr="00D87095" w:rsidRDefault="00D622FF" w:rsidP="00D622FF">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При подаване на документи по ал. 1, доставчикът на медиен посредник маркира тези части от документите, които съдържат търговски или бизнес тайни.</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В този случай, те трябва допълнително да представят версия, която, от тяхна гледна точка, може да бъде разглеждана от трети страни, без да разкриват бизнес или търговски тайни.</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Ако това не е направено, федералният държавен медиен орган може да приеме съгласие за проверка, освен ако не е наясно със специални обстоятелства, които не оправдават такава презумпция.</w:t>
      </w:r>
      <w:r>
        <w:rPr>
          <w:sz w:val="22"/>
          <w:rFonts w:ascii="Calibri" w:hAnsi="Calibri"/>
        </w:rPr>
        <w:t xml:space="preserve"> </w:t>
      </w:r>
      <w:r>
        <w:rPr>
          <w:sz w:val="22"/>
          <w:vertAlign w:val="superscript"/>
          <w:rFonts w:ascii="Calibri" w:hAnsi="Calibri"/>
        </w:rPr>
        <w:t xml:space="preserve">4</w:t>
      </w:r>
      <w:r>
        <w:rPr>
          <w:sz w:val="22"/>
          <w:rFonts w:ascii="Calibri" w:hAnsi="Calibri"/>
        </w:rPr>
        <w:t xml:space="preserve">Ако федералният държавен медиен орган счита маркирането на документите като търговски или бизнес тайни за неоправдано, той трябва да даде възможност на доставчика да коментира, преди да реши дали да предостави достъп до трети лица.</w:t>
      </w:r>
    </w:p>
    <w:p w:rsid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 </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Раздел 5:</w:t>
      </w:r>
      <w:r>
        <w:rPr>
          <w:b/>
          <w:sz w:val="22"/>
          <w:rFonts w:ascii="Calibri" w:hAnsi="Calibri"/>
        </w:rPr>
        <w:t xml:space="preserve"> </w:t>
      </w:r>
      <w:r>
        <w:rPr>
          <w:b/>
          <w:sz w:val="22"/>
          <w:rFonts w:ascii="Calibri" w:hAnsi="Calibri"/>
        </w:rPr>
        <w:t xml:space="preserve">Заключителни разпоредби</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Член 14.</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Оценка</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DF0BF7">
      <w:pPr>
        <w:spacing w:after="200" w:line="276" w:lineRule="auto"/>
        <w:contextualSpacing/>
        <w:rPr>
          <w:sz w:val="22"/>
          <w:szCs w:val="22"/>
          <w:rFonts w:ascii="Calibri" w:eastAsia="Calibri" w:hAnsi="Calibri"/>
        </w:rPr>
      </w:pPr>
      <w:r>
        <w:rPr>
          <w:sz w:val="22"/>
          <w:rFonts w:ascii="Calibri" w:hAnsi="Calibri"/>
        </w:rPr>
        <w:t xml:space="preserve">ZAK преразглежда този устав най-малко на всеки три години, като отделя специално внимание на</w:t>
      </w:r>
      <w:r>
        <w:rPr>
          <w:sz w:val="22"/>
          <w:rFonts w:ascii="Calibri" w:hAnsi="Calibri"/>
        </w:rPr>
        <w:tab/>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натрупания опит от практическото прилагане на този устав;</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техническото и икономическото развитие в регулаторната област;</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значението на отделните медийни посредници за формиране на общественото мнение;</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развитие на съвместното регулиране, като например ангажименти, свързани с цялата промишленост;</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разработване на научни изследвания в областта на прозрачността и дискриминацията;</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развитието на научните изследвания и науката в областта на анализа на данните, изкуствения интелект и машинното обучение.</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Член 15.</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Влизане в сила</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8C60A0" w:rsidRPr="008C60A0" w:rsidRDefault="006E5D47" w:rsidP="00DF0BF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Настоящият закон влиза в сила на 1 септември 2021 г.</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Ако до 31 август 2021 г. съответните устави не са приети и публикувани от всички федерални държавни медийни органи, този устав спира да е актуален.</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Председателят на Конференцията на директорите на Федералните държавни медийни органи (DLM) публикува в интернет под марката на чадъра „Dee medie medienanstalten“, дали всички федерални държавни медийни органи са влезли и публикували съответните устави в срока, посочен в изречение 2.</w:t>
      </w:r>
      <w:r w:rsidR="00CF50DB">
        <w:rPr>
          <w:rStyle w:val="Funotenzeichen"/>
          <w:rFonts w:asciiTheme="minorHAnsi" w:eastAsia="Calibri" w:hAnsiTheme="minorHAnsi" w:cstheme="minorHAnsi"/>
          <w:sz w:val="22"/>
          <w:szCs w:val="22"/>
          <w:lang w:eastAsia="en-US"/>
        </w:rPr>
        <w:footnoteReference w:id="1"/>
      </w:r>
    </w:p>
    <w:sectPr w:rsidR="008C60A0" w:rsidRPr="008C60A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DB6" w:rsidRDefault="00F32DB6" w:rsidP="00986629">
      <w:r>
        <w:separator/>
      </w:r>
    </w:p>
  </w:endnote>
  <w:endnote w:type="continuationSeparator" w:id="0">
    <w:p w:rsidR="00F32DB6" w:rsidRDefault="00F32DB6" w:rsidP="0098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344168373"/>
      <w:docPartObj>
        <w:docPartGallery w:val="Page Numbers (Bottom of Page)"/>
        <w:docPartUnique/>
      </w:docPartObj>
    </w:sdtPr>
    <w:sdtEndPr/>
    <w:sdtContent>
      <w:p w:rsidR="00C41351" w:rsidRPr="00C41351" w:rsidRDefault="00C41351">
        <w:pPr>
          <w:pStyle w:val="Fuzeile"/>
          <w:jc w:val="center"/>
          <w:rPr>
            <w:sz w:val="22"/>
            <w:szCs w:val="22"/>
            <w:rFonts w:asciiTheme="minorHAnsi" w:hAnsiTheme="minorHAnsi" w:cstheme="minorHAnsi"/>
          </w:rPr>
        </w:pPr>
        <w:r w:rsidRPr="00C41351">
          <w:rPr>
            <w:sz w:val="22"/>
            <w:rFonts w:asciiTheme="minorHAnsi" w:hAnsiTheme="minorHAnsi" w:cstheme="minorHAnsi"/>
          </w:rPr>
          <w:fldChar w:fldCharType="begin"/>
        </w:r>
        <w:r w:rsidRPr="00C41351">
          <w:rPr>
            <w:sz w:val="22"/>
            <w:rFonts w:asciiTheme="minorHAnsi" w:hAnsiTheme="minorHAnsi" w:cstheme="minorHAnsi"/>
          </w:rPr>
          <w:instrText>PAGE   \* MERGEFORMAT</w:instrText>
        </w:r>
        <w:r w:rsidRPr="00C41351">
          <w:rPr>
            <w:sz w:val="22"/>
            <w:rFonts w:asciiTheme="minorHAnsi" w:hAnsiTheme="minorHAnsi" w:cstheme="minorHAnsi"/>
          </w:rPr>
          <w:fldChar w:fldCharType="separate"/>
        </w:r>
        <w:r w:rsidR="00673759">
          <w:rPr>
            <w:sz w:val="22"/>
            <w:rFonts w:asciiTheme="minorHAnsi" w:hAnsiTheme="minorHAnsi" w:cstheme="minorHAnsi"/>
          </w:rPr>
          <w:t>8</w:t>
        </w:r>
        <w:r w:rsidRPr="00C41351">
          <w:rPr>
            <w:sz w:val="22"/>
            <w:rFonts w:asciiTheme="minorHAnsi" w:hAnsiTheme="minorHAnsi" w:cstheme="minorHAnsi"/>
          </w:rPr>
          <w:fldChar w:fldCharType="end"/>
        </w:r>
      </w:p>
    </w:sdtContent>
  </w:sdt>
  <w:p w:rsidR="00793947" w:rsidRDefault="007939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DB6" w:rsidRDefault="00F32DB6" w:rsidP="00986629">
      <w:r>
        <w:separator/>
      </w:r>
    </w:p>
  </w:footnote>
  <w:footnote w:type="continuationSeparator" w:id="0">
    <w:p w:rsidR="00F32DB6" w:rsidRDefault="00F32DB6" w:rsidP="00986629">
      <w:r>
        <w:continuationSeparator/>
      </w:r>
    </w:p>
  </w:footnote>
  <w:footnote w:id="1">
    <w:p w:rsidR="00CF50DB" w:rsidRDefault="00CF50DB" w:rsidP="00CF50DB">
      <w:pPr>
        <w:pStyle w:val="Funotentext"/>
      </w:pPr>
      <w:r>
        <w:rPr>
          <w:rStyle w:val="Funotenzeichen"/>
        </w:rPr>
        <w:footnoteRef/>
      </w:r>
      <w:r>
        <w:t xml:space="preserve"> Уведомен в съответствие с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 (ОВ L 241, 17.9.2015 г., стр.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629" w:rsidRPr="00986629" w:rsidRDefault="00986629">
    <w:pPr>
      <w:pStyle w:val="Kopfzeile"/>
      <w:rPr>
        <w:sz w:val="16"/>
      </w:rPr>
    </w:pPr>
    <w:r>
      <w:rPr>
        <w:sz w:val="20"/>
      </w:rPr>
      <w:br/>
    </w:r>
    <w:r>
      <w:drawing>
        <wp:anchor distT="0" distB="0" distL="114300" distR="114300" simplePos="0" relativeHeight="251658240" behindDoc="0" locked="1" layoutInCell="1" allowOverlap="1">
          <wp:simplePos x="0" y="0"/>
          <wp:positionH relativeFrom="page">
            <wp:posOffset>4425950</wp:posOffset>
          </wp:positionH>
          <wp:positionV relativeFrom="page">
            <wp:posOffset>400685</wp:posOffset>
          </wp:positionV>
          <wp:extent cx="2172970" cy="510540"/>
          <wp:effectExtent l="0" t="0" r="0" b="3810"/>
          <wp:wrapNone/>
          <wp:docPr id="2"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br/>
    </w:r>
    <w:r>
      <w:rPr>
        <w:sz w:val="20"/>
      </w:rPr>
      <w:br/>
    </w:r>
  </w:p>
  <w:p w:rsidR="00986629" w:rsidRDefault="009866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E2F"/>
    <w:multiLevelType w:val="hybridMultilevel"/>
    <w:tmpl w:val="18DABDC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6051896"/>
    <w:multiLevelType w:val="hybridMultilevel"/>
    <w:tmpl w:val="EFC056D6"/>
    <w:lvl w:ilvl="0" w:tplc="683A071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7184E44"/>
    <w:multiLevelType w:val="hybridMultilevel"/>
    <w:tmpl w:val="90D252CA"/>
    <w:lvl w:ilvl="0" w:tplc="232480C8">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63BE0"/>
    <w:multiLevelType w:val="hybridMultilevel"/>
    <w:tmpl w:val="985221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A35CF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E5509B"/>
    <w:multiLevelType w:val="hybridMultilevel"/>
    <w:tmpl w:val="51242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7D09E5"/>
    <w:multiLevelType w:val="hybridMultilevel"/>
    <w:tmpl w:val="20A49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6E209C"/>
    <w:multiLevelType w:val="hybridMultilevel"/>
    <w:tmpl w:val="26E44C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34F459E"/>
    <w:multiLevelType w:val="hybridMultilevel"/>
    <w:tmpl w:val="D2EC5AA2"/>
    <w:lvl w:ilvl="0" w:tplc="18A608C6">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07088F"/>
    <w:multiLevelType w:val="hybridMultilevel"/>
    <w:tmpl w:val="5A586D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ED627A"/>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D4295E"/>
    <w:multiLevelType w:val="hybridMultilevel"/>
    <w:tmpl w:val="5F7A48D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2" w15:restartNumberingAfterBreak="0">
    <w:nsid w:val="36ED5ED2"/>
    <w:multiLevelType w:val="hybridMultilevel"/>
    <w:tmpl w:val="102A79D4"/>
    <w:lvl w:ilvl="0" w:tplc="533E0752">
      <w:start w:val="4"/>
      <w:numFmt w:val="bullet"/>
      <w:lvlText w:val="•"/>
      <w:lvlJc w:val="left"/>
      <w:pPr>
        <w:ind w:left="1146" w:hanging="360"/>
      </w:pPr>
      <w:rPr>
        <w:rFonts w:ascii="Calibri" w:eastAsia="Times New Roman" w:hAnsi="Calibri" w:cs="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3" w15:restartNumberingAfterBreak="0">
    <w:nsid w:val="38107676"/>
    <w:multiLevelType w:val="hybridMultilevel"/>
    <w:tmpl w:val="A37424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A021B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E023A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BF55E0"/>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611B0F"/>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0A4431"/>
    <w:multiLevelType w:val="hybridMultilevel"/>
    <w:tmpl w:val="2EBEBD2A"/>
    <w:lvl w:ilvl="0" w:tplc="71568D74">
      <w:start w:val="1"/>
      <w:numFmt w:val="decimal"/>
      <w:lvlText w:val="%1."/>
      <w:lvlJc w:val="left"/>
      <w:pPr>
        <w:ind w:left="720" w:hanging="360"/>
      </w:pPr>
      <w:rPr>
        <w:rFonts w:asciiTheme="minorHAnsi" w:hAnsiTheme="minorHAnsi"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DB1BCD"/>
    <w:multiLevelType w:val="hybridMultilevel"/>
    <w:tmpl w:val="AE6A8532"/>
    <w:lvl w:ilvl="0" w:tplc="2DF45302">
      <w:start w:val="1"/>
      <w:numFmt w:val="decimal"/>
      <w:lvlText w:val="%1."/>
      <w:lvlJc w:val="left"/>
      <w:pPr>
        <w:ind w:left="720" w:hanging="360"/>
      </w:pPr>
      <w:rPr>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371A26"/>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AA1800"/>
    <w:multiLevelType w:val="hybridMultilevel"/>
    <w:tmpl w:val="FA22ABB6"/>
    <w:lvl w:ilvl="0" w:tplc="0407000F">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C8C61D4"/>
    <w:multiLevelType w:val="hybridMultilevel"/>
    <w:tmpl w:val="578E6428"/>
    <w:lvl w:ilvl="0" w:tplc="1E38CAD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4DCA13AA"/>
    <w:multiLevelType w:val="hybridMultilevel"/>
    <w:tmpl w:val="079668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CB732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743BE5"/>
    <w:multiLevelType w:val="hybridMultilevel"/>
    <w:tmpl w:val="0E88EBC8"/>
    <w:lvl w:ilvl="0" w:tplc="274A954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8685FB1"/>
    <w:multiLevelType w:val="hybridMultilevel"/>
    <w:tmpl w:val="F01601A0"/>
    <w:lvl w:ilvl="0" w:tplc="24ECC678">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4070C1"/>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CF0F6C"/>
    <w:multiLevelType w:val="hybridMultilevel"/>
    <w:tmpl w:val="5356724C"/>
    <w:lvl w:ilvl="0" w:tplc="2D9C354C">
      <w:start w:val="1"/>
      <w:numFmt w:val="decimal"/>
      <w:lvlText w:val="%1."/>
      <w:lvlJc w:val="left"/>
      <w:pPr>
        <w:ind w:left="360" w:hanging="360"/>
      </w:pPr>
      <w:rPr>
        <w:rFonts w:asciiTheme="minorHAnsi" w:hAnsiTheme="minorHAnsi" w:cstheme="minorHAnsi"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F1B679E"/>
    <w:multiLevelType w:val="hybridMultilevel"/>
    <w:tmpl w:val="18E8C4F4"/>
    <w:lvl w:ilvl="0" w:tplc="ABD6BEBC">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FB310F1"/>
    <w:multiLevelType w:val="hybridMultilevel"/>
    <w:tmpl w:val="49C8E2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9256E5"/>
    <w:multiLevelType w:val="hybridMultilevel"/>
    <w:tmpl w:val="9C448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BF2FD9"/>
    <w:multiLevelType w:val="hybridMultilevel"/>
    <w:tmpl w:val="BC302260"/>
    <w:lvl w:ilvl="0" w:tplc="B422F4C4">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5901D5B"/>
    <w:multiLevelType w:val="hybridMultilevel"/>
    <w:tmpl w:val="37307526"/>
    <w:lvl w:ilvl="0" w:tplc="951E0C1C">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715989"/>
    <w:multiLevelType w:val="hybridMultilevel"/>
    <w:tmpl w:val="C7B611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6507B0"/>
    <w:multiLevelType w:val="hybridMultilevel"/>
    <w:tmpl w:val="D9DA2D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072854"/>
    <w:multiLevelType w:val="hybridMultilevel"/>
    <w:tmpl w:val="230E27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AB94F96"/>
    <w:multiLevelType w:val="hybridMultilevel"/>
    <w:tmpl w:val="7F9018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B2C0987"/>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BD45114"/>
    <w:multiLevelType w:val="hybridMultilevel"/>
    <w:tmpl w:val="4FACE3C8"/>
    <w:lvl w:ilvl="0" w:tplc="9FF4C736">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DE8053D"/>
    <w:multiLevelType w:val="hybridMultilevel"/>
    <w:tmpl w:val="712C2D8E"/>
    <w:lvl w:ilvl="0" w:tplc="90C0BA88">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DFB5C93"/>
    <w:multiLevelType w:val="hybridMultilevel"/>
    <w:tmpl w:val="664E4A22"/>
    <w:lvl w:ilvl="0" w:tplc="0D56F5BE">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6"/>
  </w:num>
  <w:num w:numId="5">
    <w:abstractNumId w:val="11"/>
  </w:num>
  <w:num w:numId="6">
    <w:abstractNumId w:val="1"/>
  </w:num>
  <w:num w:numId="7">
    <w:abstractNumId w:val="0"/>
  </w:num>
  <w:num w:numId="8">
    <w:abstractNumId w:val="22"/>
  </w:num>
  <w:num w:numId="9">
    <w:abstractNumId w:val="31"/>
  </w:num>
  <w:num w:numId="10">
    <w:abstractNumId w:val="12"/>
  </w:num>
  <w:num w:numId="11">
    <w:abstractNumId w:val="4"/>
  </w:num>
  <w:num w:numId="12">
    <w:abstractNumId w:val="34"/>
  </w:num>
  <w:num w:numId="13">
    <w:abstractNumId w:val="23"/>
  </w:num>
  <w:num w:numId="14">
    <w:abstractNumId w:val="37"/>
  </w:num>
  <w:num w:numId="15">
    <w:abstractNumId w:val="5"/>
  </w:num>
  <w:num w:numId="16">
    <w:abstractNumId w:val="30"/>
  </w:num>
  <w:num w:numId="17">
    <w:abstractNumId w:val="36"/>
  </w:num>
  <w:num w:numId="18">
    <w:abstractNumId w:val="28"/>
  </w:num>
  <w:num w:numId="19">
    <w:abstractNumId w:val="35"/>
  </w:num>
  <w:num w:numId="20">
    <w:abstractNumId w:val="7"/>
  </w:num>
  <w:num w:numId="21">
    <w:abstractNumId w:val="18"/>
  </w:num>
  <w:num w:numId="22">
    <w:abstractNumId w:val="19"/>
  </w:num>
  <w:num w:numId="23">
    <w:abstractNumId w:val="21"/>
  </w:num>
  <w:num w:numId="24">
    <w:abstractNumId w:val="8"/>
  </w:num>
  <w:num w:numId="25">
    <w:abstractNumId w:val="25"/>
  </w:num>
  <w:num w:numId="26">
    <w:abstractNumId w:val="41"/>
  </w:num>
  <w:num w:numId="27">
    <w:abstractNumId w:val="40"/>
  </w:num>
  <w:num w:numId="28">
    <w:abstractNumId w:val="26"/>
  </w:num>
  <w:num w:numId="29">
    <w:abstractNumId w:val="39"/>
  </w:num>
  <w:num w:numId="30">
    <w:abstractNumId w:val="29"/>
  </w:num>
  <w:num w:numId="31">
    <w:abstractNumId w:val="32"/>
  </w:num>
  <w:num w:numId="32">
    <w:abstractNumId w:val="33"/>
  </w:num>
  <w:num w:numId="33">
    <w:abstractNumId w:val="2"/>
  </w:num>
  <w:num w:numId="34">
    <w:abstractNumId w:val="16"/>
  </w:num>
  <w:num w:numId="35">
    <w:abstractNumId w:val="20"/>
  </w:num>
  <w:num w:numId="36">
    <w:abstractNumId w:val="38"/>
  </w:num>
  <w:num w:numId="37">
    <w:abstractNumId w:val="24"/>
  </w:num>
  <w:num w:numId="38">
    <w:abstractNumId w:val="14"/>
  </w:num>
  <w:num w:numId="39">
    <w:abstractNumId w:val="27"/>
  </w:num>
  <w:num w:numId="40">
    <w:abstractNumId w:val="17"/>
  </w:num>
  <w:num w:numId="41">
    <w:abstractNumId w:val="1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25"/>
    <w:rsid w:val="000045F8"/>
    <w:rsid w:val="00011024"/>
    <w:rsid w:val="000C657E"/>
    <w:rsid w:val="00133120"/>
    <w:rsid w:val="001333BE"/>
    <w:rsid w:val="001607B9"/>
    <w:rsid w:val="001D1CDD"/>
    <w:rsid w:val="001D2E17"/>
    <w:rsid w:val="00202046"/>
    <w:rsid w:val="00251322"/>
    <w:rsid w:val="002644D4"/>
    <w:rsid w:val="00281091"/>
    <w:rsid w:val="002A4057"/>
    <w:rsid w:val="002A4368"/>
    <w:rsid w:val="002C21BC"/>
    <w:rsid w:val="003564B3"/>
    <w:rsid w:val="003C28A6"/>
    <w:rsid w:val="003D2EE7"/>
    <w:rsid w:val="003E6BAD"/>
    <w:rsid w:val="004303CE"/>
    <w:rsid w:val="0045797A"/>
    <w:rsid w:val="004F1AEC"/>
    <w:rsid w:val="00511D74"/>
    <w:rsid w:val="00521970"/>
    <w:rsid w:val="00575BA9"/>
    <w:rsid w:val="005C3C1E"/>
    <w:rsid w:val="005D5943"/>
    <w:rsid w:val="00650B4F"/>
    <w:rsid w:val="00673759"/>
    <w:rsid w:val="00691044"/>
    <w:rsid w:val="006E5D47"/>
    <w:rsid w:val="00702C72"/>
    <w:rsid w:val="007417F7"/>
    <w:rsid w:val="00793947"/>
    <w:rsid w:val="007D4A2A"/>
    <w:rsid w:val="00816EE9"/>
    <w:rsid w:val="00817E45"/>
    <w:rsid w:val="0083446E"/>
    <w:rsid w:val="00862E68"/>
    <w:rsid w:val="0089595F"/>
    <w:rsid w:val="008C60A0"/>
    <w:rsid w:val="008F77BA"/>
    <w:rsid w:val="009217BC"/>
    <w:rsid w:val="00986629"/>
    <w:rsid w:val="009C24A4"/>
    <w:rsid w:val="00AD10EE"/>
    <w:rsid w:val="00AE0EB4"/>
    <w:rsid w:val="00AE3223"/>
    <w:rsid w:val="00AF7A0C"/>
    <w:rsid w:val="00B126BF"/>
    <w:rsid w:val="00B21DD1"/>
    <w:rsid w:val="00B25AAD"/>
    <w:rsid w:val="00B50565"/>
    <w:rsid w:val="00B82C25"/>
    <w:rsid w:val="00B93BDE"/>
    <w:rsid w:val="00BA4949"/>
    <w:rsid w:val="00C41351"/>
    <w:rsid w:val="00C65B4D"/>
    <w:rsid w:val="00C902B9"/>
    <w:rsid w:val="00C90B7C"/>
    <w:rsid w:val="00CF50DB"/>
    <w:rsid w:val="00D234F3"/>
    <w:rsid w:val="00D622FF"/>
    <w:rsid w:val="00D87095"/>
    <w:rsid w:val="00DC1A2C"/>
    <w:rsid w:val="00DD3710"/>
    <w:rsid w:val="00DF0BF7"/>
    <w:rsid w:val="00E14290"/>
    <w:rsid w:val="00E52E94"/>
    <w:rsid w:val="00EF480D"/>
    <w:rsid w:val="00F32DB6"/>
    <w:rsid w:val="00F33CAE"/>
    <w:rsid w:val="00F40F94"/>
    <w:rsid w:val="00F65A92"/>
    <w:rsid w:val="00FA6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0877444-1310-4159-A6DA-9FFF7C70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jc w:val="center"/>
      <w:outlineLvl w:val="0"/>
    </w:pPr>
    <w:rPr>
      <w:rFonts w:ascii="Arial" w:hAnsi="Arial"/>
      <w:b/>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Default">
    <w:name w:val="Default"/>
    <w:rPr>
      <w:rFonts w:ascii="Calibri" w:hAnsi="Calibri"/>
      <w:color w:val="000000"/>
      <w:sz w:val="24"/>
    </w:rPr>
  </w:style>
  <w:style w:type="paragraph" w:styleId="Textkrper">
    <w:name w:val="Body Text"/>
    <w:basedOn w:val="Standard"/>
    <w:rPr>
      <w:rFonts w:ascii="Arial" w:hAnsi="Arial"/>
      <w:sz w:val="21"/>
    </w:rPr>
  </w:style>
  <w:style w:type="character" w:customStyle="1" w:styleId="KommentartextZchn">
    <w:name w:val="Kommentartext Zchn"/>
    <w:link w:val="Kommentartext"/>
    <w:locked/>
    <w:rPr>
      <w:lang w:val="bg-BG" w:eastAsia="de-DE" w:bidi="ar-SA"/>
    </w:rPr>
  </w:style>
  <w:style w:type="paragraph" w:styleId="Kopfzeile">
    <w:name w:val="header"/>
    <w:basedOn w:val="Standard"/>
    <w:link w:val="KopfzeileZchn"/>
    <w:rsid w:val="00986629"/>
    <w:pPr>
      <w:tabs>
        <w:tab w:val="center" w:pos="4536"/>
        <w:tab w:val="right" w:pos="9072"/>
      </w:tabs>
    </w:pPr>
  </w:style>
  <w:style w:type="character" w:customStyle="1" w:styleId="KopfzeileZchn">
    <w:name w:val="Kopfzeile Zchn"/>
    <w:link w:val="Kopfzeile"/>
    <w:uiPriority w:val="99"/>
    <w:rsid w:val="00986629"/>
    <w:rPr>
      <w:sz w:val="24"/>
      <w:szCs w:val="24"/>
    </w:rPr>
  </w:style>
  <w:style w:type="paragraph" w:styleId="Fuzeile">
    <w:name w:val="footer"/>
    <w:basedOn w:val="Standard"/>
    <w:link w:val="FuzeileZchn"/>
    <w:uiPriority w:val="99"/>
    <w:rsid w:val="00986629"/>
    <w:pPr>
      <w:tabs>
        <w:tab w:val="center" w:pos="4536"/>
        <w:tab w:val="right" w:pos="9072"/>
      </w:tabs>
    </w:pPr>
  </w:style>
  <w:style w:type="character" w:customStyle="1" w:styleId="FuzeileZchn">
    <w:name w:val="Fußzeile Zchn"/>
    <w:link w:val="Fuzeile"/>
    <w:uiPriority w:val="99"/>
    <w:rsid w:val="00986629"/>
    <w:rPr>
      <w:sz w:val="24"/>
      <w:szCs w:val="24"/>
    </w:rPr>
  </w:style>
  <w:style w:type="paragraph" w:customStyle="1" w:styleId="GGSZ">
    <w:name w:val="GGS ZÜ"/>
    <w:basedOn w:val="Standard"/>
    <w:link w:val="GGSZZchn"/>
    <w:uiPriority w:val="4"/>
    <w:qFormat/>
    <w:rsid w:val="005D5943"/>
    <w:pPr>
      <w:spacing w:before="120"/>
    </w:pPr>
    <w:rPr>
      <w:rFonts w:asciiTheme="minorHAnsi" w:hAnsiTheme="minorHAnsi"/>
      <w:b/>
      <w:sz w:val="22"/>
    </w:rPr>
  </w:style>
  <w:style w:type="character" w:customStyle="1" w:styleId="GGSZZchn">
    <w:name w:val="GGS ZÜ Zchn"/>
    <w:basedOn w:val="Absatz-Standardschriftart"/>
    <w:link w:val="GGSZ"/>
    <w:uiPriority w:val="4"/>
    <w:rsid w:val="005D5943"/>
    <w:rPr>
      <w:rFonts w:asciiTheme="minorHAnsi" w:hAnsiTheme="minorHAnsi"/>
      <w:b/>
      <w:sz w:val="22"/>
      <w:szCs w:val="24"/>
    </w:rPr>
  </w:style>
  <w:style w:type="paragraph" w:styleId="Listenabsatz">
    <w:name w:val="List Paragraph"/>
    <w:basedOn w:val="Standard"/>
    <w:uiPriority w:val="34"/>
    <w:qFormat/>
    <w:rsid w:val="00650B4F"/>
    <w:pPr>
      <w:ind w:left="720"/>
      <w:contextualSpacing/>
    </w:pPr>
  </w:style>
  <w:style w:type="paragraph" w:styleId="Funotentext">
    <w:name w:val="footnote text"/>
    <w:basedOn w:val="Standard"/>
    <w:link w:val="FunotentextZchn"/>
    <w:rsid w:val="00CF50DB"/>
    <w:rPr>
      <w:sz w:val="20"/>
      <w:szCs w:val="20"/>
    </w:rPr>
  </w:style>
  <w:style w:type="character" w:customStyle="1" w:styleId="FunotentextZchn">
    <w:name w:val="Fußnotentext Zchn"/>
    <w:basedOn w:val="Absatz-Standardschriftart"/>
    <w:link w:val="Funotentext"/>
    <w:rsid w:val="00CF50DB"/>
  </w:style>
  <w:style w:type="character" w:styleId="Funotenzeichen">
    <w:name w:val="footnote reference"/>
    <w:basedOn w:val="Absatz-Standardschriftart"/>
    <w:rsid w:val="00CF5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60007-F058-44F5-87D7-C0DBC8FA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2426</Words>
  <Characters>15768</Characters>
  <Application>Microsoft Office Word</Application>
  <DocSecurity>4</DocSecurity>
  <Lines>131</Lines>
  <Paragraphs>36</Paragraphs>
  <ScaleCrop>false</ScaleCrop>
  <HeadingPairs>
    <vt:vector size="2" baseType="variant">
      <vt:variant>
        <vt:lpstr>Titel</vt:lpstr>
      </vt:variant>
      <vt:variant>
        <vt:i4>1</vt:i4>
      </vt:variant>
    </vt:vector>
  </HeadingPairs>
  <TitlesOfParts>
    <vt:vector size="1" baseType="lpstr">
      <vt:lpstr>Geschäfts- und Verfahrensordnung</vt:lpstr>
    </vt:vector>
  </TitlesOfParts>
  <Company>Bayer. Sozialgerichtsbarkeit</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 und Verfahrensordnung</dc:title>
  <dc:subject/>
  <dc:creator>Sigmar.Roll</dc:creator>
  <cp:keywords/>
  <cp:lastModifiedBy>Redmann, Petra, EC2</cp:lastModifiedBy>
  <cp:revision>2</cp:revision>
  <cp:lastPrinted>2014-01-13T11:15:00Z</cp:lastPrinted>
  <dcterms:created xsi:type="dcterms:W3CDTF">2021-03-16T11:15:00Z</dcterms:created>
  <dcterms:modified xsi:type="dcterms:W3CDTF">2021-03-16T11:15:00Z</dcterms:modified>
</cp:coreProperties>
</file>