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FB6E53" w14:paraId="5CD3FC2E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2CE15DB0" w14:textId="77777777" w:rsidR="00FB6E53" w:rsidRDefault="00FB6E53" w:rsidP="00FD3014">
            <w:pPr>
              <w:pStyle w:val="SNREPUBLIQUE"/>
            </w:pPr>
            <w:r>
              <w:t xml:space="preserve">FRANCÚZSKA REPUBLIKA</w:t>
            </w:r>
          </w:p>
        </w:tc>
      </w:tr>
      <w:tr w:rsidR="00FB6E53" w14:paraId="539E9BB1" w14:textId="77777777" w:rsidTr="00FD3014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4B7E6958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4B9C3FBE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44462FA5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</w:tr>
      <w:tr w:rsidR="00FB6E53" w14:paraId="594C5F7F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6C7AB79" w14:textId="77777777" w:rsidR="00FB6E53" w:rsidRDefault="00FB6E53" w:rsidP="00FD3014">
            <w:pPr>
              <w:pStyle w:val="SNTimbre"/>
            </w:pPr>
            <w:r>
              <w:t xml:space="preserve">Ministerstvo pre ekologickú transformáciu</w:t>
            </w:r>
          </w:p>
          <w:p w14:paraId="3509F017" w14:textId="77777777" w:rsidR="00FB6E53" w:rsidRDefault="00FB6E53" w:rsidP="00FD3014">
            <w:pPr>
              <w:pStyle w:val="SNTimbre"/>
            </w:pPr>
          </w:p>
        </w:tc>
      </w:tr>
      <w:tr w:rsidR="00FB6E53" w14:paraId="325B9B32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1F86D5E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12888E03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BBCBAEB" w14:textId="77777777" w:rsidR="00FB6E53" w:rsidRDefault="00FB6E53" w:rsidP="00FD3014">
            <w:pPr>
              <w:snapToGrid w:val="0"/>
            </w:pPr>
          </w:p>
        </w:tc>
      </w:tr>
      <w:tr w:rsidR="00FB6E53" w14:paraId="685B030A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F5D8E20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43224DF9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616161D" w14:textId="77777777" w:rsidR="00FB6E53" w:rsidRDefault="00FB6E53" w:rsidP="00FD3014">
            <w:pPr>
              <w:snapToGrid w:val="0"/>
            </w:pPr>
          </w:p>
        </w:tc>
      </w:tr>
    </w:tbl>
    <w:p w14:paraId="069092CB" w14:textId="77777777" w:rsidR="00FB6E53" w:rsidRDefault="00FB6E53" w:rsidP="00FB6E53">
      <w:pPr>
        <w:pStyle w:val="SNNature"/>
      </w:pPr>
      <w:r>
        <w:t xml:space="preserve">Vyhláška č. 2022-...</w:t>
      </w:r>
      <w:r>
        <w:t xml:space="preserve">                         </w:t>
      </w:r>
      <w:r>
        <w:t xml:space="preserve">z...</w:t>
      </w:r>
    </w:p>
    <w:p w14:paraId="735C2865" w14:textId="77777777" w:rsidR="00FB6E53" w:rsidRDefault="00902234" w:rsidP="00FB6E53">
      <w:pPr>
        <w:pStyle w:val="SNtitre"/>
      </w:pPr>
      <w:r>
        <w:t xml:space="preserve">o kompenzácii emisií uhlíka a tvrdeniach o uhlíkovej neutralite v reklame</w:t>
      </w:r>
    </w:p>
    <w:p w14:paraId="3186A2CD" w14:textId="77777777" w:rsidR="00FB6E53" w:rsidRDefault="00FB6E53" w:rsidP="00FB6E53">
      <w:pPr>
        <w:pStyle w:val="SNNORCentr"/>
        <w:rPr>
          <w:i/>
        </w:rPr>
      </w:pPr>
      <w:r>
        <w:t xml:space="preserve">NOR:</w:t>
      </w:r>
      <w:r>
        <w:t xml:space="preserve"> </w:t>
      </w:r>
      <w:r>
        <w:t xml:space="preserve">[…]</w:t>
      </w:r>
    </w:p>
    <w:p w14:paraId="152072E9" w14:textId="77777777" w:rsidR="00FB6E53" w:rsidRPr="002808A7" w:rsidRDefault="00FB6E53" w:rsidP="00FB6E53">
      <w:pPr>
        <w:pStyle w:val="SNAutorit"/>
        <w:jc w:val="both"/>
        <w:rPr>
          <w:b w:val="0"/>
          <w:i/>
        </w:rPr>
      </w:pPr>
      <w:r>
        <w:rPr>
          <w:i/>
        </w:rPr>
        <w:t xml:space="preserve">Cieľová skupina: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Inzerenti</w:t>
      </w:r>
      <w:r>
        <w:rPr>
          <w:i/>
          <w:b w:val="0"/>
        </w:rPr>
        <w:t xml:space="preserve"> </w:t>
      </w:r>
    </w:p>
    <w:p w14:paraId="18E4FF5B" w14:textId="77777777" w:rsidR="00FB6E53" w:rsidRPr="002808A7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Vec: </w:t>
      </w:r>
      <w:r>
        <w:rPr>
          <w:i/>
          <w:b w:val="0"/>
        </w:rPr>
        <w:t xml:space="preserve">uplatňovanie článku 12 zákona č. 2021-1104 z 22. augusta 2021 o boji proti zmene klímy a posilňovaní odolnosti voči jej účinkom.</w:t>
      </w:r>
    </w:p>
    <w:p w14:paraId="24250E11" w14:textId="77777777" w:rsidR="00FB6E53" w:rsidRPr="00AC1942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Nadobudnutie účinnosti: </w:t>
      </w:r>
      <w:r>
        <w:rPr>
          <w:i/>
          <w:b w:val="0"/>
        </w:rPr>
        <w:t xml:space="preserve">text nadobúda účinnosť dňom nasledujúcim po jeho uverejnení s výnimkou článkov 2 a 3, ktoré nadobudnú účinnosť 1. januára 2023.</w:t>
      </w:r>
    </w:p>
    <w:p w14:paraId="3C996B02" w14:textId="77777777" w:rsidR="00FB6E53" w:rsidRPr="009F1E9F" w:rsidRDefault="009F1E9F" w:rsidP="009F1E9F">
      <w:pPr>
        <w:pStyle w:val="SNAutorit"/>
        <w:spacing w:before="120"/>
        <w:jc w:val="both"/>
        <w:rPr>
          <w:b w:val="0"/>
          <w:i/>
        </w:rPr>
      </w:pPr>
      <w:r>
        <w:rPr>
          <w:i/>
        </w:rPr>
        <w:t xml:space="preserve">Poznámka:</w:t>
      </w:r>
      <w:r>
        <w:rPr>
          <w:i/>
        </w:rPr>
        <w:t xml:space="preserve"> </w:t>
      </w:r>
      <w:r>
        <w:rPr>
          <w:i/>
          <w:b w:val="0"/>
        </w:rPr>
        <w:t xml:space="preserve">V tejto vyhláške sa stanovujú postupy, ako majú inzerenti oznamovať informácie stanovené v článku 12 uvedeného zákona č. 2021-1104.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Týka sa to všetkých reklám šírených po nadobudnutí účinnosti textu.</w:t>
      </w:r>
      <w:r>
        <w:rPr>
          <w:i/>
        </w:rPr>
        <w:t xml:space="preserve"> </w:t>
      </w:r>
    </w:p>
    <w:p w14:paraId="64AAF47B" w14:textId="77777777" w:rsidR="00FB6E53" w:rsidRDefault="00FB6E53" w:rsidP="00FB6E53">
      <w:pPr>
        <w:pStyle w:val="SNAutorit"/>
        <w:spacing w:before="120"/>
        <w:jc w:val="both"/>
      </w:pPr>
      <w:r>
        <w:rPr>
          <w:i/>
        </w:rPr>
        <w:t xml:space="preserve">Odkazy: </w:t>
      </w:r>
      <w:r>
        <w:rPr>
          <w:i/>
          <w:b w:val="0"/>
        </w:rPr>
        <w:t xml:space="preserve">ustanovenia vyhlášky sa prijímajú na uplatňovanie článku 12 zákona č. 2021-1104 z 22. augusta 2021 o boji proti zmene klímy a posilňovaní odolnosti voči jej účinkom.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Tento zákon a vyhlášku je možné nájsť na webovom sídle Légifrance (http://www.legifrance.gouv.fr).</w:t>
      </w:r>
    </w:p>
    <w:p w14:paraId="0D71FAD6" w14:textId="77777777" w:rsidR="00FB6E53" w:rsidRDefault="00FB6E53" w:rsidP="00FB6E53">
      <w:pPr>
        <w:pStyle w:val="SNAutorit"/>
      </w:pPr>
      <w:r>
        <w:t xml:space="preserve">Predseda vlády,</w:t>
      </w:r>
    </w:p>
    <w:p w14:paraId="68B0A9A6" w14:textId="77777777" w:rsidR="00FB6E53" w:rsidRDefault="00FB6E53" w:rsidP="00FB6E53">
      <w:pPr>
        <w:pStyle w:val="SNRapport"/>
      </w:pPr>
      <w:r>
        <w:t xml:space="preserve">na základe správy ministerky pre ekologickú transformáciu,</w:t>
      </w:r>
    </w:p>
    <w:p w14:paraId="5C693133" w14:textId="77777777" w:rsidR="0099494E" w:rsidRPr="0099494E" w:rsidRDefault="0099494E" w:rsidP="001E3BBD">
      <w:pPr>
        <w:pStyle w:val="SNRapport"/>
        <w:ind w:left="708" w:firstLine="12"/>
      </w:pPr>
      <w:r>
        <w:t xml:space="preserve">so zreteľom na smernicu Európskeho parlamentu a Rady (EÚ) 2015/1535 z 9. septembra 2015, ktorou sa stanovuje postup pri poskytovaní informácií v oblasti technických predpisov a pravidiel vzťahujúcich sa na služby informačnej spoločnosti (kodifikované znenie), a najmä na oznámenie č. ...,</w:t>
      </w:r>
    </w:p>
    <w:p w14:paraId="4A9160F2" w14:textId="77777777" w:rsidR="008C2EFB" w:rsidRDefault="008C2EFB" w:rsidP="00FB6E53">
      <w:pPr>
        <w:pStyle w:val="SNRapport"/>
      </w:pPr>
      <w:r>
        <w:t xml:space="preserve">so zreteľom na environmentálny zákonník,</w:t>
      </w:r>
    </w:p>
    <w:p w14:paraId="46410193" w14:textId="77777777" w:rsidR="00FB6E53" w:rsidRDefault="00FB6E53" w:rsidP="00FB6E53">
      <w:pPr>
        <w:pStyle w:val="SNVisa"/>
        <w:ind w:left="708" w:firstLine="12"/>
      </w:pPr>
      <w:r>
        <w:t xml:space="preserve">so zreteľom na zákon č. 2021-1104 z 22. augusta 2021 o boji proti zmene klímy a posilňovaní odolnosti voči jej účinkom, a najmä na jeho články 12 a 147,</w:t>
      </w:r>
    </w:p>
    <w:p w14:paraId="46E64030" w14:textId="77777777" w:rsidR="00DA728B" w:rsidRDefault="00DA728B" w:rsidP="00DA728B">
      <w:pPr>
        <w:pStyle w:val="SNVisa"/>
        <w:ind w:left="708" w:firstLine="12"/>
        <w:jc w:val="both"/>
      </w:pPr>
      <w:r>
        <w:t xml:space="preserve">so zreteľom na vyhlášku č. 97-1198 z 19. decembra 1997, ktorou sa vykonáva prvý odsek článku 2 vyhlášky č. 97-34 z 15. januára 1997 o decentralizácii jednotlivých správnych rozhodnutí a ktorá sa vzťahuje na ministrov zodpovedných za ekologickú a solidárnu transformáciu, územnú súdržnosť a vzťahy s miestnymi a regionálnymi orgánmi,</w:t>
      </w:r>
    </w:p>
    <w:p w14:paraId="0A395ED6" w14:textId="77777777" w:rsidR="00FB6E53" w:rsidRPr="00FB6E53" w:rsidRDefault="00FB6E53" w:rsidP="00FB6E53">
      <w:pPr>
        <w:pStyle w:val="SNVisa"/>
        <w:ind w:left="708" w:firstLine="12"/>
      </w:pPr>
      <w:r>
        <w:t xml:space="preserve">so zreteľom na vyhlášku č. 2020-457 z 21. apríla 2020 o národných rozpočtoch v oblasti emisií uhlíka a národnej nízkouhlíkovej stratégii,</w:t>
      </w:r>
    </w:p>
    <w:p w14:paraId="55F7F2B6" w14:textId="77777777" w:rsidR="00FB6E53" w:rsidRDefault="00FB6E53" w:rsidP="00FB6E53">
      <w:pPr>
        <w:pStyle w:val="SNVisa"/>
        <w:ind w:left="708" w:firstLine="12"/>
      </w:pPr>
      <w:r>
        <w:t xml:space="preserve">so zreteľom na pripomienky vznesené počas verejnej konzultácie uskutočnenej od ... do ... podľa článku L. 123-19-1 environmentálneho zákonníka,</w:t>
      </w:r>
    </w:p>
    <w:p w14:paraId="24270816" w14:textId="77777777" w:rsidR="007B2607" w:rsidRPr="00975B1D" w:rsidRDefault="007B2607" w:rsidP="007B2607">
      <w:pPr>
        <w:pStyle w:val="SNVisa"/>
        <w:ind w:left="708" w:firstLine="12"/>
      </w:pPr>
      <w:r>
        <w:t xml:space="preserve">po vypočutí Štátnej rady,</w:t>
      </w:r>
    </w:p>
    <w:p w14:paraId="086DF0EA" w14:textId="77777777" w:rsidR="007B2607" w:rsidRDefault="007B2607" w:rsidP="00FB6E53">
      <w:pPr>
        <w:pStyle w:val="SNVisa"/>
        <w:ind w:left="708" w:firstLine="12"/>
        <w:rPr>
          <w:lang w:eastAsia="fr-FR"/>
        </w:rPr>
      </w:pPr>
    </w:p>
    <w:p w14:paraId="7CBFE7F8" w14:textId="77777777" w:rsidR="00E075D6" w:rsidRPr="00FB6E53" w:rsidRDefault="00E075D6" w:rsidP="00FB6E53">
      <w:pPr>
        <w:pStyle w:val="SNVisa"/>
        <w:ind w:left="708" w:firstLine="12"/>
        <w:rPr>
          <w:lang w:eastAsia="fr-FR"/>
        </w:rPr>
      </w:pPr>
    </w:p>
    <w:p w14:paraId="69330050" w14:textId="77777777" w:rsidR="00FB6E53" w:rsidRDefault="00FB6E53" w:rsidP="00FB6E53">
      <w:pPr>
        <w:pStyle w:val="SNActe"/>
      </w:pPr>
      <w:r>
        <w:t xml:space="preserve">nariaďuje:</w:t>
      </w:r>
    </w:p>
    <w:p w14:paraId="649FFA91" w14:textId="77777777" w:rsidR="00FB6E53" w:rsidRDefault="00FB6E53" w:rsidP="00FB6E53">
      <w:pPr>
        <w:jc w:val="both"/>
        <w:rPr>
          <w:color w:val="000000"/>
        </w:rPr>
      </w:pPr>
    </w:p>
    <w:p w14:paraId="685C7007" w14:textId="77777777" w:rsidR="007B2607" w:rsidRPr="007C21D8" w:rsidRDefault="007B2607" w:rsidP="007B2607">
      <w:pPr>
        <w:pStyle w:val="SNArticle"/>
      </w:pPr>
      <w:r>
        <w:t xml:space="preserve">Článok 1</w:t>
      </w:r>
    </w:p>
    <w:p w14:paraId="3D42B733" w14:textId="77777777" w:rsidR="007B2607" w:rsidRPr="007C21D8" w:rsidRDefault="007B2607" w:rsidP="007B2607">
      <w:pPr>
        <w:jc w:val="both"/>
      </w:pPr>
      <w:r>
        <w:t xml:space="preserve">Do kapitoly IX hlavy II knihy II environmentálneho zákonníka sa vkladá oddiel 7, ktorý má toto znenie:</w:t>
      </w:r>
    </w:p>
    <w:p w14:paraId="437B06A1" w14:textId="77777777" w:rsidR="007B2607" w:rsidRPr="007C21D8" w:rsidRDefault="007B2607" w:rsidP="007B2607">
      <w:pPr>
        <w:jc w:val="both"/>
      </w:pPr>
    </w:p>
    <w:p w14:paraId="61BA25EE" w14:textId="77777777" w:rsidR="007B2607" w:rsidRPr="00175048" w:rsidRDefault="007B2607" w:rsidP="007B2607">
      <w:r>
        <w:t xml:space="preserve">„Oddiel 7:</w:t>
      </w:r>
      <w:r>
        <w:t xml:space="preserve"> </w:t>
      </w:r>
      <w:r>
        <w:t xml:space="preserve">Znižovanie emisií z projektov kompenzácie emisií skleníkových plynov</w:t>
      </w:r>
    </w:p>
    <w:p w14:paraId="3D4DF454" w14:textId="77777777" w:rsidR="007B2607" w:rsidRDefault="007B2607" w:rsidP="007B2607"/>
    <w:p w14:paraId="72A2FE53" w14:textId="77777777" w:rsidR="007B2607" w:rsidRDefault="007B2607" w:rsidP="007B2607">
      <w:pPr>
        <w:jc w:val="both"/>
      </w:pPr>
      <w:r>
        <w:t xml:space="preserve">Článok R. 229-103 – Zásady stanovené v článku L. 229-55 musia byť v súlade s týmito vykonávacími postupmi:</w:t>
      </w:r>
    </w:p>
    <w:p w14:paraId="72039EC0" w14:textId="77777777" w:rsidR="007B2607" w:rsidRDefault="007B2607" w:rsidP="007B2607">
      <w:pPr>
        <w:jc w:val="both"/>
      </w:pPr>
    </w:p>
    <w:p w14:paraId="0FEE1B79" w14:textId="77777777" w:rsidR="007B2607" w:rsidRDefault="007B2607" w:rsidP="007B2607">
      <w:pPr>
        <w:spacing w:after="160" w:line="259" w:lineRule="auto"/>
        <w:jc w:val="both"/>
      </w:pPr>
      <w:r>
        <w:t xml:space="preserve">Merateľný charakter: emisie skleníkových plynov, ktorým sa prostredníctvom projektov zabráni, alebo ktoré sa tak sekvestrujú, sa kvantifikujú na základe transparentnej, verejne dostupnej metodiky.</w:t>
      </w:r>
      <w:r>
        <w:t xml:space="preserve"> </w:t>
      </w:r>
      <w:r>
        <w:t xml:space="preserve">Metóda kvantifikácie je založená na najnovších vedeckých a technických poznatkoch.</w:t>
      </w:r>
      <w:r>
        <w:t xml:space="preserve"> </w:t>
      </w:r>
      <w:r>
        <w:t xml:space="preserve">Namerané údaje sú jasne zdokumentované a možno ich overiť.</w:t>
      </w:r>
      <w:r>
        <w:t xml:space="preserve"> </w:t>
      </w:r>
      <w:r>
        <w:t xml:space="preserve">V metodike, na ktorú sa vzťahuje kompenzačný projekt, sa vymedzuje základný scenár, z ktorého sa vypočítajú zníženia emisií generované projektom.</w:t>
      </w:r>
      <w:r>
        <w:t xml:space="preserve"> </w:t>
      </w:r>
      <w:r>
        <w:t xml:space="preserve">Základný scenár musí byť stanovený na úrovni celého projektu a musí odrážať súčasný trend v oblasti emisií skleníkových plynov a uplatňovanie existujúcich osvedčených postupov.</w:t>
      </w:r>
    </w:p>
    <w:p w14:paraId="3CA09DD7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Overiteľný charakter: emisie skleníkových plynov, ktorým sa zabráni alebo ktoré sa sekvestrujú, overí audítor, ktorý je nezávislý od zadávateľa projektu.</w:t>
      </w:r>
      <w:r>
        <w:t xml:space="preserve"> </w:t>
      </w:r>
      <w:r>
        <w:t xml:space="preserve">Audítor na základe overenia dokladov alebo kontrol na mieste overí zníženie emisií skleníkových plynov, ktoré možno dosiahnuť prostredníctvom opatrení realizovaných počas trvania projektu.</w:t>
      </w:r>
    </w:p>
    <w:p w14:paraId="78D41360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Trvalý charakter: emisiám skleníkových plynov, ktorým sa prostredníctvom kompenzačných projektov zabráni, alebo ktoré sa tak sekvestrujú, sa trvalo zabráni.</w:t>
      </w:r>
      <w:r>
        <w:t xml:space="preserve"> </w:t>
      </w:r>
      <w:r>
        <w:t xml:space="preserve">V prípade potreby sa pri metóde kvantifikácie zohľadní riziko nestálosti.</w:t>
      </w:r>
    </w:p>
    <w:p w14:paraId="7AF834A5" w14:textId="77777777" w:rsidR="007B2607" w:rsidRDefault="007B2607" w:rsidP="007B2607">
      <w:pPr>
        <w:spacing w:after="160" w:line="259" w:lineRule="auto"/>
        <w:jc w:val="both"/>
      </w:pPr>
      <w:r>
        <w:t xml:space="preserve">Dodatočný charakter: kompenzačné projekty by sa nemohli realizovať bez vyčleneného financovania, berúc do úvahy existujúce ekonomické stimuly, osvedčené postupy a platné záväzky.</w:t>
      </w:r>
    </w:p>
    <w:p w14:paraId="1F089800" w14:textId="77777777" w:rsidR="007B2607" w:rsidRDefault="007B2607" w:rsidP="007B2607">
      <w:pPr>
        <w:spacing w:after="160" w:line="259" w:lineRule="auto"/>
        <w:jc w:val="both"/>
      </w:pPr>
    </w:p>
    <w:p w14:paraId="27BC0DCB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Článok R. 229-104 – Kompenzačné projekty musia rešpektovať zásadu transparentnosti.</w:t>
      </w:r>
      <w:r>
        <w:t xml:space="preserve"> </w:t>
      </w:r>
      <w:r>
        <w:t xml:space="preserve">Metodika, na ktorú kompenzačný projekt odkazuje, a opisné prvky projektu, najmä pokiaľ ide o identifikáciu, umiestnenie a započítavanie zníženia emisií skleníkových plynov, musia byť verejne prístupné a ľahko dostupné.“</w:t>
      </w:r>
    </w:p>
    <w:p w14:paraId="7469FDC2" w14:textId="77777777" w:rsidR="007B2607" w:rsidRDefault="007B2607" w:rsidP="00FB6E53">
      <w:pPr>
        <w:pStyle w:val="SNArticle"/>
        <w:rPr>
          <w:bCs/>
        </w:rPr>
      </w:pPr>
    </w:p>
    <w:p w14:paraId="2138F397" w14:textId="77777777" w:rsidR="00FB6E53" w:rsidRDefault="00FB6E53" w:rsidP="00FB6E53">
      <w:pPr>
        <w:pStyle w:val="SNArticle"/>
        <w:rPr>
          <w:bCs/>
        </w:rPr>
      </w:pPr>
      <w:r>
        <w:t xml:space="preserve">Článok 2</w:t>
      </w:r>
    </w:p>
    <w:p w14:paraId="20E5A1ED" w14:textId="77777777" w:rsidR="002C342A" w:rsidRDefault="002C342A" w:rsidP="002C342A">
      <w:pPr>
        <w:pStyle w:val="BodyText"/>
      </w:pPr>
      <w:r>
        <w:t xml:space="preserve">Do kapitoly IX hlavy II knihy II environmentálneho zákonníka sa dopĺňa oddiel 9, ktorý má toto znenie:</w:t>
      </w:r>
    </w:p>
    <w:p w14:paraId="2481D22C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„Oddiel 9</w:t>
      </w:r>
    </w:p>
    <w:p w14:paraId="2368A9FE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„Environmentálne tvrdenia“</w:t>
      </w:r>
    </w:p>
    <w:p w14:paraId="014E3E1C" w14:textId="77777777" w:rsidR="002C342A" w:rsidRPr="007B2607" w:rsidRDefault="002C342A" w:rsidP="00FB6E53">
      <w:pPr>
        <w:pStyle w:val="BodyText"/>
        <w:spacing w:after="0"/>
        <w:rPr>
          <w:bCs/>
        </w:rPr>
      </w:pPr>
      <w:r>
        <w:t xml:space="preserve">Článok D. 229-105 – Inzerent, ktorý v reklame tvrdí, že výrobok alebo služba je uhlíkovo neutrálna, alebo používa akékoľvek znenie rovnocenného významu alebo rozsahu, musí dodržiavať ustanovenia tohto oddielu.</w:t>
      </w:r>
    </w:p>
    <w:p w14:paraId="31B15A91" w14:textId="77777777" w:rsidR="00EC0B91" w:rsidRPr="007B2607" w:rsidRDefault="00EC0B91" w:rsidP="00FB6E53">
      <w:pPr>
        <w:pStyle w:val="BodyText"/>
        <w:spacing w:after="0"/>
        <w:rPr>
          <w:bCs/>
        </w:rPr>
      </w:pPr>
    </w:p>
    <w:p w14:paraId="7BEC2E76" w14:textId="77777777" w:rsidR="00EC0B91" w:rsidRPr="007B2607" w:rsidRDefault="008C2EFB" w:rsidP="00FB6E53">
      <w:pPr>
        <w:pStyle w:val="BodyText"/>
        <w:spacing w:after="0"/>
        <w:rPr>
          <w:bCs/>
        </w:rPr>
      </w:pPr>
      <w:r>
        <w:t xml:space="preserve">Tento oddiel sa vzťahuje na reklamnú korešpondenciu určenú fyzickým osobám, reklamné tlačoviny distribuované verejnosti, reklamné plagáty, reklamy v tlačových publikáciách, reklamy vysielané v kinách, reklamy vysielané prostredníctvom televíznych alebo rozhlasových vysielacích služieb a prostredníctvom online komunikačných služieb pre verejnosť, ako aj na tvrdenia umiestnené na obaloch tovaru.</w:t>
      </w:r>
    </w:p>
    <w:p w14:paraId="2EBF5CA4" w14:textId="77777777" w:rsidR="002C342A" w:rsidRPr="007B2607" w:rsidRDefault="002C342A" w:rsidP="00FB6E53">
      <w:pPr>
        <w:pStyle w:val="BodyText"/>
        <w:spacing w:after="0"/>
        <w:rPr>
          <w:bCs/>
        </w:rPr>
      </w:pPr>
    </w:p>
    <w:p w14:paraId="7E51D3DE" w14:textId="77777777" w:rsidR="00BB26CE" w:rsidRPr="007B2607" w:rsidRDefault="002C342A" w:rsidP="00FB6E53">
      <w:pPr>
        <w:pStyle w:val="BodyText"/>
        <w:spacing w:after="0"/>
        <w:rPr>
          <w:bCs/>
        </w:rPr>
      </w:pPr>
      <w:r>
        <w:t xml:space="preserve">Článok D. 229-106 – Inzerent uvedený v článku D. 229-105 vypracuje bilanciu emisií skleníkových plynov príslušného výrobku alebo služby, ktorá sa vzťahuje na celý ich životný cyklus.</w:t>
      </w:r>
      <w:r>
        <w:t xml:space="preserve"> </w:t>
      </w:r>
      <w:r>
        <w:t xml:space="preserve">Táto bilancia sa každoročne aktualizuje.</w:t>
      </w:r>
      <w:r>
        <w:t xml:space="preserve"> </w:t>
      </w:r>
    </w:p>
    <w:p w14:paraId="2439F91D" w14:textId="77777777" w:rsidR="00BB26CE" w:rsidRPr="007B2607" w:rsidRDefault="00BB26CE" w:rsidP="00FB6E53">
      <w:pPr>
        <w:pStyle w:val="BodyText"/>
        <w:spacing w:after="0"/>
        <w:rPr>
          <w:bCs/>
        </w:rPr>
      </w:pPr>
    </w:p>
    <w:p w14:paraId="5F16A4FA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Táto bilancia sa zostavuje v súlade s požiadavkami normy NF EN ISO 14067 alebo akejkoľvek inej normy, ktorá je v súlade s požiadavkami tejto normy.</w:t>
      </w:r>
      <w:r>
        <w:t xml:space="preserve"> </w:t>
      </w:r>
      <w:r>
        <w:t xml:space="preserve">Nariadením ministra zodpovedného za životné prostredie sa môžu doplniť tieto požiadavky, aby sa metodika bilancie emisií zosúladila s metodikou environmentálneho označovania stanoveného v článku L. 541-9-11 tohto zákonníka.</w:t>
      </w:r>
      <w:r>
        <w:t xml:space="preserve"> </w:t>
      </w:r>
    </w:p>
    <w:p w14:paraId="02C3E3B0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0029AC0" w14:textId="77777777" w:rsidR="000911C8" w:rsidRDefault="000911C8" w:rsidP="00FB6E53">
      <w:pPr>
        <w:pStyle w:val="BodyText"/>
        <w:spacing w:after="0"/>
        <w:rPr>
          <w:bCs/>
        </w:rPr>
      </w:pPr>
      <w:r>
        <w:t xml:space="preserve">Článok D. 229-107</w:t>
      </w:r>
      <w:r>
        <w:t xml:space="preserve"> </w:t>
      </w:r>
      <w:r>
        <w:t xml:space="preserve">– Inzerent uvedený v článku D. 229-105 uverejní na svojom webovom sídle verejnej komunikácie alebo, ak to nie je možné, na svojej mobilnej aplikácii súhrnnú správu, v ktorej sa opisuje uhlíková stopa propagovaného výrobku alebo služby a prostriedky, ktorými sa týmto emisiám skleníkových plynov v prvom rade zabráni a ktorými sa potom znížia a nakoniec kompenzujú.</w:t>
      </w:r>
      <w:r>
        <w:t xml:space="preserve"> </w:t>
      </w:r>
      <w:r>
        <w:t xml:space="preserve">Táto správa obsahuje tri prílohy, v ktorých sa podrobne uvádza jej obsah a ktoré sa prezentujú v tomto poradí:</w:t>
      </w:r>
    </w:p>
    <w:p w14:paraId="6EF779FD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70FBF45" w14:textId="77777777" w:rsidR="000911C8" w:rsidRDefault="008C2EFB" w:rsidP="00FB6E53">
      <w:pPr>
        <w:pStyle w:val="BodyText"/>
        <w:spacing w:after="0"/>
        <w:rPr>
          <w:bCs/>
        </w:rPr>
      </w:pPr>
      <w:r>
        <w:t xml:space="preserve">(1) príloha, v ktorej sú uvedené výsledky bilancie podľa článku D. 229-106 a súhrn metodiky použitej na zostavenie tejto bilancie.</w:t>
      </w:r>
      <w:r>
        <w:t xml:space="preserve"> </w:t>
      </w:r>
      <w:r>
        <w:t xml:space="preserve">V tomto súhrne sa špecifikuje najmä rozsah použitý na vymedzenie príslušného výrobku alebo služby, použité funkčné alebo deklarované jednotky, hranice príslušného systému, spôsob spracovania etapy konca životnosti, emisné údaje zohľadnené v prípade elektriny alebo plynu spotrebovaného zo sietí.</w:t>
      </w:r>
      <w:r>
        <w:t xml:space="preserve"> </w:t>
      </w:r>
      <w:r>
        <w:t xml:space="preserve">Uvádzajú sa v ňom krajiny alebo geografické oblasti, v ktorých dochádza k emisiám a emisiám z medzinárodnej dopravy, pokiaľ sú takéto údaje k dispozícii;</w:t>
      </w:r>
    </w:p>
    <w:p w14:paraId="22298453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DC617DB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(2) príloha, v ktorej sa stanovuje cieľová trajektória znižovania emisií skleníkových plynov súvisiacich s propagovaným výrobkom alebo službou, s kvantifikovanými ročnými cieľmi pokroku, ktoré sa vzťahujú aspoň na desať rokov po uverejnení správy;</w:t>
      </w:r>
    </w:p>
    <w:p w14:paraId="238DECC6" w14:textId="77777777" w:rsidR="006E7C91" w:rsidRPr="007B2607" w:rsidRDefault="008C2EFB" w:rsidP="00FB6E53">
      <w:pPr>
        <w:pStyle w:val="BodyText"/>
        <w:spacing w:after="0"/>
        <w:rPr>
          <w:bCs/>
        </w:rPr>
      </w:pPr>
      <w:r>
        <w:t xml:space="preserve">(3) príloha, v ktorej sa podrobne opisujú postupy kompenzácie zvyškových emisií, pričom sa špecifikuje najmä povaha a opis kompenzačných projektov.</w:t>
      </w:r>
      <w:r>
        <w:t xml:space="preserve"> </w:t>
      </w:r>
      <w:r>
        <w:t xml:space="preserve">V tejto prílohe sa môžu dobrovoľne uvádzať aj informácie o ich nákladoch (celkovo a na tonu CO</w:t>
      </w:r>
      <w:r>
        <w:rPr>
          <w:vertAlign w:val="subscript"/>
        </w:rPr>
        <w:t xml:space="preserve">2</w:t>
      </w:r>
      <w:r>
        <w:t xml:space="preserve">).</w:t>
      </w:r>
      <w:r>
        <w:t xml:space="preserve"> </w:t>
      </w:r>
      <w:r>
        <w:t xml:space="preserve">Táto príloha preukazuje, že objem emisií, ktorým sa prostredníctvom tejto kompenzácie zabráni, alebo ktoré sa tak znížia, zodpovedá zvyškovým emisiám všetkých predávaných výrobkov alebo služieb, na ktoré má reklama vplyv.</w:t>
      </w:r>
      <w:r>
        <w:t xml:space="preserve">  </w:t>
      </w:r>
      <w:r>
        <w:t xml:space="preserve">V tejto prílohe sa tiež špecifikujú prostriedky, ktoré inzerent implementoval s cieľom zabezpečiť, aby sa dvakrát nezapočítala kompenzácia, ktorú tieto projekty umožňujú.</w:t>
      </w:r>
      <w:r>
        <w:t xml:space="preserve"> </w:t>
      </w:r>
      <w:r>
        <w:t xml:space="preserve">Stanovujú sa v nej najmä metódy na odstránenie zníženia emisií z trhu pri použití kompenzačných kreditov.</w:t>
      </w:r>
      <w:r>
        <w:t xml:space="preserve"> </w:t>
      </w:r>
      <w:r>
        <w:t xml:space="preserve">Napokon sa v tejto prílohe podrobne opisuje úsilie vynaložené na zabezpečenie čo najlepšieho súladu medzi geografickými oblasťami, v ktorých sa projekty realizujú a kde dochádza k emisiám.</w:t>
      </w:r>
    </w:p>
    <w:p w14:paraId="16C134F5" w14:textId="77777777" w:rsidR="00E478EA" w:rsidRPr="007B2607" w:rsidRDefault="00E478EA" w:rsidP="00FB6E53">
      <w:pPr>
        <w:pStyle w:val="BodyText"/>
        <w:spacing w:after="0"/>
        <w:rPr>
          <w:bCs/>
        </w:rPr>
      </w:pPr>
    </w:p>
    <w:p w14:paraId="0D196A5B" w14:textId="77777777" w:rsidR="00865CE0" w:rsidRPr="007B2607" w:rsidRDefault="008C2EFB" w:rsidP="00FB6E53">
      <w:pPr>
        <w:pStyle w:val="BodyText"/>
        <w:spacing w:after="0"/>
        <w:rPr>
          <w:bCs/>
        </w:rPr>
      </w:pPr>
      <w:r>
        <w:t xml:space="preserve">Táto publikácia sa každoročne aktualizuje počas celého marketingového obdobia výrobku alebo služby.</w:t>
      </w:r>
      <w:r>
        <w:t xml:space="preserve"> </w:t>
      </w:r>
      <w:r>
        <w:t xml:space="preserve">Aktualizácia umožňuje najmä monitorovať vývoj emisií súvisiacich s výrobkom alebo službou v porovnaní s vyššie uvedenou trajektóriou znižovania emisií.</w:t>
      </w:r>
      <w:r>
        <w:t xml:space="preserve"> </w:t>
      </w:r>
      <w:r>
        <w:t xml:space="preserve">Inzerent bude musieť stiahnuť tvrdenie uvedené v článku D. 229-105, ak sa ukáže, že jednotkové emisie spojené s výrobkom alebo službou sa pred kompenzáciou zvýšili počas dvoch po sebe nasledujúcich rokov.</w:t>
      </w:r>
      <w:r>
        <w:t xml:space="preserve"> </w:t>
      </w:r>
    </w:p>
    <w:p w14:paraId="2311E640" w14:textId="77777777" w:rsidR="00865CE0" w:rsidRPr="007B2607" w:rsidRDefault="00865CE0" w:rsidP="00FB6E53">
      <w:pPr>
        <w:pStyle w:val="BodyText"/>
        <w:spacing w:after="0"/>
        <w:rPr>
          <w:bCs/>
        </w:rPr>
      </w:pPr>
    </w:p>
    <w:p w14:paraId="00BAD9C7" w14:textId="77777777" w:rsidR="00E478EA" w:rsidRPr="007B2607" w:rsidRDefault="008C2EFB" w:rsidP="00FB6E53">
      <w:pPr>
        <w:pStyle w:val="BodyText"/>
        <w:spacing w:after="0"/>
        <w:rPr>
          <w:bCs/>
        </w:rPr>
      </w:pPr>
      <w:r>
        <w:t xml:space="preserve">Webový odkaz alebo kód rýchlej odpovede (kód QR) na prístup k tejto publikácii je uvedený na reklame alebo obale s tvrdením o uhlíkovej neutralite.</w:t>
      </w:r>
      <w:r>
        <w:t xml:space="preserve"> </w:t>
      </w:r>
    </w:p>
    <w:p w14:paraId="1B41676F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729D362" w14:textId="77777777" w:rsidR="00BE3757" w:rsidRDefault="00CE28B0" w:rsidP="00BE3757">
      <w:pPr>
        <w:jc w:val="both"/>
      </w:pPr>
      <w:r>
        <w:t xml:space="preserve">Článok D. 229-108</w:t>
      </w:r>
      <w:r>
        <w:t xml:space="preserve"> </w:t>
      </w:r>
      <w:r>
        <w:t xml:space="preserve">– Kompenzačné projekty, ktoré využíva inzerent uvedený v článku D. 229-105, musia byť v súlade s podmienkami článkov R. 229-103 a R. 229-104.</w:t>
      </w:r>
    </w:p>
    <w:p w14:paraId="5A9F3592" w14:textId="77777777" w:rsidR="0061349E" w:rsidRPr="007B2607" w:rsidRDefault="0061349E" w:rsidP="00BE3757">
      <w:pPr>
        <w:jc w:val="both"/>
      </w:pPr>
    </w:p>
    <w:p w14:paraId="28D717D4" w14:textId="77777777" w:rsidR="0061349E" w:rsidRDefault="0061349E" w:rsidP="0061349E">
      <w:pPr>
        <w:pStyle w:val="BodyText"/>
        <w:spacing w:after="0"/>
      </w:pPr>
      <w:r>
        <w:t xml:space="preserve">Kompenzačné projekty nesmú mať negatívny vplyv na zachovanie a obnovu prírodných ekosystémov a ich funkcií.</w:t>
      </w:r>
    </w:p>
    <w:p w14:paraId="5EB9E82C" w14:textId="77777777" w:rsidR="00640D83" w:rsidRPr="007B2607" w:rsidRDefault="00640D83" w:rsidP="00FB6E53">
      <w:pPr>
        <w:pStyle w:val="BodyText"/>
        <w:spacing w:after="0"/>
      </w:pPr>
    </w:p>
    <w:p w14:paraId="1D0CB6C1" w14:textId="77777777" w:rsidR="00640D83" w:rsidRPr="007B2607" w:rsidRDefault="008C2EFB" w:rsidP="00640D83">
      <w:pPr>
        <w:pStyle w:val="BodyText"/>
        <w:spacing w:after="0"/>
      </w:pPr>
      <w:r>
        <w:t xml:space="preserve">Emisie spojené s výrobkami alebo službami spotrebovanými vo Francúzsku musia byť kompenzované najmä na francúzskom území.</w:t>
      </w:r>
    </w:p>
    <w:p w14:paraId="0BCBCAA1" w14:textId="77777777" w:rsidR="00640D83" w:rsidRPr="007B2607" w:rsidRDefault="00640D83" w:rsidP="00640D83">
      <w:pPr>
        <w:pStyle w:val="BodyText"/>
        <w:spacing w:after="0"/>
      </w:pPr>
    </w:p>
    <w:p w14:paraId="24294507" w14:textId="77777777" w:rsidR="0061349E" w:rsidRDefault="0061349E" w:rsidP="00640D83">
      <w:pPr>
        <w:pStyle w:val="BodyText"/>
        <w:spacing w:after="0"/>
      </w:pPr>
    </w:p>
    <w:p w14:paraId="5E49DC68" w14:textId="77777777" w:rsidR="0061349E" w:rsidRDefault="0061349E" w:rsidP="00640D83">
      <w:pPr>
        <w:pStyle w:val="BodyText"/>
        <w:spacing w:after="0"/>
      </w:pPr>
      <w:r>
        <w:t xml:space="preserve">Zníženie emisií uznané podľa vyhlášky č. 2018-1043 z 28. novembra 2018, ktorou sa vytvára označenie „nízkouhlíkové“, sa považuje za také, ktoré je v súlade s článkom R. 229-103.</w:t>
      </w:r>
    </w:p>
    <w:p w14:paraId="52996AD4" w14:textId="77777777" w:rsidR="0061349E" w:rsidRDefault="0061349E" w:rsidP="00640D83">
      <w:pPr>
        <w:pStyle w:val="BodyText"/>
        <w:spacing w:after="0"/>
      </w:pPr>
    </w:p>
    <w:p w14:paraId="62A43A2E" w14:textId="77777777" w:rsidR="00851850" w:rsidRPr="00851850" w:rsidRDefault="00851850" w:rsidP="00851850">
      <w:pPr>
        <w:pStyle w:val="BodyText"/>
        <w:rPr>
          <w:bCs/>
        </w:rPr>
      </w:pPr>
      <w:r>
        <w:t xml:space="preserve">Článok R. 229-109</w:t>
      </w:r>
      <w:r>
        <w:t xml:space="preserve"> </w:t>
      </w:r>
      <w:r>
        <w:t xml:space="preserve">– Podľa článku L. 229-69 môže minister zodpovedný za životné prostredie sankcionovať nesplnenie povinnosti stanovenej v článku L. 229-68 za podmienok stanovených v tomto článku.</w:t>
      </w:r>
    </w:p>
    <w:p w14:paraId="5158D784" w14:textId="77777777" w:rsidR="00851850" w:rsidRPr="00851850" w:rsidRDefault="00851850" w:rsidP="00851850">
      <w:pPr>
        <w:pStyle w:val="BodyText"/>
        <w:rPr>
          <w:bCs/>
        </w:rPr>
      </w:pPr>
      <w:r>
        <w:t xml:space="preserve">Nesplnenie povinností stanovených v článku L. 229-68 preukazuje úradník poverený na tento účel ministrom zodpovedným za životné prostredie.</w:t>
      </w:r>
    </w:p>
    <w:p w14:paraId="5850D6DE" w14:textId="77777777" w:rsidR="00851850" w:rsidRPr="00851850" w:rsidRDefault="00851850" w:rsidP="00851850">
      <w:pPr>
        <w:pStyle w:val="BodyText"/>
        <w:rPr>
          <w:bCs/>
        </w:rPr>
      </w:pPr>
      <w:r>
        <w:t xml:space="preserve">Minister zodpovedný za životné prostredie môže inzerenta po tom, ako mu dá možnosť predložiť písomné pripomienky k sťažnostiam vzneseným proti nemu, vyzvať, aby túto povinnosť splnil v lehote, ktorú určí minister.</w:t>
      </w:r>
      <w:r>
        <w:t xml:space="preserve"> </w:t>
      </w:r>
      <w:r>
        <w:t xml:space="preserve">Minister môže túto formálnu výzvu zverejniť.</w:t>
      </w:r>
      <w:r>
        <w:t xml:space="preserve">  </w:t>
      </w:r>
    </w:p>
    <w:p w14:paraId="304FDC6A" w14:textId="77777777" w:rsidR="00851850" w:rsidRPr="007B2607" w:rsidRDefault="00851850" w:rsidP="00851850">
      <w:pPr>
        <w:pStyle w:val="BodyText"/>
        <w:spacing w:after="0"/>
        <w:rPr>
          <w:bCs/>
        </w:rPr>
      </w:pPr>
      <w:r>
        <w:t xml:space="preserve">Ak inzerent nevyhovie tejto výzve v stanovenej lehote, minister zodpovedný za životné prostredie mu môže uložiť povinnosť zaplatiť pokutu stanovenú v článku L. 229-69 environmentálneho zákonníka.“</w:t>
      </w:r>
    </w:p>
    <w:p w14:paraId="02C79937" w14:textId="77777777" w:rsidR="00FB6E53" w:rsidRPr="00FB6E53" w:rsidRDefault="00FB6E53" w:rsidP="00FB6E53">
      <w:pPr>
        <w:pStyle w:val="BodyText"/>
      </w:pPr>
    </w:p>
    <w:p w14:paraId="3E4D8A21" w14:textId="77777777" w:rsidR="00FB6E53" w:rsidRDefault="00FB6E53" w:rsidP="00FB6E53">
      <w:pPr>
        <w:pStyle w:val="SNArticle"/>
        <w:rPr>
          <w:bCs/>
        </w:rPr>
      </w:pPr>
      <w:r>
        <w:t xml:space="preserve">Článok 3</w:t>
      </w:r>
    </w:p>
    <w:p w14:paraId="3FB8E1D7" w14:textId="77777777" w:rsidR="00851850" w:rsidRDefault="00851850" w:rsidP="00851850">
      <w:pPr>
        <w:pStyle w:val="SNArticle"/>
        <w:jc w:val="left"/>
        <w:rPr>
          <w:b w:val="0"/>
        </w:rPr>
      </w:pPr>
      <w:r>
        <w:rPr>
          <w:b w:val="0"/>
        </w:rPr>
        <w:t xml:space="preserve">V prílohe 1 k vyššie uvedenej vyhláške z 19. decembra 1997 sa nadpis „Energetika a klíma“ dopĺňa takto: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051"/>
        <w:gridCol w:w="2336"/>
      </w:tblGrid>
      <w:tr w:rsidR="00851850" w14:paraId="0AECA584" w14:textId="77777777" w:rsidTr="003C32DD">
        <w:tc>
          <w:tcPr>
            <w:tcW w:w="704" w:type="dxa"/>
          </w:tcPr>
          <w:p w14:paraId="32BCDB62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[64]</w:t>
            </w:r>
          </w:p>
        </w:tc>
        <w:tc>
          <w:tcPr>
            <w:tcW w:w="4253" w:type="dxa"/>
          </w:tcPr>
          <w:p w14:paraId="1239161F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Formálna výzva a sankcie súvisiace s tvrdením v reklame, že výrobok alebo služba sú uhlíkovo neutrálne</w:t>
            </w:r>
          </w:p>
        </w:tc>
        <w:tc>
          <w:tcPr>
            <w:tcW w:w="2051" w:type="dxa"/>
          </w:tcPr>
          <w:p w14:paraId="33125CBC" w14:textId="77777777" w:rsidR="00851850" w:rsidRPr="00851850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Environmentálny zákonník</w:t>
            </w:r>
          </w:p>
          <w:p w14:paraId="627C57FC" w14:textId="77777777" w:rsidR="00851850" w:rsidRPr="001D0716" w:rsidRDefault="00851850" w:rsidP="003C32DD">
            <w:pPr>
              <w:pStyle w:val="BodyText"/>
            </w:pPr>
            <w:r>
              <w:t xml:space="preserve">Článok R. 229-109</w:t>
            </w:r>
          </w:p>
        </w:tc>
        <w:tc>
          <w:tcPr>
            <w:tcW w:w="2336" w:type="dxa"/>
          </w:tcPr>
          <w:p w14:paraId="57484785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Minister životného prostredia</w:t>
            </w:r>
          </w:p>
        </w:tc>
      </w:tr>
    </w:tbl>
    <w:p w14:paraId="33967785" w14:textId="77777777" w:rsidR="00851850" w:rsidRDefault="00851850" w:rsidP="00BE3757">
      <w:pPr>
        <w:pStyle w:val="BodyText"/>
      </w:pPr>
    </w:p>
    <w:p w14:paraId="2E73F67E" w14:textId="77777777" w:rsidR="00851850" w:rsidRDefault="00851850" w:rsidP="00BE3757">
      <w:pPr>
        <w:pStyle w:val="BodyText"/>
      </w:pPr>
    </w:p>
    <w:p w14:paraId="31C41D0F" w14:textId="77777777" w:rsidR="00851850" w:rsidRPr="00851850" w:rsidRDefault="00851850" w:rsidP="00851850">
      <w:pPr>
        <w:pStyle w:val="SNArticle"/>
        <w:rPr>
          <w:bCs/>
        </w:rPr>
      </w:pPr>
      <w:r>
        <w:t xml:space="preserve">Článok 4</w:t>
      </w:r>
    </w:p>
    <w:p w14:paraId="4B9BA7C2" w14:textId="77777777" w:rsidR="0061349E" w:rsidRDefault="00851850" w:rsidP="00BE3757">
      <w:pPr>
        <w:pStyle w:val="BodyText"/>
      </w:pPr>
      <w:r>
        <w:t xml:space="preserve">Táto vyhláška nadobúda účinnosť dňom nasledujúcim po jej uverejnení s výnimkou článkov 2 a 3, ktoré nadobudnú účinnosť 1. januára 2023.</w:t>
      </w:r>
    </w:p>
    <w:p w14:paraId="2D7F991E" w14:textId="77777777" w:rsidR="0061349E" w:rsidRDefault="0061349E" w:rsidP="00BE3757">
      <w:pPr>
        <w:pStyle w:val="BodyText"/>
      </w:pPr>
    </w:p>
    <w:p w14:paraId="1321CCFF" w14:textId="77777777" w:rsidR="00064968" w:rsidRDefault="0061349E" w:rsidP="00BE3757">
      <w:pPr>
        <w:pStyle w:val="BodyText"/>
      </w:pPr>
      <w:r>
        <w:t xml:space="preserve">Do 31. decembra 2025 sa financovanie projektov na francúzskom území rovná pripisovaniu znižovania emisií inzerentovi v súlade s ustanoveniami článku D. 229-107 bodu 3, ak inzerent môže na základe zmluvy odôvodniť prípadné uznanie prospechu z overeného zníženia emisií tohto projektu.</w:t>
      </w:r>
      <w:r>
        <w:t xml:space="preserve"> </w:t>
      </w:r>
      <w:r>
        <w:t xml:space="preserve">Inzerent zabezpečí splnenie svojich záväzkov týkajúcich sa kompenzácie emisií, v prípade potreby, získaním dodatočných uhlíkových kreditov zodpovedajúcich rozdielu medzi overeným znížením emisií daného projektu a financovaným znížením.</w:t>
      </w:r>
    </w:p>
    <w:p w14:paraId="12C215DA" w14:textId="77777777" w:rsidR="00064968" w:rsidRDefault="00064968" w:rsidP="00BE3757">
      <w:pPr>
        <w:pStyle w:val="BodyText"/>
      </w:pPr>
    </w:p>
    <w:p w14:paraId="3ACCFD0D" w14:textId="77777777" w:rsidR="00064968" w:rsidRPr="00851850" w:rsidRDefault="00851850" w:rsidP="00851850">
      <w:pPr>
        <w:pStyle w:val="SNArticle"/>
        <w:rPr>
          <w:bCs/>
        </w:rPr>
      </w:pPr>
      <w:r>
        <w:t xml:space="preserve">Článok 5</w:t>
      </w:r>
    </w:p>
    <w:p w14:paraId="65149FAE" w14:textId="77777777" w:rsidR="00FB6E53" w:rsidRDefault="00FB6E53" w:rsidP="00FB6E53">
      <w:pPr>
        <w:pStyle w:val="BodyText"/>
      </w:pPr>
      <w:r>
        <w:t xml:space="preserve">Za vykonávanie tejto vyhlášky, ktorá bude uverejnená v </w:t>
      </w:r>
      <w:r>
        <w:rPr>
          <w:i/>
          <w:iCs/>
        </w:rPr>
        <w:t xml:space="preserve">Úradnom vestníku</w:t>
      </w:r>
      <w:r>
        <w:t xml:space="preserve"> Francúzskej republiky, zodpovedá ministerka pre ekologickú transformáciu.</w:t>
      </w:r>
    </w:p>
    <w:p w14:paraId="633ECCBF" w14:textId="77777777" w:rsidR="00FB6E53" w:rsidRDefault="00FB6E53" w:rsidP="00FB6E53">
      <w:pPr>
        <w:pStyle w:val="SNDate"/>
      </w:pPr>
      <w:r>
        <w:t xml:space="preserve">Dňa [dátum].</w:t>
      </w:r>
    </w:p>
    <w:p w14:paraId="7B41A2DC" w14:textId="77777777" w:rsidR="00FB6E53" w:rsidRDefault="00FB6E53" w:rsidP="00FB6E53">
      <w:pPr>
        <w:ind w:left="567"/>
      </w:pPr>
      <w:r>
        <w:t xml:space="preserve">Za predsedu vlády:</w:t>
      </w:r>
    </w:p>
    <w:p w14:paraId="2011CC35" w14:textId="77777777" w:rsidR="00FB6E53" w:rsidRDefault="00FB6E53" w:rsidP="00FB6E53">
      <w:pPr>
        <w:pStyle w:val="SNSignatureGauche"/>
        <w:ind w:left="567" w:right="5669"/>
      </w:pPr>
      <w:r>
        <w:t xml:space="preserve">Ministerka pre ekologickú transformáciu,</w:t>
      </w:r>
    </w:p>
    <w:p w14:paraId="65D3D183" w14:textId="77777777" w:rsidR="00FD3014" w:rsidRDefault="00FB6E53" w:rsidP="003E7D77">
      <w:pPr>
        <w:pStyle w:val="SNSignatureprnomnomGauche"/>
        <w:spacing w:after="240"/>
        <w:ind w:left="567" w:right="4535"/>
      </w:pPr>
      <w:r>
        <w:t xml:space="preserve">Barbara POMPILI</w:t>
      </w:r>
    </w:p>
    <w:sectPr w:rsidR="00FD3014" w:rsidSect="00FD3014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4AC9"/>
    <w:multiLevelType w:val="hybridMultilevel"/>
    <w:tmpl w:val="8348C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498F"/>
    <w:multiLevelType w:val="hybridMultilevel"/>
    <w:tmpl w:val="4C10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10C2"/>
    <w:multiLevelType w:val="hybridMultilevel"/>
    <w:tmpl w:val="16CAB3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53"/>
    <w:rsid w:val="00001B01"/>
    <w:rsid w:val="00020A46"/>
    <w:rsid w:val="00021079"/>
    <w:rsid w:val="00064968"/>
    <w:rsid w:val="0007470F"/>
    <w:rsid w:val="00076F37"/>
    <w:rsid w:val="00081C95"/>
    <w:rsid w:val="000911C8"/>
    <w:rsid w:val="000A1D6B"/>
    <w:rsid w:val="000D72B2"/>
    <w:rsid w:val="000F0B84"/>
    <w:rsid w:val="000F1712"/>
    <w:rsid w:val="000F4D8E"/>
    <w:rsid w:val="001202A5"/>
    <w:rsid w:val="001253C6"/>
    <w:rsid w:val="001360BB"/>
    <w:rsid w:val="00156FB4"/>
    <w:rsid w:val="00163F8A"/>
    <w:rsid w:val="0018653A"/>
    <w:rsid w:val="001C4F5C"/>
    <w:rsid w:val="001D31A0"/>
    <w:rsid w:val="001E3BBD"/>
    <w:rsid w:val="001F6CAF"/>
    <w:rsid w:val="002259E9"/>
    <w:rsid w:val="00227921"/>
    <w:rsid w:val="002808A7"/>
    <w:rsid w:val="002C342A"/>
    <w:rsid w:val="002D6CC2"/>
    <w:rsid w:val="00324CBF"/>
    <w:rsid w:val="0033279F"/>
    <w:rsid w:val="00336098"/>
    <w:rsid w:val="003600B7"/>
    <w:rsid w:val="0036429E"/>
    <w:rsid w:val="00373B40"/>
    <w:rsid w:val="00392934"/>
    <w:rsid w:val="003953A5"/>
    <w:rsid w:val="003D56F4"/>
    <w:rsid w:val="003E531C"/>
    <w:rsid w:val="003E7D77"/>
    <w:rsid w:val="00417F87"/>
    <w:rsid w:val="004248A4"/>
    <w:rsid w:val="004500CC"/>
    <w:rsid w:val="00451717"/>
    <w:rsid w:val="00452322"/>
    <w:rsid w:val="004B1160"/>
    <w:rsid w:val="004C6705"/>
    <w:rsid w:val="00501509"/>
    <w:rsid w:val="00512792"/>
    <w:rsid w:val="00520B5A"/>
    <w:rsid w:val="005B5D1A"/>
    <w:rsid w:val="00600E69"/>
    <w:rsid w:val="0061349E"/>
    <w:rsid w:val="00640BDF"/>
    <w:rsid w:val="00640D83"/>
    <w:rsid w:val="00643B83"/>
    <w:rsid w:val="006525C1"/>
    <w:rsid w:val="00685933"/>
    <w:rsid w:val="00693019"/>
    <w:rsid w:val="006C22BA"/>
    <w:rsid w:val="006E7C91"/>
    <w:rsid w:val="00702E13"/>
    <w:rsid w:val="007112FA"/>
    <w:rsid w:val="00791B47"/>
    <w:rsid w:val="007A3FFB"/>
    <w:rsid w:val="007B2607"/>
    <w:rsid w:val="007B3186"/>
    <w:rsid w:val="007B5E58"/>
    <w:rsid w:val="007C3419"/>
    <w:rsid w:val="007E19E0"/>
    <w:rsid w:val="008065A8"/>
    <w:rsid w:val="00822045"/>
    <w:rsid w:val="00831FD0"/>
    <w:rsid w:val="00851850"/>
    <w:rsid w:val="00865CE0"/>
    <w:rsid w:val="00884E8B"/>
    <w:rsid w:val="00890740"/>
    <w:rsid w:val="008A0170"/>
    <w:rsid w:val="008B57D4"/>
    <w:rsid w:val="008C2EFB"/>
    <w:rsid w:val="008D746C"/>
    <w:rsid w:val="008E30D0"/>
    <w:rsid w:val="00902234"/>
    <w:rsid w:val="00932796"/>
    <w:rsid w:val="0099494E"/>
    <w:rsid w:val="009A39A4"/>
    <w:rsid w:val="009C4BBD"/>
    <w:rsid w:val="009F1E9F"/>
    <w:rsid w:val="009F2DC3"/>
    <w:rsid w:val="00A26CD3"/>
    <w:rsid w:val="00A364CF"/>
    <w:rsid w:val="00A36FBB"/>
    <w:rsid w:val="00A51457"/>
    <w:rsid w:val="00A852F3"/>
    <w:rsid w:val="00A9018C"/>
    <w:rsid w:val="00AA1CBA"/>
    <w:rsid w:val="00AA35C5"/>
    <w:rsid w:val="00AC0DE4"/>
    <w:rsid w:val="00AC1942"/>
    <w:rsid w:val="00AC27E9"/>
    <w:rsid w:val="00AE0098"/>
    <w:rsid w:val="00B0118D"/>
    <w:rsid w:val="00B60325"/>
    <w:rsid w:val="00B73691"/>
    <w:rsid w:val="00B76A4A"/>
    <w:rsid w:val="00BB26CE"/>
    <w:rsid w:val="00BB66DF"/>
    <w:rsid w:val="00BE3757"/>
    <w:rsid w:val="00C26E13"/>
    <w:rsid w:val="00C35314"/>
    <w:rsid w:val="00C50902"/>
    <w:rsid w:val="00C8186B"/>
    <w:rsid w:val="00C85D8C"/>
    <w:rsid w:val="00CE28B0"/>
    <w:rsid w:val="00CF4307"/>
    <w:rsid w:val="00D066A6"/>
    <w:rsid w:val="00D35BD8"/>
    <w:rsid w:val="00D411B1"/>
    <w:rsid w:val="00D507C6"/>
    <w:rsid w:val="00DA728B"/>
    <w:rsid w:val="00DB0386"/>
    <w:rsid w:val="00DC6664"/>
    <w:rsid w:val="00E075D6"/>
    <w:rsid w:val="00E22AA3"/>
    <w:rsid w:val="00E23DDB"/>
    <w:rsid w:val="00E26347"/>
    <w:rsid w:val="00E3390A"/>
    <w:rsid w:val="00E478EA"/>
    <w:rsid w:val="00E47B26"/>
    <w:rsid w:val="00E971FC"/>
    <w:rsid w:val="00EC0B91"/>
    <w:rsid w:val="00F0638A"/>
    <w:rsid w:val="00F064E7"/>
    <w:rsid w:val="00F16F71"/>
    <w:rsid w:val="00F3475D"/>
    <w:rsid w:val="00F538E4"/>
    <w:rsid w:val="00F820F9"/>
    <w:rsid w:val="00F94097"/>
    <w:rsid w:val="00FA5F21"/>
    <w:rsid w:val="00FB3B22"/>
    <w:rsid w:val="00FB6E53"/>
    <w:rsid w:val="00FC0F7A"/>
    <w:rsid w:val="00FD3014"/>
    <w:rsid w:val="00FD78B7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44AC"/>
  <w15:docId w15:val="{26CE345B-8D68-4F83-B087-BD4010F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FB6E53"/>
    <w:rPr>
      <w:sz w:val="16"/>
      <w:szCs w:val="16"/>
    </w:rPr>
  </w:style>
  <w:style w:type="paragraph" w:styleId="BodyText">
    <w:name w:val="Body Text"/>
    <w:basedOn w:val="Normal"/>
    <w:link w:val="BodyTextChar"/>
    <w:rsid w:val="00FB6E5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FB6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NREPUBLIQUE">
    <w:name w:val="SNREPUBLIQUE"/>
    <w:basedOn w:val="Normal"/>
    <w:qFormat/>
    <w:rsid w:val="00FB6E53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qFormat/>
    <w:rsid w:val="00FB6E53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rsid w:val="00FB6E53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rsid w:val="00FB6E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customStyle="1" w:styleId="SNAutorit">
    <w:name w:val="SNAutorité"/>
    <w:basedOn w:val="Normal"/>
    <w:qFormat/>
    <w:rsid w:val="00FB6E53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Normal"/>
    <w:next w:val="SNSignatureGauche"/>
    <w:qFormat/>
    <w:rsid w:val="00FB6E53"/>
    <w:pPr>
      <w:spacing w:before="120" w:after="120"/>
      <w:ind w:left="5041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qFormat/>
    <w:rsid w:val="00FB6E53"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Normal"/>
    <w:qFormat/>
    <w:rsid w:val="00FB6E53"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rsid w:val="00FB6E53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rsid w:val="00FB6E53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B6E53"/>
    <w:pPr>
      <w:spacing w:before="120" w:after="120"/>
      <w:ind w:firstLine="720"/>
    </w:pPr>
  </w:style>
  <w:style w:type="paragraph" w:customStyle="1" w:styleId="SNDate">
    <w:name w:val="SNDate"/>
    <w:basedOn w:val="Normal"/>
    <w:next w:val="Normal"/>
    <w:qFormat/>
    <w:rsid w:val="00FB6E53"/>
    <w:pPr>
      <w:spacing w:before="480" w:after="2760"/>
      <w:ind w:firstLine="720"/>
    </w:pPr>
  </w:style>
  <w:style w:type="paragraph" w:customStyle="1" w:styleId="SNActe">
    <w:name w:val="SNActe"/>
    <w:basedOn w:val="Normal"/>
    <w:qFormat/>
    <w:rsid w:val="00FB6E53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rsid w:val="00FB6E53"/>
    <w:pPr>
      <w:spacing w:before="240" w:after="240"/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qFormat/>
    <w:rsid w:val="00FB6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B6E5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B6E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3"/>
    <w:rPr>
      <w:rFonts w:ascii="Segoe UI" w:eastAsia="Times New Roma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B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E5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2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5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3072-2097-4A35-92E6-3A32BF9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DICANOT Anthony</dc:creator>
  <cp:lastModifiedBy>Dimitris Dimitriadis</cp:lastModifiedBy>
  <cp:revision>4</cp:revision>
  <dcterms:created xsi:type="dcterms:W3CDTF">2021-12-28T12:10:00Z</dcterms:created>
  <dcterms:modified xsi:type="dcterms:W3CDTF">2022-01-07T07:42:00Z</dcterms:modified>
</cp:coreProperties>
</file>