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AD793E" w:rsidRDefault="000A10E8" w:rsidP="00AD793E">
      <w:pPr>
        <w:rPr>
          <w:rFonts w:ascii="Courier New" w:hAnsi="Courier New" w:cs="Courier New"/>
          <w:b/>
          <w:sz w:val="24"/>
          <w:szCs w:val="24"/>
        </w:rPr>
      </w:pPr>
      <w:r w:rsidRPr="00AD793E">
        <w:rPr>
          <w:rFonts w:ascii="Courier New" w:hAnsi="Courier New" w:cs="Courier New"/>
        </w:rPr>
        <w:t>1. ------IND- 2019 0087 GR- FR- ------ 20201130 ---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AD793E">
            <w:pPr>
              <w:pStyle w:val="Heading3"/>
              <w:rPr>
                <w:rFonts w:ascii="Times New Roman" w:hAnsi="Times New Roman"/>
                <w:sz w:val="22"/>
                <w:szCs w:val="22"/>
              </w:rPr>
            </w:pPr>
            <w:r>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AD793E">
            <w:pPr>
              <w:jc w:val="center"/>
              <w:rPr>
                <w:rFonts w:ascii="Calibri" w:hAnsi="Calibri" w:cs="Calibri"/>
                <w:color w:val="002060"/>
                <w:sz w:val="24"/>
                <w:szCs w:val="18"/>
              </w:rPr>
            </w:pPr>
            <w:r>
              <w:rPr>
                <w:rFonts w:ascii="Calibri" w:hAnsi="Calibri"/>
                <w:color w:val="002060"/>
                <w:sz w:val="24"/>
              </w:rPr>
              <w:t>RÉPUBLIQUE HELLÉNIQUE</w:t>
            </w:r>
          </w:p>
          <w:p w:rsidR="00BB5948" w:rsidRPr="008B72B9" w:rsidRDefault="00BB5948" w:rsidP="00AD793E">
            <w:pPr>
              <w:jc w:val="center"/>
              <w:rPr>
                <w:rFonts w:ascii="Calibri" w:hAnsi="Calibri" w:cs="Calibri"/>
                <w:color w:val="002060"/>
                <w:sz w:val="24"/>
                <w:szCs w:val="18"/>
              </w:rPr>
            </w:pPr>
            <w:r>
              <w:rPr>
                <w:rFonts w:ascii="Calibri" w:hAnsi="Calibri"/>
                <w:b/>
                <w:color w:val="002060"/>
                <w:sz w:val="24"/>
              </w:rPr>
              <w:t>MINISTÈRE</w:t>
            </w:r>
          </w:p>
          <w:p w:rsidR="00BB5948" w:rsidRPr="008B72B9" w:rsidRDefault="00BB5948" w:rsidP="00AD793E">
            <w:pPr>
              <w:jc w:val="center"/>
              <w:rPr>
                <w:rFonts w:ascii="Calibri" w:hAnsi="Calibri" w:cs="Calibri"/>
                <w:color w:val="002060"/>
                <w:sz w:val="24"/>
                <w:szCs w:val="18"/>
              </w:rPr>
            </w:pPr>
            <w:r>
              <w:rPr>
                <w:rFonts w:ascii="Calibri" w:hAnsi="Calibri"/>
                <w:b/>
                <w:color w:val="002060"/>
                <w:sz w:val="24"/>
              </w:rPr>
              <w:t>DU DÉVELOPPEMENT ET DES INVESTISSEMENTS</w:t>
            </w:r>
          </w:p>
          <w:p w:rsidR="00BB5948" w:rsidRPr="003A61F6" w:rsidRDefault="00BB5948" w:rsidP="00AD793E">
            <w:pPr>
              <w:rPr>
                <w:lang w:val="el-GR"/>
              </w:rPr>
            </w:pPr>
          </w:p>
          <w:p w:rsidR="00073FC0" w:rsidRPr="003A61F6" w:rsidRDefault="00073FC0" w:rsidP="00AD793E">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SECRÉTARIAT GÉNÉRAL À L’INDUSTRIE</w:t>
            </w:r>
          </w:p>
          <w:p w:rsidR="00073FC0" w:rsidRPr="003A61F6" w:rsidRDefault="00073FC0" w:rsidP="00AD793E">
            <w:pPr>
              <w:pStyle w:val="a"/>
              <w:framePr w:wrap="notBeside"/>
              <w:spacing w:line="240" w:lineRule="auto"/>
              <w:rPr>
                <w:rFonts w:ascii="Times New Roman" w:hAnsi="Times New Roman"/>
                <w:spacing w:val="0"/>
                <w:sz w:val="22"/>
                <w:szCs w:val="22"/>
              </w:rPr>
            </w:pPr>
            <w:r>
              <w:rPr>
                <w:rFonts w:ascii="Times New Roman" w:hAnsi="Times New Roman"/>
                <w:sz w:val="22"/>
              </w:rPr>
              <w:t xml:space="preserve">DIRECTION GÉNÉRALE À L’INDUSTRIE ET </w:t>
            </w:r>
          </w:p>
          <w:p w:rsidR="00073FC0" w:rsidRPr="003A61F6" w:rsidRDefault="00073FC0" w:rsidP="00AD793E">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rPr>
              <w:t>AUX ENTREPRISES</w:t>
            </w:r>
          </w:p>
          <w:p w:rsidR="00073FC0" w:rsidRPr="003A61F6" w:rsidRDefault="00073FC0" w:rsidP="00AD793E">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rPr>
              <w:t>DIRECTION DE LA POLITIQUE DE QUALITÉ</w:t>
            </w:r>
          </w:p>
          <w:p w:rsidR="00DB520C" w:rsidRPr="003A61F6" w:rsidRDefault="0072107F" w:rsidP="00AD793E">
            <w:pPr>
              <w:rPr>
                <w:rFonts w:ascii="Arial" w:hAnsi="Arial"/>
                <w:sz w:val="24"/>
              </w:rPr>
            </w:pPr>
            <w:r>
              <w:rPr>
                <w:rFonts w:ascii="Times New Roman" w:hAnsi="Times New Roman"/>
                <w:sz w:val="22"/>
              </w:rPr>
              <w:t>DÉPARTEMENT DE LA SÉCURITÉ GÉNÉRALE DES PRODUITS</w:t>
            </w:r>
          </w:p>
        </w:tc>
        <w:tc>
          <w:tcPr>
            <w:tcW w:w="4536" w:type="dxa"/>
          </w:tcPr>
          <w:p w:rsidR="00DB520C" w:rsidRPr="003A61F6" w:rsidRDefault="00DB520C" w:rsidP="00AD793E">
            <w:pPr>
              <w:rPr>
                <w:rFonts w:ascii="Arial" w:hAnsi="Arial" w:cs="Arial"/>
                <w:sz w:val="24"/>
                <w:lang w:val="el-GR"/>
              </w:rPr>
            </w:pPr>
          </w:p>
          <w:p w:rsidR="00DB520C" w:rsidRPr="003A61F6" w:rsidRDefault="00DB520C" w:rsidP="00AD793E">
            <w:pPr>
              <w:rPr>
                <w:rFonts w:ascii="Times New Roman" w:hAnsi="Times New Roman"/>
                <w:b/>
                <w:sz w:val="24"/>
                <w:szCs w:val="24"/>
                <w:lang w:val="el-GR"/>
              </w:rPr>
            </w:pPr>
          </w:p>
          <w:p w:rsidR="006412EA" w:rsidRPr="003A61F6" w:rsidRDefault="006412EA" w:rsidP="00AD793E">
            <w:pPr>
              <w:rPr>
                <w:rFonts w:ascii="Times New Roman" w:hAnsi="Times New Roman"/>
                <w:sz w:val="24"/>
                <w:lang w:val="el-GR"/>
              </w:rPr>
            </w:pPr>
          </w:p>
          <w:p w:rsidR="00671892" w:rsidRPr="003A61F6" w:rsidRDefault="00671892" w:rsidP="00AD793E">
            <w:pPr>
              <w:jc w:val="center"/>
              <w:rPr>
                <w:rFonts w:ascii="Times New Roman" w:hAnsi="Times New Roman"/>
                <w:sz w:val="24"/>
                <w:lang w:val="el-GR"/>
              </w:rPr>
            </w:pPr>
          </w:p>
          <w:p w:rsidR="00DB520C" w:rsidRPr="003A61F6" w:rsidRDefault="00DB520C" w:rsidP="00AD793E">
            <w:pPr>
              <w:rPr>
                <w:rFonts w:ascii="Times New Roman" w:hAnsi="Times New Roman"/>
                <w:sz w:val="22"/>
                <w:szCs w:val="22"/>
                <w:lang w:val="el-GR"/>
              </w:rPr>
            </w:pPr>
          </w:p>
          <w:p w:rsidR="00DB520C" w:rsidRPr="003A61F6" w:rsidRDefault="00DB520C" w:rsidP="00AD793E">
            <w:pPr>
              <w:tabs>
                <w:tab w:val="left" w:pos="1518"/>
              </w:tabs>
              <w:ind w:left="547"/>
              <w:rPr>
                <w:rFonts w:ascii="Times New Roman" w:hAnsi="Times New Roman"/>
                <w:b/>
                <w:sz w:val="24"/>
              </w:rPr>
            </w:pPr>
            <w:r>
              <w:rPr>
                <w:rFonts w:ascii="Times New Roman" w:hAnsi="Times New Roman"/>
              </w:rPr>
              <w:t xml:space="preserve">Athènes, le </w:t>
            </w:r>
            <w:r>
              <w:rPr>
                <w:rFonts w:ascii="Times New Roman" w:hAnsi="Times New Roman"/>
                <w:b/>
                <w:sz w:val="24"/>
              </w:rPr>
              <w:t>3.9.2020</w:t>
            </w:r>
          </w:p>
          <w:p w:rsidR="00DB520C" w:rsidRPr="003A61F6" w:rsidRDefault="00DB520C" w:rsidP="00AD793E">
            <w:pPr>
              <w:rPr>
                <w:rFonts w:ascii="Times New Roman" w:hAnsi="Times New Roman"/>
                <w:sz w:val="24"/>
                <w:lang w:val="el-GR"/>
              </w:rPr>
            </w:pPr>
          </w:p>
          <w:p w:rsidR="00DB520C" w:rsidRPr="003A61F6" w:rsidRDefault="00DB520C" w:rsidP="00AD793E">
            <w:pPr>
              <w:ind w:left="547"/>
              <w:rPr>
                <w:rFonts w:ascii="Arial" w:hAnsi="Arial" w:cs="Arial"/>
                <w:sz w:val="24"/>
              </w:rPr>
            </w:pPr>
            <w:r>
              <w:rPr>
                <w:rFonts w:ascii="Times New Roman" w:hAnsi="Times New Roman"/>
                <w:sz w:val="24"/>
              </w:rPr>
              <w:t xml:space="preserve">Numéro de référence : </w:t>
            </w:r>
            <w:r>
              <w:rPr>
                <w:rFonts w:ascii="Times New Roman" w:hAnsi="Times New Roman"/>
                <w:b/>
                <w:sz w:val="24"/>
              </w:rPr>
              <w:t>91808 - 3.9.2020</w:t>
            </w:r>
          </w:p>
        </w:tc>
      </w:tr>
    </w:tbl>
    <w:p w:rsidR="00525FA9" w:rsidRPr="003A61F6" w:rsidRDefault="00525FA9" w:rsidP="00AD793E">
      <w:pPr>
        <w:pStyle w:val="Heading1"/>
        <w:tabs>
          <w:tab w:val="left" w:pos="4618"/>
        </w:tabs>
        <w:ind w:left="3153"/>
        <w:jc w:val="both"/>
        <w:rPr>
          <w:rFonts w:ascii="Times New Roman" w:hAnsi="Times New Roman"/>
          <w:sz w:val="22"/>
          <w:szCs w:val="22"/>
          <w:lang w:val="el-GR"/>
        </w:rPr>
      </w:pPr>
    </w:p>
    <w:p w:rsidR="00247089" w:rsidRPr="003A61F6" w:rsidRDefault="00247089" w:rsidP="00AD793E">
      <w:pPr>
        <w:pStyle w:val="Heading1"/>
        <w:tabs>
          <w:tab w:val="left" w:pos="4618"/>
        </w:tabs>
        <w:jc w:val="center"/>
        <w:rPr>
          <w:rFonts w:ascii="Times New Roman" w:hAnsi="Times New Roman"/>
          <w:spacing w:val="60"/>
          <w:sz w:val="22"/>
          <w:szCs w:val="22"/>
        </w:rPr>
      </w:pPr>
      <w:r>
        <w:rPr>
          <w:rFonts w:ascii="Times New Roman" w:hAnsi="Times New Roman"/>
          <w:sz w:val="22"/>
        </w:rPr>
        <w:t>ARRÊTÉ</w:t>
      </w:r>
    </w:p>
    <w:p w:rsidR="00247089" w:rsidRPr="003A61F6" w:rsidRDefault="00247089" w:rsidP="00AD793E">
      <w:pPr>
        <w:tabs>
          <w:tab w:val="left" w:pos="1354"/>
        </w:tabs>
        <w:ind w:right="494"/>
        <w:rPr>
          <w:rFonts w:ascii="Times New Roman" w:hAnsi="Times New Roman"/>
          <w:sz w:val="22"/>
          <w:szCs w:val="22"/>
        </w:rPr>
      </w:pPr>
      <w:r>
        <w:rPr>
          <w:rFonts w:ascii="Times New Roman" w:hAnsi="Times New Roman"/>
          <w:sz w:val="22"/>
        </w:rPr>
        <w:t>O B J E T: Définition des exigences essentielles relatives aux produits issus de la transformation industrielle des matériaux élastomères.</w:t>
      </w:r>
    </w:p>
    <w:p w:rsidR="00247089" w:rsidRPr="003A61F6" w:rsidRDefault="00247089" w:rsidP="00AD793E">
      <w:pPr>
        <w:ind w:right="8"/>
        <w:jc w:val="center"/>
        <w:rPr>
          <w:rFonts w:ascii="Times New Roman" w:hAnsi="Times New Roman"/>
          <w:spacing w:val="60"/>
          <w:sz w:val="22"/>
          <w:szCs w:val="22"/>
        </w:rPr>
      </w:pPr>
      <w:r>
        <w:rPr>
          <w:rFonts w:ascii="Times New Roman" w:hAnsi="Times New Roman"/>
          <w:sz w:val="22"/>
        </w:rPr>
        <w:t>LES MINISTRES</w:t>
      </w:r>
    </w:p>
    <w:p w:rsidR="00247089" w:rsidRPr="003A61F6" w:rsidRDefault="00247089" w:rsidP="00AD793E">
      <w:pPr>
        <w:tabs>
          <w:tab w:val="left" w:pos="6931"/>
        </w:tabs>
        <w:spacing w:before="93"/>
        <w:ind w:left="1170"/>
        <w:jc w:val="center"/>
        <w:rPr>
          <w:rFonts w:ascii="Times New Roman" w:hAnsi="Times New Roman"/>
          <w:sz w:val="22"/>
          <w:szCs w:val="22"/>
        </w:rPr>
      </w:pPr>
      <w:r>
        <w:rPr>
          <w:rFonts w:ascii="Times New Roman" w:hAnsi="Times New Roman"/>
          <w:sz w:val="22"/>
        </w:rPr>
        <w:t>DES FINANCES DU DÉVELOPPEMENT ET DES INVESTISSEMENTS</w:t>
      </w:r>
    </w:p>
    <w:p w:rsidR="00247089" w:rsidRPr="003A61F6" w:rsidRDefault="00247089" w:rsidP="00AD793E">
      <w:pPr>
        <w:tabs>
          <w:tab w:val="left" w:pos="6931"/>
        </w:tabs>
        <w:spacing w:before="93"/>
        <w:jc w:val="center"/>
        <w:rPr>
          <w:rFonts w:ascii="Times New Roman" w:hAnsi="Times New Roman"/>
          <w:sz w:val="22"/>
          <w:szCs w:val="22"/>
        </w:rPr>
      </w:pPr>
      <w:r>
        <w:rPr>
          <w:rFonts w:ascii="Times New Roman" w:hAnsi="Times New Roman"/>
          <w:sz w:val="22"/>
        </w:rPr>
        <w:t xml:space="preserve">DE L’ENVIRONNEMENT ET DE L’ÉNERGIE </w:t>
      </w:r>
    </w:p>
    <w:p w:rsidR="00247089" w:rsidRPr="003A61F6" w:rsidRDefault="00247089" w:rsidP="00AD793E">
      <w:pPr>
        <w:pStyle w:val="BodyText"/>
        <w:tabs>
          <w:tab w:val="left" w:pos="529"/>
        </w:tabs>
        <w:spacing w:before="1"/>
        <w:ind w:left="540" w:hanging="540"/>
        <w:rPr>
          <w:rFonts w:ascii="Times New Roman" w:hAnsi="Times New Roman"/>
          <w:sz w:val="22"/>
          <w:szCs w:val="22"/>
        </w:rPr>
      </w:pPr>
      <w:r>
        <w:rPr>
          <w:rFonts w:ascii="Times New Roman" w:hAnsi="Times New Roman"/>
          <w:sz w:val="22"/>
        </w:rPr>
        <w:t>Α.</w:t>
      </w:r>
      <w:r>
        <w:rPr>
          <w:rFonts w:ascii="Times New Roman" w:hAnsi="Times New Roman"/>
          <w:sz w:val="22"/>
        </w:rPr>
        <w:tab/>
        <w:t>Vu</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loi 2690/1999 (Α΄ 45) «Ratification du code de procédure administrative et autres dispositions».</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loi 4622/2019 (JORH nº 133, 1er vol.) «État exécutif: organisation, fonctionnement et transparence du gouvernement, des organes gouvernementaux et de l’administration publique centrale»;</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la loi 4605/2019 (Α΄52) et plus précisément l’article 47 selon lequel «1. La direction générale d’application des règlements, d’infrastructures et de contrôle du secrétariat général à l’industrie du ministère de l’économie et du développement, instituée par l’article 2 du décret présidentiel nº 147/2017 (Α΄192), est renommée direction générale à l’industrie et aux entreprises».</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les dispositions des articles 22 - 33 de la loi 4072/2012 (Α΄ 86) «</w:t>
      </w:r>
      <w:r>
        <w:rPr>
          <w:rFonts w:ascii="Times New Roman" w:hAnsi="Times New Roman"/>
          <w:i/>
          <w:iCs/>
          <w:sz w:val="22"/>
        </w:rPr>
        <w:t>Amélioration de l’environnement des entreprises – Nouvelle forme juridique – Marques – Agents immobiliers − Dispositions relatives à la marine, aux ports et à la pêche, et autres dispositions», qui traitent de la surveillance du marché des produits industriels et des services de qualité »</w:t>
      </w:r>
      <w:r>
        <w:rPr>
          <w:rFonts w:ascii="Times New Roman" w:hAnsi="Times New Roman"/>
          <w:sz w:val="22"/>
        </w:rPr>
        <w:t>;</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les dispositions des articles 127-154 de la loi 4512/2018 (Α΄ 5) «Modalités de mise en œuvre des réformes structurelles du programme d’ajustement économique et autres dispositions», partie D «Définition du cadre de surveillance des activités économiques et du marché des produits et autres dispositions»;</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les dispositions des articles 22 de la loi 1682/1987 (JORH nº 14, 1er vol.) «Moyens et instruments de la politique de développement . et autres dispositions»</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 décret présidentiel nº 147/2017 (Α΄192)  «Organisation du ministère de l’économie et du développement»;</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le décret présidentiel nº 81/2019  (Α΄119) «Création, fusion, changement de dénomination et suppression de ministères et définition de leurs compétences - Transfert de services et de compétences entre les ministères»;</w:t>
      </w:r>
    </w:p>
    <w:p w:rsidR="00247089" w:rsidRPr="003A61F6" w:rsidRDefault="00247089" w:rsidP="00AD793E">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rPr>
        <w:t xml:space="preserve"> le décret présidentiel n° 83/2019 (Α΄121) «Nomination du vice-premier ministre, des ministres, des ministres délégués et secrétaires d’État»;</w:t>
      </w:r>
    </w:p>
    <w:p w:rsidR="00247089" w:rsidRPr="003A61F6" w:rsidRDefault="00247089" w:rsidP="00AD793E">
      <w:pPr>
        <w:pStyle w:val="ListParagraph"/>
        <w:widowControl/>
        <w:numPr>
          <w:ilvl w:val="0"/>
          <w:numId w:val="27"/>
        </w:numPr>
        <w:tabs>
          <w:tab w:val="left" w:pos="540"/>
        </w:tabs>
        <w:spacing w:before="119"/>
        <w:ind w:left="540" w:hanging="540"/>
      </w:pPr>
      <w:r>
        <w:t>Les dispositions du chapitre A de la loi 4389/2016 (JORH nº 94, 1er vol.) «Établissement d’une Autorité indépendante des recettes publiques » et notamment de l'article 7, de l’article 14, paragraphe 1 et de l'article 41 de cette loi;</w:t>
      </w:r>
    </w:p>
    <w:p w:rsidR="00247089" w:rsidRPr="003A61F6" w:rsidRDefault="00247089" w:rsidP="00AD793E">
      <w:pPr>
        <w:pStyle w:val="ListParagraph"/>
        <w:widowControl/>
        <w:numPr>
          <w:ilvl w:val="0"/>
          <w:numId w:val="27"/>
        </w:numPr>
        <w:tabs>
          <w:tab w:val="left" w:pos="540"/>
        </w:tabs>
        <w:spacing w:before="119"/>
        <w:ind w:left="540" w:hanging="540"/>
      </w:pPr>
      <w:r>
        <w:lastRenderedPageBreak/>
        <w:t>La décision nºΔ.ΟΡΓ.Α. 1036960 ΕΞ 2017/10-03-2017 (JORH nº 968, vol. 2, nº 1238, vol. 2) du directeur de l’Autorité indépendante des recettes publiques «Organisation de l’Autorité indépendante des recettes publiques»;</w:t>
      </w:r>
    </w:p>
    <w:p w:rsidR="00247089" w:rsidRPr="003A61F6" w:rsidRDefault="00247089" w:rsidP="00AD793E">
      <w:pPr>
        <w:pStyle w:val="ListParagraph"/>
        <w:widowControl/>
        <w:numPr>
          <w:ilvl w:val="0"/>
          <w:numId w:val="27"/>
        </w:numPr>
        <w:tabs>
          <w:tab w:val="left" w:pos="540"/>
        </w:tabs>
        <w:spacing w:before="119"/>
        <w:ind w:left="540" w:hanging="540"/>
      </w:pPr>
      <w:r>
        <w:t>L’arrêté ministériel conjoint nº ΑΠ Ζ3-2810/2004 (JORH nº 1885, vol. 2 de 2004) «Sécurité générale des produits – Harmonisation avec la directive 2001/95/CE du Parlement européen et du Conseil du 3 décembre 2001»;</w:t>
      </w:r>
    </w:p>
    <w:p w:rsidR="00247089" w:rsidRPr="003A61F6" w:rsidRDefault="00247089" w:rsidP="00AD793E">
      <w:pPr>
        <w:pStyle w:val="ListParagraph"/>
        <w:widowControl/>
        <w:numPr>
          <w:ilvl w:val="0"/>
          <w:numId w:val="27"/>
        </w:numPr>
        <w:tabs>
          <w:tab w:val="left" w:pos="540"/>
        </w:tabs>
        <w:spacing w:before="119"/>
        <w:ind w:left="540" w:right="124" w:hanging="540"/>
      </w:pPr>
      <w:r>
        <w:t>Le règlement (CE) nº 765/2008 du Parlement européen et du Conseil fixant les prescriptions relatives à l’accréditation et à la surveillance du marché pour la commercialisation des produits et abrogeant le règlement (CEE) nº 339/93 du Conseil;</w:t>
      </w:r>
    </w:p>
    <w:p w:rsidR="00247089" w:rsidRPr="003A61F6" w:rsidRDefault="00247089" w:rsidP="00AD793E">
      <w:pPr>
        <w:pStyle w:val="ListParagraph"/>
        <w:widowControl/>
        <w:numPr>
          <w:ilvl w:val="0"/>
          <w:numId w:val="27"/>
        </w:numPr>
        <w:tabs>
          <w:tab w:val="left" w:pos="540"/>
        </w:tabs>
        <w:spacing w:before="119"/>
        <w:ind w:left="540" w:right="124" w:hanging="540"/>
      </w:pPr>
      <w:r>
        <w:t>Le règlement (CE) nº 1907/2006,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(ci-après dénommé «règlement REACH ») tel qu’il est en vigueur, ainsi que les dispositions nationales:</w:t>
      </w:r>
    </w:p>
    <w:p w:rsidR="00247089" w:rsidRPr="003A61F6" w:rsidRDefault="00247089" w:rsidP="00AD793E">
      <w:pPr>
        <w:pStyle w:val="ListParagraph"/>
        <w:widowControl/>
        <w:numPr>
          <w:ilvl w:val="0"/>
          <w:numId w:val="27"/>
        </w:numPr>
        <w:tabs>
          <w:tab w:val="left" w:pos="540"/>
        </w:tabs>
        <w:spacing w:before="119"/>
        <w:ind w:left="540" w:right="124" w:hanging="540"/>
      </w:pPr>
      <w:r>
        <w:t>L’arrêté ministériel nº 82/2009 (JORH nº 581, vol. 2 du 31.3.2009) «Définition des sanctions en ce qui concerne l’exécution du règlement (CΕ) nº 1907/2006 du Parlement européen et du Conseil»;</w:t>
      </w:r>
    </w:p>
    <w:p w:rsidR="00247089" w:rsidRPr="003A61F6" w:rsidRDefault="00247089" w:rsidP="00AD793E">
      <w:pPr>
        <w:pStyle w:val="ListParagraph"/>
        <w:widowControl/>
        <w:numPr>
          <w:ilvl w:val="0"/>
          <w:numId w:val="27"/>
        </w:numPr>
        <w:tabs>
          <w:tab w:val="left" w:pos="540"/>
        </w:tabs>
        <w:spacing w:before="119"/>
        <w:ind w:left="540" w:right="124" w:hanging="540"/>
      </w:pPr>
      <w:r>
        <w:t>L’arrêté ministériel nº 450/2008 (JORH nº 2553, vol. 2 de 2008) «Définition des mesures de contrôle en ce qui concerne l’exécution du règlement (CΕ) nº 1907/2006 du Parlement européen et du Conseil»;</w:t>
      </w:r>
    </w:p>
    <w:p w:rsidR="00247089" w:rsidRPr="003A61F6" w:rsidRDefault="00247089" w:rsidP="00AD793E">
      <w:pPr>
        <w:pStyle w:val="ListParagraph"/>
        <w:widowControl/>
        <w:numPr>
          <w:ilvl w:val="0"/>
          <w:numId w:val="27"/>
        </w:numPr>
        <w:tabs>
          <w:tab w:val="left" w:pos="540"/>
        </w:tabs>
        <w:spacing w:before="119"/>
        <w:ind w:left="540" w:right="124" w:hanging="540"/>
      </w:pPr>
      <w:r>
        <w:t>L’arrêté ministériel nº 3013966/2726 (JORH nº 1025, vol. 2 de 2007) «Désignation de l’autorité compétente pour l’application du règlement (CE) nº 1907/2006 du Parlement européen et du Conseil (L396/30.12.2006)»;</w:t>
      </w:r>
    </w:p>
    <w:p w:rsidR="00247089" w:rsidRPr="003A61F6" w:rsidRDefault="00247089" w:rsidP="00AD793E">
      <w:pPr>
        <w:pStyle w:val="ListParagraph"/>
        <w:widowControl/>
        <w:numPr>
          <w:ilvl w:val="0"/>
          <w:numId w:val="27"/>
        </w:numPr>
        <w:tabs>
          <w:tab w:val="left" w:pos="540"/>
        </w:tabs>
        <w:spacing w:before="119"/>
        <w:ind w:left="540" w:right="124" w:hanging="540"/>
      </w:pPr>
      <w:r>
        <w:t>Le règlement (CE) nº 1272/2008 (ci-après règlement CLP) relatif à la classification, à l'étiquetage et à l'emballage des substances et des mélanges, modifiant et abrogeant les directives 67/548/CEE et 1999/45/CE et modifiant le règlement (CE) nº 1907/2006;</w:t>
      </w:r>
    </w:p>
    <w:p w:rsidR="00247089" w:rsidRPr="003A61F6" w:rsidRDefault="00247089" w:rsidP="00AD793E">
      <w:pPr>
        <w:pStyle w:val="ListParagraph"/>
        <w:widowControl/>
        <w:numPr>
          <w:ilvl w:val="0"/>
          <w:numId w:val="27"/>
        </w:numPr>
        <w:tabs>
          <w:tab w:val="left" w:pos="540"/>
        </w:tabs>
        <w:spacing w:before="119"/>
        <w:ind w:left="540" w:right="124" w:hanging="540"/>
      </w:pPr>
      <w:r>
        <w:t>L’arrêté ministériel nº 3017130/2798 (JORH nº 1843, vol. 2 de 2009) «Désignation de l'autorité compétente pour l’application du règlement nº 1272/2008/CΕ du Parlement européen et du Conseil (L353/31.12.2008)»;</w:t>
      </w:r>
    </w:p>
    <w:p w:rsidR="00247089" w:rsidRPr="003A61F6" w:rsidRDefault="00247089" w:rsidP="00AD793E">
      <w:pPr>
        <w:pStyle w:val="ListParagraph"/>
        <w:widowControl/>
        <w:numPr>
          <w:ilvl w:val="0"/>
          <w:numId w:val="27"/>
        </w:numPr>
        <w:tabs>
          <w:tab w:val="left" w:pos="540"/>
        </w:tabs>
        <w:spacing w:before="119"/>
        <w:ind w:left="540" w:right="124" w:hanging="540"/>
      </w:pPr>
      <w:r>
        <w:t>L’arrêté ministériel conjoint nº 3015811/2663 (JORH nº 1410, vol. 2 de 2010) «Définition des mesures de contrôle et de sanctions en ce qui concerne l’exécution du règlement nº 1272/2008/CΕ du Parlement européen et du Conseil», tel que modifié par l’arrêté ministériel conjoint nº 111/2017 (JORH nº 1876, vol. 2 de 2018);</w:t>
      </w:r>
    </w:p>
    <w:p w:rsidR="00247089" w:rsidRPr="003A61F6" w:rsidRDefault="00247089" w:rsidP="00AD793E">
      <w:pPr>
        <w:pStyle w:val="ListParagraph"/>
        <w:widowControl/>
        <w:numPr>
          <w:ilvl w:val="0"/>
          <w:numId w:val="27"/>
        </w:numPr>
        <w:tabs>
          <w:tab w:val="left" w:pos="540"/>
        </w:tabs>
        <w:spacing w:before="119"/>
        <w:ind w:left="540" w:right="124" w:hanging="540"/>
      </w:pPr>
      <w:r>
        <w:t>La directive 2015/1535/UE prévoyant une procédure d’information dans le domaine des réglementations techniques et des règles relatives aux services de la société de l’information.</w:t>
      </w:r>
    </w:p>
    <w:p w:rsidR="00247089" w:rsidRPr="003A61F6" w:rsidRDefault="00DD7366" w:rsidP="00AD793E">
      <w:pPr>
        <w:pStyle w:val="ListParagraph"/>
        <w:widowControl/>
        <w:numPr>
          <w:ilvl w:val="0"/>
          <w:numId w:val="27"/>
        </w:numPr>
        <w:tabs>
          <w:tab w:val="left" w:pos="540"/>
        </w:tabs>
        <w:ind w:left="540" w:right="109" w:hanging="540"/>
      </w:pPr>
      <w:r>
        <w:t>Le règlement (CΕ) nº 850/2004, concernant les polluants organiques persistants et modifiant la directive 79/117/CEE.</w:t>
      </w:r>
    </w:p>
    <w:p w:rsidR="00DD7366" w:rsidRPr="003A61F6" w:rsidRDefault="00DD7366" w:rsidP="00AD793E">
      <w:pPr>
        <w:pStyle w:val="ListParagraph"/>
        <w:widowControl/>
        <w:numPr>
          <w:ilvl w:val="0"/>
          <w:numId w:val="27"/>
        </w:numPr>
        <w:tabs>
          <w:tab w:val="left" w:pos="540"/>
        </w:tabs>
        <w:spacing w:before="119"/>
        <w:ind w:left="540" w:right="112" w:hanging="540"/>
      </w:pPr>
      <w:r>
        <w:t>L’arrêté nº 339/18-7-2019 du Premier ministre et du ministre des Finances «Délégation de pouvoirs au Secrétaire d’État aux Finances, M.Apostolos Vessiropoulos» (JO nº 3051, vol. 2).</w:t>
      </w:r>
    </w:p>
    <w:p w:rsidR="00247089" w:rsidRPr="003A61F6" w:rsidRDefault="00247089" w:rsidP="00AD793E">
      <w:pPr>
        <w:pStyle w:val="ListParagraph"/>
        <w:widowControl/>
        <w:numPr>
          <w:ilvl w:val="0"/>
          <w:numId w:val="27"/>
        </w:numPr>
        <w:tabs>
          <w:tab w:val="left" w:pos="540"/>
        </w:tabs>
        <w:spacing w:before="119"/>
        <w:ind w:left="540" w:right="112" w:hanging="540"/>
      </w:pPr>
      <w:r>
        <w:t>les dispositions de l’arrêté ministériel conjoint nº Φ.01.2/56790/ΔΠΠ1828/31.5.2016 (JO nº 1897, vol. 2) «Cadre réglementaire pour les organismes d’évaluation de la conformité œuvrant dans le domaine de la législation d’harmonisation de l’Union et/ou dans des domaines de législation technique industrielle purement nationale relevant de la compétence du secrétariat général à l’industrie»;</w:t>
      </w:r>
    </w:p>
    <w:p w:rsidR="00247089" w:rsidRPr="003A61F6" w:rsidRDefault="00247089" w:rsidP="00AD793E">
      <w:pPr>
        <w:pStyle w:val="ListParagraph"/>
        <w:widowControl/>
        <w:numPr>
          <w:ilvl w:val="0"/>
          <w:numId w:val="27"/>
        </w:numPr>
        <w:tabs>
          <w:tab w:val="left" w:pos="540"/>
        </w:tabs>
        <w:spacing w:before="122"/>
        <w:ind w:left="540" w:right="122" w:hanging="540"/>
      </w:pPr>
      <w:r>
        <w:t>L’arrêté ministériel nº 28492/2009 (JORH nº 931, vol. 2) «Définition des conditions et des spécifications techniques pour la construction et l’utilisation des terrains de jeux des municipalités et communes, des organes et de la procédure d’autorisation et de contrôle de ces terrains, de leur procédure de maintenance ainsi que de tout autre détail nécessaire», tel que modifié par l’arrêté ministériel nº 27934/2014 (JORH nº 2029, vol. 2) et en vigueur;</w:t>
      </w:r>
    </w:p>
    <w:p w:rsidR="00247089" w:rsidRPr="003A61F6" w:rsidRDefault="00247089" w:rsidP="00AD793E">
      <w:pPr>
        <w:pStyle w:val="ListParagraph"/>
        <w:widowControl/>
        <w:numPr>
          <w:ilvl w:val="0"/>
          <w:numId w:val="27"/>
        </w:numPr>
        <w:tabs>
          <w:tab w:val="left" w:pos="540"/>
        </w:tabs>
        <w:ind w:left="540" w:right="124" w:hanging="540"/>
      </w:pPr>
      <w:r>
        <w:t>L’arrêté ministériel conjoint nº 43650/2019 (JORH nº 213, vol. 2) «Définition des conditions, des termes, de la procédure, des justificatifs et de tout autre détail nécessaire à la délivrance et au retrait des autorisations de création et de fonctionnement des aires de jeux».</w:t>
      </w:r>
    </w:p>
    <w:p w:rsidR="00247089" w:rsidRPr="003A61F6" w:rsidRDefault="00247089" w:rsidP="00AD793E">
      <w:pPr>
        <w:pStyle w:val="ListParagraph"/>
        <w:widowControl/>
        <w:numPr>
          <w:ilvl w:val="0"/>
          <w:numId w:val="27"/>
        </w:numPr>
        <w:tabs>
          <w:tab w:val="left" w:pos="540"/>
        </w:tabs>
        <w:ind w:left="540" w:right="124" w:hanging="540"/>
      </w:pPr>
      <w:r>
        <w:lastRenderedPageBreak/>
        <w:t>L’achèvement des procédures de notification du projet de l’arrêté ministériel conjoint à la Commission européenne avec numéro de notification 2019/87/GR et l’intégration des observations de la Commission européenne.</w:t>
      </w:r>
    </w:p>
    <w:p w:rsidR="00247089" w:rsidRPr="003A61F6" w:rsidRDefault="00247089" w:rsidP="00AD793E">
      <w:pPr>
        <w:pStyle w:val="ListParagraph"/>
        <w:widowControl/>
        <w:numPr>
          <w:ilvl w:val="0"/>
          <w:numId w:val="27"/>
        </w:numPr>
        <w:tabs>
          <w:tab w:val="left" w:pos="540"/>
        </w:tabs>
        <w:ind w:left="540" w:right="124" w:hanging="540"/>
      </w:pPr>
      <w:r>
        <w:t>Les dispositions du présent arrêté n’entraînent pas de dépenses à la charge du budget de l’État.</w:t>
      </w:r>
    </w:p>
    <w:p w:rsidR="00247089" w:rsidRPr="003A61F6" w:rsidRDefault="00247089" w:rsidP="00AD793E">
      <w:pPr>
        <w:pStyle w:val="ListParagraph"/>
        <w:widowControl/>
        <w:tabs>
          <w:tab w:val="left" w:pos="529"/>
          <w:tab w:val="left" w:pos="530"/>
        </w:tabs>
        <w:spacing w:before="119"/>
        <w:ind w:firstLine="0"/>
      </w:pPr>
    </w:p>
    <w:p w:rsidR="00247089" w:rsidRPr="003A61F6" w:rsidRDefault="00247089" w:rsidP="00AD793E">
      <w:pPr>
        <w:ind w:right="7"/>
        <w:jc w:val="center"/>
        <w:rPr>
          <w:rFonts w:ascii="Times New Roman" w:hAnsi="Times New Roman"/>
          <w:b/>
          <w:spacing w:val="60"/>
          <w:sz w:val="22"/>
          <w:szCs w:val="22"/>
        </w:rPr>
      </w:pPr>
      <w:r>
        <w:rPr>
          <w:rFonts w:ascii="Times New Roman" w:hAnsi="Times New Roman"/>
          <w:b/>
          <w:sz w:val="22"/>
        </w:rPr>
        <w:t>NOUS ARRÊTONS</w:t>
      </w:r>
    </w:p>
    <w:p w:rsidR="00247089" w:rsidRPr="003A61F6" w:rsidRDefault="00247089" w:rsidP="00AD793E">
      <w:pPr>
        <w:ind w:right="7"/>
        <w:jc w:val="center"/>
        <w:rPr>
          <w:rFonts w:ascii="Times New Roman" w:hAnsi="Times New Roman"/>
          <w:b/>
          <w:sz w:val="22"/>
          <w:szCs w:val="22"/>
          <w:lang w:val="el-GR"/>
        </w:rPr>
      </w:pPr>
    </w:p>
    <w:p w:rsidR="00247089" w:rsidRPr="003A61F6" w:rsidRDefault="00943836" w:rsidP="00AD793E">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rPr>
        <w:t>Article premier</w:t>
      </w:r>
    </w:p>
    <w:p w:rsidR="00247089" w:rsidRPr="003A61F6" w:rsidRDefault="00247089" w:rsidP="00AD793E">
      <w:pPr>
        <w:spacing w:line="251" w:lineRule="exact"/>
        <w:ind w:right="4"/>
        <w:jc w:val="center"/>
        <w:rPr>
          <w:rFonts w:ascii="Times New Roman" w:hAnsi="Times New Roman"/>
          <w:sz w:val="22"/>
          <w:szCs w:val="22"/>
        </w:rPr>
      </w:pPr>
      <w:r>
        <w:rPr>
          <w:rFonts w:ascii="Times New Roman" w:hAnsi="Times New Roman"/>
          <w:sz w:val="22"/>
        </w:rPr>
        <w:t>Objet et finalité</w:t>
      </w:r>
    </w:p>
    <w:p w:rsidR="00247089" w:rsidRPr="003A61F6" w:rsidRDefault="00247089" w:rsidP="00AD793E">
      <w:pPr>
        <w:pStyle w:val="ListParagraph"/>
        <w:widowControl/>
        <w:numPr>
          <w:ilvl w:val="0"/>
          <w:numId w:val="25"/>
        </w:numPr>
        <w:tabs>
          <w:tab w:val="left" w:pos="450"/>
        </w:tabs>
        <w:ind w:right="106" w:hanging="462"/>
      </w:pPr>
      <w:r>
        <w:t xml:space="preserve">Le présent arrêté établit les exigences essentielles pour les produits entièrement fabriqués à partir de matériaux élastomères ou comportant des matériaux élastomères et destinés à être utilisés aux fins définies à </w:t>
      </w:r>
      <w:r>
        <w:rPr>
          <w:b/>
        </w:rPr>
        <w:t>l’annexe I</w:t>
      </w:r>
      <w:r>
        <w:t xml:space="preserve"> du présent arrêté. Les matériaux élastomères peuvent être des matières premières soit primaires, soit secondaires issues du recyclage de produits en caoutchouc, telles que: l’éthylène-propylène-diène (EPDM), le caoutchouc butadiène-styrène (SBR), le caoutchouc d'acrylate d'éthylène (EA, AEM), le caoutchouc polyuréthane (AU, EU), le caoutchouc de silicone (PMQ, PVMQ, VMQ) ou d’autres encore.</w:t>
      </w:r>
    </w:p>
    <w:p w:rsidR="00247089" w:rsidRPr="003A61F6" w:rsidRDefault="00247089" w:rsidP="00AD793E">
      <w:pPr>
        <w:pStyle w:val="ListParagraph"/>
        <w:widowControl/>
        <w:numPr>
          <w:ilvl w:val="0"/>
          <w:numId w:val="25"/>
        </w:numPr>
        <w:tabs>
          <w:tab w:val="left" w:pos="450"/>
        </w:tabs>
        <w:ind w:right="106" w:hanging="462"/>
      </w:pPr>
      <w:r>
        <w:t>Les exigences établies et énoncées à l’</w:t>
      </w:r>
      <w:r>
        <w:rPr>
          <w:b/>
        </w:rPr>
        <w:t>annexe II</w:t>
      </w:r>
      <w:r>
        <w:t xml:space="preserve"> garantissent que lesdits produits issus de la transformation d’élastomères sont conformes aux dispositions de la législation technique afférente ainsi qu’à n’importe autre législation dont ils relèvent.</w:t>
      </w:r>
    </w:p>
    <w:p w:rsidR="00247089" w:rsidRPr="003A61F6" w:rsidRDefault="00247089" w:rsidP="00AD793E">
      <w:pPr>
        <w:pStyle w:val="BodyText"/>
        <w:rPr>
          <w:rFonts w:ascii="Times New Roman" w:hAnsi="Times New Roman"/>
          <w:sz w:val="22"/>
          <w:szCs w:val="22"/>
          <w:lang w:val="el-GR"/>
        </w:rPr>
      </w:pPr>
    </w:p>
    <w:p w:rsidR="00247089" w:rsidRPr="003A61F6" w:rsidRDefault="00943836" w:rsidP="00AD793E">
      <w:pPr>
        <w:tabs>
          <w:tab w:val="left" w:pos="1115"/>
        </w:tabs>
        <w:spacing w:line="250" w:lineRule="exact"/>
        <w:ind w:right="4"/>
        <w:jc w:val="center"/>
        <w:rPr>
          <w:rFonts w:ascii="Times New Roman" w:hAnsi="Times New Roman"/>
          <w:b/>
          <w:sz w:val="22"/>
          <w:szCs w:val="22"/>
        </w:rPr>
      </w:pPr>
      <w:r>
        <w:rPr>
          <w:rFonts w:ascii="Times New Roman" w:hAnsi="Times New Roman"/>
          <w:b/>
          <w:sz w:val="22"/>
        </w:rPr>
        <w:t>Article 2</w:t>
      </w:r>
    </w:p>
    <w:p w:rsidR="00247089" w:rsidRPr="003A61F6" w:rsidRDefault="00247089" w:rsidP="00AD793E">
      <w:pPr>
        <w:pStyle w:val="Heading3"/>
        <w:spacing w:line="250" w:lineRule="exact"/>
        <w:ind w:right="4"/>
        <w:rPr>
          <w:rFonts w:ascii="Times New Roman" w:hAnsi="Times New Roman"/>
          <w:sz w:val="22"/>
          <w:szCs w:val="22"/>
        </w:rPr>
      </w:pPr>
      <w:r>
        <w:rPr>
          <w:rFonts w:ascii="Times New Roman" w:hAnsi="Times New Roman"/>
          <w:sz w:val="22"/>
        </w:rPr>
        <w:t>Définitions</w:t>
      </w:r>
    </w:p>
    <w:p w:rsidR="00247089" w:rsidRPr="003A61F6" w:rsidRDefault="00247089" w:rsidP="00AD793E">
      <w:pPr>
        <w:spacing w:before="119"/>
        <w:ind w:left="102"/>
        <w:rPr>
          <w:rFonts w:ascii="Times New Roman" w:hAnsi="Times New Roman"/>
          <w:sz w:val="22"/>
          <w:szCs w:val="22"/>
        </w:rPr>
      </w:pPr>
      <w:r>
        <w:rPr>
          <w:rFonts w:ascii="Times New Roman" w:hAnsi="Times New Roman"/>
          <w:sz w:val="22"/>
        </w:rPr>
        <w:t>Aux fins du présent arrêté, sont retenues les définitions suivantes:</w:t>
      </w:r>
    </w:p>
    <w:p w:rsidR="00247089" w:rsidRPr="003A61F6" w:rsidRDefault="00247089" w:rsidP="00AD793E">
      <w:pPr>
        <w:pStyle w:val="ListParagraph"/>
        <w:widowControl/>
        <w:numPr>
          <w:ilvl w:val="0"/>
          <w:numId w:val="24"/>
        </w:numPr>
        <w:spacing w:before="121"/>
        <w:ind w:left="540" w:right="106" w:hanging="540"/>
      </w:pPr>
      <w:r>
        <w:t>«Matériau élastomère»: matériau destiné à la commercialisation aux fins définies à l’annexe I et issu soit de matériaux élastomères recyclables, soit d’autres sources, conformément à l’article 1er, paragraphe 1.</w:t>
      </w:r>
    </w:p>
    <w:p w:rsidR="00247089" w:rsidRPr="003A61F6" w:rsidRDefault="00247089" w:rsidP="00AD793E">
      <w:pPr>
        <w:pStyle w:val="ListParagraph"/>
        <w:widowControl/>
        <w:numPr>
          <w:ilvl w:val="0"/>
          <w:numId w:val="24"/>
        </w:numPr>
        <w:ind w:left="540" w:right="106" w:hanging="540"/>
      </w:pPr>
      <w:r>
        <w:t>«Fabricant»:</w:t>
      </w:r>
      <w:r>
        <w:rPr>
          <w:b/>
        </w:rPr>
        <w:t xml:space="preserve"> </w:t>
      </w:r>
      <w:r>
        <w:t>opérateur se chargeant de la transformation des matériaux élastomères pour la fabrication du produit fini dans le but de sa mise sur le marché grec pour les usages prévus à l’annexe I du présent.</w:t>
      </w:r>
    </w:p>
    <w:p w:rsidR="00247089" w:rsidRPr="003A61F6" w:rsidRDefault="00247089" w:rsidP="00AD793E">
      <w:pPr>
        <w:pStyle w:val="ListParagraph"/>
        <w:widowControl/>
        <w:numPr>
          <w:ilvl w:val="0"/>
          <w:numId w:val="24"/>
        </w:numPr>
        <w:ind w:left="540" w:right="110" w:hanging="540"/>
      </w:pPr>
      <w:r>
        <w:t>«Importateur»: personne physique ou morale important, d’un pays tiers sur le marché grec, des produits de transformation industrielle issus de matériaux élastomères destinés aux usages de l’annexe I. L’importateur a les obligations du fabricant, lorsque celui-ci n’est pas implanté sur le territoire de l’Union européenne.</w:t>
      </w:r>
    </w:p>
    <w:p w:rsidR="00247089" w:rsidRPr="003A61F6" w:rsidRDefault="00247089" w:rsidP="00AD793E">
      <w:pPr>
        <w:pStyle w:val="ListParagraph"/>
        <w:widowControl/>
        <w:numPr>
          <w:ilvl w:val="0"/>
          <w:numId w:val="24"/>
        </w:numPr>
        <w:ind w:left="540" w:right="110" w:hanging="540"/>
      </w:pPr>
      <w:r>
        <w:t>«Distributeur»: toute personne physique ou morale faisant partie de la chaîne d’approvisionnement, autre que le fabricant ou l’importateur, qui met un produit à disposition sur le marché.</w:t>
      </w:r>
    </w:p>
    <w:p w:rsidR="00247089" w:rsidRPr="003A61F6" w:rsidRDefault="00247089" w:rsidP="00AD793E">
      <w:pPr>
        <w:pStyle w:val="ListParagraph"/>
        <w:widowControl/>
        <w:numPr>
          <w:ilvl w:val="0"/>
          <w:numId w:val="24"/>
        </w:numPr>
        <w:ind w:left="540" w:right="105" w:hanging="540"/>
      </w:pPr>
      <w:r>
        <w:t>«Client» (destinataire des produits):  personne physique ou morale qui acquiert, en contrepartie d’une rémunération, les applications de produits en élastomères, conformément à l’annexe I.</w:t>
      </w:r>
    </w:p>
    <w:p w:rsidR="00247089" w:rsidRPr="003A61F6" w:rsidRDefault="00247089" w:rsidP="00AD793E">
      <w:pPr>
        <w:pStyle w:val="ListParagraph"/>
        <w:widowControl/>
        <w:numPr>
          <w:ilvl w:val="0"/>
          <w:numId w:val="24"/>
        </w:numPr>
        <w:spacing w:before="118"/>
        <w:ind w:left="540" w:right="107" w:hanging="540"/>
      </w:pPr>
      <w:r>
        <w:t>«Opérateurs économiques»: le fabricant, l’importateur, le distributeur et le client, selon la partie les concernant, lesquels participent à la chaîne d’approvisionnement.</w:t>
      </w:r>
    </w:p>
    <w:p w:rsidR="00247089" w:rsidRPr="003A61F6" w:rsidRDefault="00247089" w:rsidP="00AD793E">
      <w:pPr>
        <w:pStyle w:val="ListParagraph"/>
        <w:widowControl/>
        <w:numPr>
          <w:ilvl w:val="0"/>
          <w:numId w:val="24"/>
        </w:numPr>
        <w:tabs>
          <w:tab w:val="left" w:pos="520"/>
        </w:tabs>
        <w:ind w:left="540" w:right="108" w:hanging="540"/>
      </w:pPr>
      <w:r>
        <w:t>«Organisme d’évaluation de la conformité»: organisme qui procède à des activités d’évaluation de la conformité dans le sens du règlement nº 765/2008/CE;</w:t>
      </w:r>
    </w:p>
    <w:p w:rsidR="00247089" w:rsidRPr="003A61F6" w:rsidRDefault="00247089" w:rsidP="00AD793E">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sz w:val="22"/>
        </w:rPr>
        <w:t>«</w:t>
      </w:r>
      <w:r>
        <w:rPr>
          <w:rFonts w:ascii="Times New Roman" w:hAnsi="Times New Roman"/>
          <w:b w:val="0"/>
          <w:i/>
          <w:sz w:val="22"/>
        </w:rPr>
        <w:t>Déclaration de conformité</w:t>
      </w:r>
      <w:r>
        <w:rPr>
          <w:rFonts w:ascii="Times New Roman" w:hAnsi="Times New Roman"/>
          <w:b w:val="0"/>
          <w:sz w:val="22"/>
        </w:rPr>
        <w:t>»: déclaration délivrée par le fabricant ou par l’importateur certifiant que les produits de la transformation industrielle en élastomères sont conformes aux exigences du présent arrêté.</w:t>
      </w:r>
    </w:p>
    <w:p w:rsidR="00247089" w:rsidRPr="003A61F6" w:rsidRDefault="00247089" w:rsidP="00AD793E">
      <w:pPr>
        <w:pStyle w:val="ListParagraph"/>
        <w:widowControl/>
        <w:numPr>
          <w:ilvl w:val="0"/>
          <w:numId w:val="24"/>
        </w:numPr>
        <w:spacing w:before="72"/>
        <w:ind w:left="540" w:right="104" w:hanging="540"/>
      </w:pPr>
      <w:r>
        <w:t>«</w:t>
      </w:r>
      <w:r>
        <w:rPr>
          <w:i/>
        </w:rPr>
        <w:t>Autorités compétentes de surveillance du marché</w:t>
      </w:r>
      <w:r>
        <w:t>»: les services du secrétariat général à l’industrie, du ministère de l’économie et du développement, compétents en la matière, ainsi que les services compétents du Laboratoire général de chimie de l’État, de l’Autorité indépendante des recettes publiques.</w:t>
      </w:r>
    </w:p>
    <w:p w:rsidR="00247089" w:rsidRPr="003A61F6" w:rsidRDefault="00247089" w:rsidP="00AD793E">
      <w:pPr>
        <w:pStyle w:val="BodyText"/>
        <w:rPr>
          <w:rFonts w:ascii="Times New Roman" w:hAnsi="Times New Roman"/>
          <w:sz w:val="22"/>
          <w:szCs w:val="22"/>
          <w:lang w:val="el-GR"/>
        </w:rPr>
      </w:pPr>
    </w:p>
    <w:p w:rsidR="00247089" w:rsidRPr="003A61F6" w:rsidRDefault="00943836" w:rsidP="00AD793E">
      <w:pPr>
        <w:keepNext/>
        <w:keepLines/>
        <w:tabs>
          <w:tab w:val="left" w:pos="1115"/>
        </w:tabs>
        <w:ind w:right="4"/>
        <w:jc w:val="center"/>
        <w:rPr>
          <w:rFonts w:ascii="Times New Roman" w:hAnsi="Times New Roman"/>
          <w:b/>
          <w:sz w:val="22"/>
          <w:szCs w:val="22"/>
        </w:rPr>
      </w:pPr>
      <w:r>
        <w:rPr>
          <w:rFonts w:ascii="Times New Roman" w:hAnsi="Times New Roman"/>
          <w:b/>
          <w:sz w:val="22"/>
        </w:rPr>
        <w:lastRenderedPageBreak/>
        <w:t>Article 3</w:t>
      </w:r>
    </w:p>
    <w:p w:rsidR="00247089" w:rsidRPr="003A61F6" w:rsidRDefault="00247089" w:rsidP="00AD793E">
      <w:pPr>
        <w:keepNext/>
        <w:keepLines/>
        <w:ind w:right="4"/>
        <w:jc w:val="center"/>
        <w:rPr>
          <w:rFonts w:ascii="Times New Roman" w:hAnsi="Times New Roman"/>
          <w:sz w:val="22"/>
          <w:szCs w:val="22"/>
        </w:rPr>
      </w:pPr>
      <w:r>
        <w:rPr>
          <w:rFonts w:ascii="Times New Roman" w:hAnsi="Times New Roman"/>
          <w:sz w:val="22"/>
        </w:rPr>
        <w:t>Exigences de qualité des produits en matériaux élastomères</w:t>
      </w:r>
    </w:p>
    <w:p w:rsidR="00247089" w:rsidRPr="003A61F6" w:rsidRDefault="00247089" w:rsidP="00AD793E">
      <w:pPr>
        <w:pStyle w:val="ListParagraph"/>
        <w:widowControl/>
        <w:numPr>
          <w:ilvl w:val="0"/>
          <w:numId w:val="23"/>
        </w:numPr>
        <w:spacing w:before="119"/>
        <w:ind w:left="540" w:right="105" w:hanging="540"/>
      </w:pPr>
      <w:r>
        <w:t>Les produits issus de la transformation d’élastomères de l’article 1er, paragraphe 1, destinés à être utilisés aux fins de l’annexe I doivent être conformes aux exigences décrites à l’annexe II, point 1, du présent.</w:t>
      </w:r>
    </w:p>
    <w:p w:rsidR="00247089" w:rsidRPr="003A61F6" w:rsidRDefault="00247089" w:rsidP="00AD793E">
      <w:pPr>
        <w:pStyle w:val="ListParagraph"/>
        <w:widowControl/>
        <w:numPr>
          <w:ilvl w:val="0"/>
          <w:numId w:val="23"/>
        </w:numPr>
        <w:spacing w:before="119"/>
        <w:ind w:left="540" w:right="105" w:hanging="540"/>
      </w:pPr>
      <w:r>
        <w:t>Les matériaux élastomères utilisés pour la fabrication des produits visés au paragraphe 1 ci-dessus, doivent se conformer aux exigences prévues à l’annexe II, point 2.</w:t>
      </w:r>
    </w:p>
    <w:p w:rsidR="00247089" w:rsidRPr="003A61F6" w:rsidRDefault="00247089" w:rsidP="00AD793E">
      <w:pPr>
        <w:pStyle w:val="ListParagraph"/>
        <w:widowControl/>
        <w:numPr>
          <w:ilvl w:val="0"/>
          <w:numId w:val="23"/>
        </w:numPr>
        <w:spacing w:before="122"/>
        <w:ind w:left="540" w:right="105" w:hanging="540"/>
      </w:pPr>
      <w:r>
        <w:t>Le fabricant, l’importateur ainsi que le distributeur des produits issus de la transformation d’élastomères sont tenus de respecter les dispositions du présent arrêté et de se conformer aux obligations prévues aux articles 4 et 5 de celui-ci, dans la partie les concernant.</w:t>
      </w:r>
    </w:p>
    <w:p w:rsidR="00247089" w:rsidRPr="003A61F6" w:rsidRDefault="00247089" w:rsidP="00AD793E">
      <w:pPr>
        <w:pStyle w:val="ListParagraph"/>
        <w:widowControl/>
        <w:tabs>
          <w:tab w:val="left" w:pos="386"/>
        </w:tabs>
        <w:ind w:left="385" w:right="110" w:firstLine="0"/>
      </w:pPr>
    </w:p>
    <w:p w:rsidR="00247089" w:rsidRPr="003A61F6" w:rsidRDefault="00943836" w:rsidP="00AD793E">
      <w:pPr>
        <w:tabs>
          <w:tab w:val="left" w:pos="1115"/>
        </w:tabs>
        <w:spacing w:line="251" w:lineRule="exact"/>
        <w:ind w:right="4"/>
        <w:jc w:val="center"/>
        <w:rPr>
          <w:rFonts w:ascii="Times New Roman" w:hAnsi="Times New Roman"/>
          <w:b/>
          <w:sz w:val="22"/>
          <w:szCs w:val="22"/>
        </w:rPr>
      </w:pPr>
      <w:r>
        <w:rPr>
          <w:rFonts w:ascii="Times New Roman" w:hAnsi="Times New Roman"/>
          <w:b/>
          <w:sz w:val="22"/>
        </w:rPr>
        <w:t>Article 4</w:t>
      </w:r>
    </w:p>
    <w:p w:rsidR="00247089" w:rsidRPr="003A61F6" w:rsidRDefault="00247089" w:rsidP="00AD793E">
      <w:pPr>
        <w:spacing w:line="251" w:lineRule="exact"/>
        <w:ind w:right="6"/>
        <w:jc w:val="center"/>
        <w:rPr>
          <w:rFonts w:ascii="Times New Roman" w:hAnsi="Times New Roman"/>
          <w:sz w:val="22"/>
          <w:szCs w:val="22"/>
        </w:rPr>
      </w:pPr>
      <w:r>
        <w:rPr>
          <w:rFonts w:ascii="Times New Roman" w:hAnsi="Times New Roman"/>
          <w:sz w:val="22"/>
        </w:rPr>
        <w:t xml:space="preserve">Déclaration de conformité </w:t>
      </w:r>
    </w:p>
    <w:p w:rsidR="00247089" w:rsidRPr="003A61F6" w:rsidRDefault="00247089" w:rsidP="00771DFA">
      <w:pPr>
        <w:pStyle w:val="ListParagraph"/>
        <w:widowControl/>
        <w:numPr>
          <w:ilvl w:val="0"/>
          <w:numId w:val="22"/>
        </w:numPr>
        <w:spacing w:before="122"/>
        <w:ind w:left="540" w:right="107" w:hanging="540"/>
      </w:pPr>
      <w:r>
        <w:t>Chaque lot de produits issus de la transformation de matériaux élastomères, destiné à être mis sur le marché après sa production aux fins définies à l’annexe I, est accompagné de la «Déclaration de conformité» appropriée établie par les soins du fabricant, conformément au modèle de l’</w:t>
      </w:r>
      <w:r>
        <w:rPr>
          <w:b/>
        </w:rPr>
        <w:t>annexe III</w:t>
      </w:r>
      <w:r>
        <w:t xml:space="preserve">. </w:t>
      </w:r>
    </w:p>
    <w:p w:rsidR="00247089" w:rsidRPr="003A61F6" w:rsidRDefault="00247089" w:rsidP="00771DFA">
      <w:pPr>
        <w:pStyle w:val="ListParagraph"/>
        <w:widowControl/>
        <w:spacing w:before="125" w:line="237" w:lineRule="auto"/>
        <w:ind w:left="540" w:right="106" w:firstLine="0"/>
      </w:pPr>
      <w:r>
        <w:t>La déclaration de conformité est rédigée à la fin du processus de fabrication de chaque lot et est accompagnée des spécifications techniques des produits issus de la transformation de matériaux élastomères.</w:t>
      </w:r>
    </w:p>
    <w:p w:rsidR="00247089" w:rsidRPr="003A61F6" w:rsidRDefault="00247089" w:rsidP="00AD793E">
      <w:pPr>
        <w:pStyle w:val="ListParagraph"/>
        <w:widowControl/>
        <w:numPr>
          <w:ilvl w:val="0"/>
          <w:numId w:val="22"/>
        </w:numPr>
        <w:spacing w:before="122"/>
        <w:ind w:left="540" w:right="107" w:hanging="540"/>
      </w:pPr>
      <w:r>
        <w:t>La déclaration de conformité accompagne chaque lot de produits et cette dernière est transmise à tout responsable suivant ayant en sa possession le lot concerné jusqu’à l’application finale à laquelle il est destiné.</w:t>
      </w:r>
    </w:p>
    <w:p w:rsidR="00247089" w:rsidRPr="003A61F6" w:rsidRDefault="00247089" w:rsidP="00AD793E">
      <w:pPr>
        <w:pStyle w:val="ListParagraph"/>
        <w:widowControl/>
        <w:numPr>
          <w:ilvl w:val="0"/>
          <w:numId w:val="22"/>
        </w:numPr>
        <w:spacing w:before="119"/>
        <w:ind w:left="540" w:right="107" w:hanging="540"/>
      </w:pPr>
      <w:r>
        <w:t>Une copie de la Déclaration de conformité est conservée par l’opérateur économique responsable et reste toujours à la disposition des autorités compétentes de surveillance du marché</w:t>
      </w:r>
    </w:p>
    <w:p w:rsidR="00247089" w:rsidRPr="003A61F6" w:rsidRDefault="00247089" w:rsidP="00AD793E">
      <w:pPr>
        <w:pStyle w:val="ListParagraph"/>
        <w:widowControl/>
        <w:numPr>
          <w:ilvl w:val="0"/>
          <w:numId w:val="22"/>
        </w:numPr>
        <w:ind w:left="540" w:hanging="540"/>
      </w:pPr>
      <w:r>
        <w:t>La Déclaration de conformité peut être établie sur support électronique.</w:t>
      </w:r>
    </w:p>
    <w:p w:rsidR="00247089" w:rsidRPr="003A61F6" w:rsidRDefault="00247089" w:rsidP="00AD793E">
      <w:pPr>
        <w:pStyle w:val="BodyText"/>
        <w:rPr>
          <w:rFonts w:ascii="Times New Roman" w:hAnsi="Times New Roman"/>
          <w:sz w:val="22"/>
          <w:szCs w:val="22"/>
          <w:lang w:val="el-GR"/>
        </w:rPr>
      </w:pPr>
    </w:p>
    <w:p w:rsidR="00247089" w:rsidRPr="003A61F6" w:rsidRDefault="00943836" w:rsidP="00AD793E">
      <w:pPr>
        <w:tabs>
          <w:tab w:val="left" w:pos="5656"/>
        </w:tabs>
        <w:spacing w:line="249" w:lineRule="exact"/>
        <w:jc w:val="center"/>
        <w:rPr>
          <w:rFonts w:ascii="Times New Roman" w:hAnsi="Times New Roman"/>
          <w:b/>
          <w:sz w:val="22"/>
          <w:szCs w:val="22"/>
        </w:rPr>
      </w:pPr>
      <w:r>
        <w:rPr>
          <w:rFonts w:ascii="Times New Roman" w:hAnsi="Times New Roman"/>
          <w:b/>
          <w:sz w:val="22"/>
        </w:rPr>
        <w:t>Article 5</w:t>
      </w:r>
    </w:p>
    <w:p w:rsidR="00247089" w:rsidRPr="003A61F6" w:rsidRDefault="00247089" w:rsidP="00AD793E">
      <w:pPr>
        <w:spacing w:line="272" w:lineRule="exact"/>
        <w:jc w:val="center"/>
        <w:rPr>
          <w:rFonts w:ascii="Times New Roman" w:hAnsi="Times New Roman"/>
          <w:sz w:val="22"/>
          <w:szCs w:val="22"/>
        </w:rPr>
      </w:pPr>
      <w:r>
        <w:rPr>
          <w:rFonts w:ascii="Times New Roman" w:hAnsi="Times New Roman"/>
          <w:sz w:val="22"/>
        </w:rPr>
        <w:t>Système de gestion de la qualité - Étiquetage</w:t>
      </w:r>
    </w:p>
    <w:p w:rsidR="00247089" w:rsidRPr="003A61F6" w:rsidRDefault="00247089" w:rsidP="00AD793E">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rPr>
        <w:t>Le fabricant des produits de l’annexe I applique un Système de gestion de la qualité satisfaisant aux exigences de l’annexe IV.</w:t>
      </w:r>
    </w:p>
    <w:p w:rsidR="00247089" w:rsidRPr="003A61F6" w:rsidRDefault="00247089" w:rsidP="00AD793E">
      <w:pPr>
        <w:spacing w:before="122"/>
        <w:ind w:left="540" w:right="105"/>
        <w:jc w:val="both"/>
        <w:rPr>
          <w:rFonts w:ascii="Times New Roman" w:hAnsi="Times New Roman"/>
          <w:sz w:val="22"/>
          <w:szCs w:val="22"/>
        </w:rPr>
      </w:pPr>
      <w:r>
        <w:rPr>
          <w:rFonts w:ascii="Times New Roman" w:hAnsi="Times New Roman"/>
          <w:sz w:val="22"/>
        </w:rPr>
        <w:t>Le respect des exigences de l’annexe IV peut être attesté via la mise en œuvre par le fabricant d’un Système de gestion de la qualité, conformément à la norme internationale ISO 9001/2015 (ou sa version en vigueur), lequel doit être certifié par un organisme accrédité d’évaluation de la conformité.</w:t>
      </w:r>
    </w:p>
    <w:p w:rsidR="00247089" w:rsidRPr="003A61F6" w:rsidRDefault="00247089" w:rsidP="00AD793E">
      <w:pPr>
        <w:pStyle w:val="ListParagraph"/>
        <w:widowControl/>
        <w:numPr>
          <w:ilvl w:val="0"/>
          <w:numId w:val="21"/>
        </w:numPr>
        <w:spacing w:before="116"/>
        <w:ind w:left="540" w:right="106" w:hanging="540"/>
      </w:pPr>
      <w:r>
        <w:t>L’importateur des produits issus de la transformation de matériau élastomère exige de ses fournisseurs la déclaration de conformité de l'article 4 afin de pouvoir les commercialiser librement sur le marché grec.</w:t>
      </w:r>
    </w:p>
    <w:p w:rsidR="00247089" w:rsidRPr="003A61F6" w:rsidRDefault="00247089" w:rsidP="00AD793E">
      <w:pPr>
        <w:pStyle w:val="ListParagraph"/>
        <w:widowControl/>
        <w:numPr>
          <w:ilvl w:val="0"/>
          <w:numId w:val="21"/>
        </w:numPr>
        <w:spacing w:before="121"/>
        <w:ind w:left="540" w:right="110" w:hanging="540"/>
      </w:pPr>
      <w:r>
        <w:t>Les produits issus de la transformation de matériaux élastomères qui relèvent du champ d’application de l’annexe Ι, cas 1 doivent également se conformer aux exigences des arrêtés ministériels conjoints nº 28492/18.5.2009, 27934/25.7.2014 et 36873/2.8.2007, tels qu’ils sont en vigueur.</w:t>
      </w:r>
    </w:p>
    <w:p w:rsidR="00247089" w:rsidRPr="003A61F6" w:rsidRDefault="00247089" w:rsidP="00AD793E">
      <w:pPr>
        <w:pStyle w:val="ListParagraph"/>
        <w:widowControl/>
        <w:tabs>
          <w:tab w:val="left" w:pos="446"/>
        </w:tabs>
        <w:spacing w:before="121"/>
        <w:ind w:left="102" w:right="110" w:firstLine="0"/>
      </w:pPr>
    </w:p>
    <w:p w:rsidR="00247089" w:rsidRPr="003A61F6" w:rsidRDefault="00943836" w:rsidP="00AD793E">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rPr>
        <w:t>Article 6</w:t>
      </w:r>
    </w:p>
    <w:p w:rsidR="00247089" w:rsidRPr="003A61F6" w:rsidRDefault="00247089" w:rsidP="00AD793E">
      <w:pPr>
        <w:spacing w:line="274" w:lineRule="exact"/>
        <w:ind w:right="6"/>
        <w:jc w:val="center"/>
        <w:rPr>
          <w:rFonts w:ascii="Times New Roman" w:hAnsi="Times New Roman"/>
          <w:sz w:val="22"/>
          <w:szCs w:val="22"/>
        </w:rPr>
      </w:pPr>
      <w:r>
        <w:rPr>
          <w:rFonts w:ascii="Times New Roman" w:hAnsi="Times New Roman"/>
          <w:sz w:val="22"/>
        </w:rPr>
        <w:t>Exigences générales de fabrication - Informer la clientèle</w:t>
      </w:r>
    </w:p>
    <w:p w:rsidR="00247089" w:rsidRPr="003A61F6" w:rsidRDefault="00247089" w:rsidP="00AD793E">
      <w:pPr>
        <w:pStyle w:val="ListParagraph"/>
        <w:widowControl/>
        <w:numPr>
          <w:ilvl w:val="0"/>
          <w:numId w:val="20"/>
        </w:numPr>
        <w:spacing w:before="125" w:line="237" w:lineRule="auto"/>
        <w:ind w:left="540" w:right="106" w:hanging="540"/>
      </w:pPr>
      <w:r>
        <w:t xml:space="preserve">Pour évaluer la conformité des produits de l’annexe I, les fabricants peuvent appliquer des normes européennes harmonisées. En l’absence des normes européennes harmonisées, ils peuvent appliquer les normes internationales, européennes ou nationales équivalentes, voire des spécifications techniques internationalement reconnues ou bien des bonnes pratiques. </w:t>
      </w:r>
    </w:p>
    <w:p w:rsidR="00247089" w:rsidRPr="003A61F6" w:rsidRDefault="00247089" w:rsidP="00AD793E">
      <w:pPr>
        <w:pStyle w:val="ListParagraph"/>
        <w:widowControl/>
        <w:spacing w:before="125" w:line="237" w:lineRule="auto"/>
        <w:ind w:left="540" w:right="106" w:firstLine="0"/>
      </w:pPr>
      <w:r>
        <w:t xml:space="preserve">Une liste indicative et non exhaustive de normes et de spécifications techniques figure à l’annexe V, afin d’aider les fabricants. </w:t>
      </w:r>
    </w:p>
    <w:p w:rsidR="00247089" w:rsidRPr="003A61F6" w:rsidRDefault="00247089" w:rsidP="00AD793E">
      <w:pPr>
        <w:pStyle w:val="ListParagraph"/>
        <w:widowControl/>
        <w:numPr>
          <w:ilvl w:val="0"/>
          <w:numId w:val="20"/>
        </w:numPr>
        <w:spacing w:before="125" w:line="237" w:lineRule="auto"/>
        <w:ind w:left="540" w:right="106" w:hanging="540"/>
      </w:pPr>
      <w:r>
        <w:lastRenderedPageBreak/>
        <w:t xml:space="preserve">L’évaluation de la conformité est effectuée par un organisme d’évaluation de la conformité au sens du règlement 765/2008/CE, lequel octroie un certificat de conformité sur la base des exigences du présent arrêté, suite à la demande relative du fabricant, conformément à l’usage prévu. Le certificat de conformité concernera les produits finis complets issus de la transformation des matériaux élastomères. </w:t>
      </w:r>
    </w:p>
    <w:p w:rsidR="00247089" w:rsidRPr="003A61F6" w:rsidRDefault="00247089" w:rsidP="00AD793E">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rPr>
        <w:t>Le fabricant, l’importateur ou le distributeur ont l’obligation de fournir au client les recommandations, les informations et les suggestions nécessaires, d’informer quant aux normes appliquées et de conseiller les clients afin qu’ils puissent prendre les mesures appropriées de prévention des risques potentiels.</w:t>
      </w:r>
    </w:p>
    <w:p w:rsidR="00247089" w:rsidRPr="003A61F6" w:rsidRDefault="00247089" w:rsidP="00771DFA">
      <w:pPr>
        <w:pStyle w:val="ListParagraph"/>
        <w:widowControl/>
        <w:spacing w:before="125" w:line="237" w:lineRule="auto"/>
        <w:ind w:left="540" w:right="106" w:firstLine="0"/>
      </w:pPr>
      <w:r>
        <w:t>Les recommandations, les informations et les suggestions doivent être claires et compréhensibles, être en rapport avec les techniques de fabrication des produits employées, indiquer la durée de vie estimée des produits dans des conditions normales ou raisonnablement prévisibles d’utilisation, proposer les inspections régulières prévues, le mode d’entretien ainsi que les actions correctives pour la sécurité et l’hygiène des utilisateurs.</w:t>
      </w:r>
    </w:p>
    <w:p w:rsidR="00247089" w:rsidRPr="003A61F6" w:rsidRDefault="00247089" w:rsidP="00AD793E">
      <w:pPr>
        <w:pStyle w:val="BodyText"/>
        <w:spacing w:before="9"/>
        <w:rPr>
          <w:rFonts w:ascii="Times New Roman" w:hAnsi="Times New Roman"/>
          <w:sz w:val="22"/>
          <w:szCs w:val="22"/>
          <w:lang w:val="el-GR"/>
        </w:rPr>
      </w:pPr>
    </w:p>
    <w:p w:rsidR="00247089" w:rsidRPr="003A61F6" w:rsidRDefault="00943836" w:rsidP="00AD793E">
      <w:pPr>
        <w:tabs>
          <w:tab w:val="left" w:pos="1060"/>
        </w:tabs>
        <w:ind w:right="6"/>
        <w:jc w:val="center"/>
        <w:rPr>
          <w:rFonts w:ascii="Times New Roman" w:hAnsi="Times New Roman"/>
          <w:b/>
          <w:sz w:val="22"/>
          <w:szCs w:val="22"/>
        </w:rPr>
      </w:pPr>
      <w:r>
        <w:rPr>
          <w:rFonts w:ascii="Times New Roman" w:hAnsi="Times New Roman"/>
          <w:b/>
          <w:sz w:val="22"/>
        </w:rPr>
        <w:t>Article 7</w:t>
      </w:r>
    </w:p>
    <w:p w:rsidR="00247089" w:rsidRPr="003A61F6" w:rsidRDefault="00247089" w:rsidP="00AD793E">
      <w:pPr>
        <w:ind w:right="6"/>
        <w:jc w:val="center"/>
        <w:rPr>
          <w:rFonts w:ascii="Times New Roman" w:hAnsi="Times New Roman"/>
          <w:sz w:val="22"/>
          <w:szCs w:val="22"/>
        </w:rPr>
      </w:pPr>
      <w:r>
        <w:rPr>
          <w:rFonts w:ascii="Times New Roman" w:hAnsi="Times New Roman"/>
          <w:sz w:val="22"/>
        </w:rPr>
        <w:t>Surveillance du marché</w:t>
      </w:r>
    </w:p>
    <w:p w:rsidR="00247089" w:rsidRPr="003A61F6" w:rsidRDefault="00247089" w:rsidP="00AD793E">
      <w:pPr>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rPr>
        <w:t>Le secrétariat général à l’industrie du ministère du Développement et des investissements est l’autorité nationale chargée de la surveillance du marché pour les produits qui relèvent du champ d’application du présent arrêté ainsi que de l’application correcte de ses dispositions. Dans le cadre de ses obligations de surveillance il intègre également, pour l’élaboration et la mise en œuvre du programme annuel de surveillance du marché (règlement (CE) nº 765/2008 et loi</w:t>
      </w:r>
      <w:r>
        <w:rPr>
          <w:rFonts w:ascii="Times New Roman" w:hAnsi="Times New Roman"/>
          <w:i/>
          <w:sz w:val="22"/>
        </w:rPr>
        <w:t xml:space="preserve"> </w:t>
      </w:r>
      <w:r>
        <w:rPr>
          <w:rFonts w:ascii="Times New Roman" w:hAnsi="Times New Roman"/>
          <w:sz w:val="22"/>
        </w:rPr>
        <w:t>4072/2012, chapitre Ε), des contrôles pour les produits couverts par le présent.</w:t>
      </w:r>
    </w:p>
    <w:p w:rsidR="00247089" w:rsidRPr="003A61F6" w:rsidRDefault="00247089" w:rsidP="00AD793E">
      <w:pPr>
        <w:pStyle w:val="ListParagraph"/>
        <w:widowControl/>
        <w:numPr>
          <w:ilvl w:val="0"/>
          <w:numId w:val="33"/>
        </w:numPr>
        <w:adjustRightInd w:val="0"/>
        <w:ind w:left="540" w:hanging="540"/>
      </w:pPr>
      <w:r>
        <w:t>Dans le cadre d’élaboration des programmes de contrôle de la conformité des produits aux règlements REACH et CLP relevant de ses compétences, le Laboratoire général de chimie de l’État établit le cas échéant, en application de l’arrêté ministériel nº 450/2008 (JORH nº 2553, vol. 2 de 2008) et de l’arrêté ministériel conjoint nº 3015811/2663 (JORH nº 1410, vol. 2 de 2010), des programmes de contrôle de la conformité des produits visés par le présent aux règlements REACH et CLP.</w:t>
      </w:r>
    </w:p>
    <w:p w:rsidR="00247089" w:rsidRPr="003A61F6" w:rsidRDefault="00247089" w:rsidP="00AD793E">
      <w:pPr>
        <w:pStyle w:val="ListParagraph"/>
        <w:widowControl/>
        <w:numPr>
          <w:ilvl w:val="0"/>
          <w:numId w:val="33"/>
        </w:numPr>
        <w:spacing w:after="120"/>
        <w:ind w:left="540" w:right="105" w:hanging="540"/>
      </w:pPr>
      <w:r>
        <w:t>Les contrôles sont réalisés sur les sites de fabrication, de conditionnement, de stockage, de distribution mais aussi sur les cargaisons destinées au stockage ou livrées pour être installées dans des écoles, des terrains de jeux, des aires de jeux, des terrains de sport, des lieux d’installations sportives, des bassins de natation, des gymnases publics et privés, etc.</w:t>
      </w:r>
    </w:p>
    <w:p w:rsidR="00247089" w:rsidRPr="003A61F6" w:rsidRDefault="00247089" w:rsidP="00AD793E">
      <w:pPr>
        <w:pStyle w:val="ListParagraph"/>
        <w:widowControl/>
        <w:numPr>
          <w:ilvl w:val="0"/>
          <w:numId w:val="33"/>
        </w:numPr>
        <w:spacing w:after="120"/>
        <w:ind w:left="540" w:right="105" w:hanging="540"/>
      </w:pPr>
      <w:r>
        <w:t>Les contrôles de laboratoire effectués pour vérifier et établir la conformité des produits finis fabriqués sont réalisés uniquement par des laboratoires accrédités dans le domaine correspondant.</w:t>
      </w:r>
    </w:p>
    <w:p w:rsidR="00247089" w:rsidRPr="003A61F6" w:rsidRDefault="00247089" w:rsidP="00AD793E">
      <w:pPr>
        <w:pStyle w:val="Default"/>
        <w:numPr>
          <w:ilvl w:val="0"/>
          <w:numId w:val="33"/>
        </w:numPr>
        <w:spacing w:before="120" w:after="120"/>
        <w:ind w:left="540" w:hanging="540"/>
        <w:jc w:val="both"/>
        <w:rPr>
          <w:color w:val="auto"/>
          <w:sz w:val="22"/>
          <w:szCs w:val="22"/>
        </w:rPr>
      </w:pPr>
      <w:r>
        <w:rPr>
          <w:color w:val="auto"/>
          <w:sz w:val="22"/>
        </w:rPr>
        <w:t xml:space="preserve">Des échantillons prélevés au cours la procédure de surveillance du marché, pour évaluation de la conformité avec les règlements REACH et CLP, sont exclusivement examinés par le Laboratoire général de chimie de l’État. </w:t>
      </w:r>
    </w:p>
    <w:p w:rsidR="00247089" w:rsidRPr="003A61F6" w:rsidRDefault="00247089" w:rsidP="00AD793E">
      <w:pPr>
        <w:tabs>
          <w:tab w:val="left" w:pos="1156"/>
        </w:tabs>
        <w:spacing w:line="274" w:lineRule="exact"/>
        <w:ind w:right="6"/>
        <w:jc w:val="center"/>
        <w:rPr>
          <w:rFonts w:ascii="Times New Roman" w:hAnsi="Times New Roman"/>
          <w:b/>
          <w:sz w:val="22"/>
          <w:szCs w:val="22"/>
          <w:lang w:val="el-GR"/>
        </w:rPr>
      </w:pPr>
    </w:p>
    <w:p w:rsidR="00247089" w:rsidRPr="003A61F6" w:rsidRDefault="00943836" w:rsidP="00AD793E">
      <w:pPr>
        <w:tabs>
          <w:tab w:val="left" w:pos="1156"/>
        </w:tabs>
        <w:spacing w:line="274" w:lineRule="exact"/>
        <w:ind w:right="6"/>
        <w:jc w:val="center"/>
        <w:rPr>
          <w:rFonts w:ascii="Times New Roman" w:hAnsi="Times New Roman"/>
          <w:b/>
          <w:sz w:val="22"/>
          <w:szCs w:val="22"/>
        </w:rPr>
      </w:pPr>
      <w:r>
        <w:rPr>
          <w:rFonts w:ascii="Times New Roman" w:hAnsi="Times New Roman"/>
          <w:b/>
          <w:sz w:val="22"/>
        </w:rPr>
        <w:t>Article 8</w:t>
      </w:r>
    </w:p>
    <w:p w:rsidR="00247089" w:rsidRPr="003A61F6" w:rsidRDefault="00247089" w:rsidP="00AD793E">
      <w:pPr>
        <w:spacing w:line="274" w:lineRule="exact"/>
        <w:ind w:left="3061"/>
        <w:rPr>
          <w:rFonts w:ascii="Times New Roman" w:hAnsi="Times New Roman"/>
          <w:sz w:val="22"/>
          <w:szCs w:val="22"/>
        </w:rPr>
      </w:pPr>
      <w:r>
        <w:rPr>
          <w:rFonts w:ascii="Times New Roman" w:hAnsi="Times New Roman"/>
          <w:sz w:val="22"/>
        </w:rPr>
        <w:t>Obligations des opérateurs économiques</w:t>
      </w:r>
    </w:p>
    <w:p w:rsidR="00247089" w:rsidRPr="003A61F6" w:rsidRDefault="00247089" w:rsidP="00AD793E">
      <w:pPr>
        <w:spacing w:before="122"/>
        <w:ind w:left="102"/>
        <w:rPr>
          <w:rFonts w:ascii="Times New Roman" w:hAnsi="Times New Roman"/>
          <w:sz w:val="22"/>
          <w:szCs w:val="22"/>
        </w:rPr>
      </w:pPr>
      <w:r>
        <w:rPr>
          <w:rFonts w:ascii="Times New Roman" w:hAnsi="Times New Roman"/>
          <w:sz w:val="22"/>
        </w:rPr>
        <w:t>Les obligations des opérateurs économiques, qui sont soumis aux dispositions du présent arrêté, sont définies dans les paragraphes suivants.</w:t>
      </w:r>
    </w:p>
    <w:p w:rsidR="00247089" w:rsidRPr="003A61F6" w:rsidRDefault="00247089" w:rsidP="00AD793E">
      <w:pPr>
        <w:pStyle w:val="ListParagraph"/>
        <w:widowControl/>
        <w:numPr>
          <w:ilvl w:val="0"/>
          <w:numId w:val="18"/>
        </w:numPr>
        <w:ind w:left="540" w:hanging="540"/>
        <w:jc w:val="left"/>
        <w:rPr>
          <w:b/>
        </w:rPr>
      </w:pPr>
      <w:r>
        <w:t xml:space="preserve">Les </w:t>
      </w:r>
      <w:r>
        <w:rPr>
          <w:b/>
        </w:rPr>
        <w:t>fabricants</w:t>
      </w:r>
      <w:r>
        <w:t>, les importateurs et les distributeurs sont tenus de:</w:t>
      </w:r>
    </w:p>
    <w:p w:rsidR="00247089" w:rsidRPr="003A61F6" w:rsidRDefault="00247089" w:rsidP="00AD793E">
      <w:pPr>
        <w:pStyle w:val="ListParagraph"/>
        <w:widowControl/>
        <w:numPr>
          <w:ilvl w:val="1"/>
          <w:numId w:val="18"/>
        </w:numPr>
        <w:tabs>
          <w:tab w:val="left" w:pos="810"/>
        </w:tabs>
        <w:spacing w:after="120"/>
        <w:ind w:left="811" w:right="109" w:hanging="284"/>
      </w:pPr>
      <w:r>
        <w:t>commercialiser des produits conformes aux dispositions du présent arrêté;</w:t>
      </w:r>
    </w:p>
    <w:p w:rsidR="00247089" w:rsidRPr="003A61F6" w:rsidRDefault="00247089" w:rsidP="00AD793E">
      <w:pPr>
        <w:pStyle w:val="ListParagraph"/>
        <w:widowControl/>
        <w:numPr>
          <w:ilvl w:val="1"/>
          <w:numId w:val="18"/>
        </w:numPr>
        <w:tabs>
          <w:tab w:val="left" w:pos="810"/>
        </w:tabs>
        <w:spacing w:after="120"/>
        <w:ind w:left="811" w:right="109" w:hanging="284"/>
      </w:pPr>
      <w:r>
        <w:t>établir ou demander au fabricant l’établissement de la déclaration de conformité de l’article 4, qu’ils transmettront ensuite au client, accompagnée du dossier technique correspondant, des recommandations et de l’information adéquate;</w:t>
      </w:r>
    </w:p>
    <w:p w:rsidR="00247089" w:rsidRPr="003A61F6" w:rsidRDefault="00247089" w:rsidP="00AD793E">
      <w:pPr>
        <w:pStyle w:val="ListParagraph"/>
        <w:widowControl/>
        <w:numPr>
          <w:ilvl w:val="1"/>
          <w:numId w:val="18"/>
        </w:numPr>
        <w:tabs>
          <w:tab w:val="left" w:pos="810"/>
        </w:tabs>
        <w:spacing w:after="120"/>
        <w:ind w:left="811" w:hanging="284"/>
      </w:pPr>
      <w:r>
        <w:t>rendre, à leur demande, le Système de gestion de la qualité appliqué, accessible aux autorités compétentes de la surveillance du marché;</w:t>
      </w:r>
    </w:p>
    <w:p w:rsidR="00247089" w:rsidRPr="003A61F6" w:rsidRDefault="00247089" w:rsidP="00AD793E">
      <w:pPr>
        <w:pStyle w:val="ListParagraph"/>
        <w:widowControl/>
        <w:numPr>
          <w:ilvl w:val="1"/>
          <w:numId w:val="18"/>
        </w:numPr>
        <w:tabs>
          <w:tab w:val="left" w:pos="810"/>
        </w:tabs>
        <w:spacing w:after="120"/>
        <w:ind w:left="811" w:right="112" w:hanging="284"/>
      </w:pPr>
      <w:r>
        <w:t>rendre accessibles tous les locaux, les installations et les documents relatifs à la transformation, au stockage et à l’installation des produits, à la demande des autorités compétentes de la surveillance du marché aux fins de la vérification de la conformité avec les dispositions du présent arrêté;</w:t>
      </w:r>
    </w:p>
    <w:p w:rsidR="00247089" w:rsidRPr="003A61F6" w:rsidRDefault="00247089" w:rsidP="00AD793E">
      <w:pPr>
        <w:pStyle w:val="ListParagraph"/>
        <w:widowControl/>
        <w:numPr>
          <w:ilvl w:val="1"/>
          <w:numId w:val="18"/>
        </w:numPr>
        <w:tabs>
          <w:tab w:val="left" w:pos="810"/>
        </w:tabs>
        <w:spacing w:after="120"/>
        <w:ind w:left="811" w:hanging="284"/>
        <w:jc w:val="left"/>
      </w:pPr>
      <w:r>
        <w:lastRenderedPageBreak/>
        <w:t>appliquer un système de traçabilité;</w:t>
      </w:r>
    </w:p>
    <w:p w:rsidR="00247089" w:rsidRPr="003A61F6" w:rsidRDefault="00247089" w:rsidP="00AD793E">
      <w:pPr>
        <w:pStyle w:val="ListParagraph"/>
        <w:widowControl/>
        <w:numPr>
          <w:ilvl w:val="1"/>
          <w:numId w:val="18"/>
        </w:numPr>
        <w:tabs>
          <w:tab w:val="left" w:pos="810"/>
        </w:tabs>
        <w:spacing w:after="120"/>
        <w:ind w:left="811" w:right="123" w:hanging="284"/>
      </w:pPr>
      <w:r>
        <w:t>informer les autorités responsables de la surveillance du marché des risques éventuels et coopérer avec elles pour éviter ces risques.</w:t>
      </w:r>
    </w:p>
    <w:p w:rsidR="00247089" w:rsidRPr="003A61F6" w:rsidRDefault="00247089" w:rsidP="00AD793E">
      <w:pPr>
        <w:pStyle w:val="ListParagraph"/>
        <w:widowControl/>
        <w:numPr>
          <w:ilvl w:val="0"/>
          <w:numId w:val="18"/>
        </w:numPr>
        <w:tabs>
          <w:tab w:val="left" w:pos="530"/>
        </w:tabs>
        <w:spacing w:before="119"/>
        <w:ind w:left="450" w:right="108" w:hanging="540"/>
        <w:jc w:val="both"/>
      </w:pPr>
      <w:r>
        <w:t>Les clients, responsables des applications des produits et de l’utilisation de celles-ci par le public, sont tenus, sans préjudice de dispositions plus spécifiques (par exemple la législation relative aux marchés publics écologiques), de:</w:t>
      </w:r>
    </w:p>
    <w:p w:rsidR="00247089" w:rsidRPr="003A61F6" w:rsidRDefault="00247089" w:rsidP="00AD793E">
      <w:pPr>
        <w:pStyle w:val="ListParagraph"/>
        <w:widowControl/>
        <w:numPr>
          <w:ilvl w:val="1"/>
          <w:numId w:val="18"/>
        </w:numPr>
        <w:tabs>
          <w:tab w:val="left" w:pos="810"/>
        </w:tabs>
        <w:spacing w:after="120"/>
        <w:ind w:left="811" w:right="109" w:hanging="284"/>
      </w:pPr>
      <w:r>
        <w:t>inclure dans les spécifications techniques des appels d’offres, lancés pour la fourniture desdits produits, les exigences du présent arrêté, en demandant également la remise de justificatifs et de certificats relatifs à la conformité;</w:t>
      </w:r>
    </w:p>
    <w:p w:rsidR="00247089" w:rsidRPr="003A61F6" w:rsidRDefault="00247089" w:rsidP="00AD793E">
      <w:pPr>
        <w:pStyle w:val="ListParagraph"/>
        <w:widowControl/>
        <w:numPr>
          <w:ilvl w:val="1"/>
          <w:numId w:val="18"/>
        </w:numPr>
        <w:tabs>
          <w:tab w:val="left" w:pos="810"/>
        </w:tabs>
        <w:spacing w:after="120"/>
        <w:ind w:left="811" w:right="113" w:hanging="284"/>
      </w:pPr>
      <w:r>
        <w:t>conserver, pour chaque lot de produits qu’ils se procurent, la déclaration de conformité et le dossier technique que leur a fournis le fabricant ou l’importateur;</w:t>
      </w:r>
    </w:p>
    <w:p w:rsidR="00247089" w:rsidRPr="003A61F6" w:rsidRDefault="00247089" w:rsidP="00AD793E">
      <w:pPr>
        <w:pStyle w:val="ListParagraph"/>
        <w:widowControl/>
        <w:numPr>
          <w:ilvl w:val="1"/>
          <w:numId w:val="18"/>
        </w:numPr>
        <w:tabs>
          <w:tab w:val="left" w:pos="810"/>
        </w:tabs>
        <w:spacing w:after="120"/>
        <w:ind w:left="811" w:right="110" w:hanging="284"/>
      </w:pPr>
      <w:r>
        <w:t>se conformer aux recommandations et aux suggestions introduites par le producteur ou l’importateur des produits;</w:t>
      </w:r>
    </w:p>
    <w:p w:rsidR="00247089" w:rsidRPr="003A61F6" w:rsidRDefault="00247089" w:rsidP="00AD793E">
      <w:pPr>
        <w:pStyle w:val="ListParagraph"/>
        <w:widowControl/>
        <w:numPr>
          <w:ilvl w:val="1"/>
          <w:numId w:val="18"/>
        </w:numPr>
        <w:tabs>
          <w:tab w:val="left" w:pos="810"/>
        </w:tabs>
        <w:spacing w:after="120"/>
        <w:ind w:left="811" w:right="108" w:hanging="284"/>
      </w:pPr>
      <w:r>
        <w:t>rendre accessibles tous les locaux, les installations et les documents relatifs à la transformation, au stockage et à l’installation des produits, à la demande des autorités responsables de la surveillance du marché aux fins de la vérification de la conformité avec les dispositions du présent arrêté;</w:t>
      </w:r>
    </w:p>
    <w:p w:rsidR="00247089" w:rsidRPr="003A61F6" w:rsidRDefault="00247089" w:rsidP="00AD793E">
      <w:pPr>
        <w:pStyle w:val="ListParagraph"/>
        <w:widowControl/>
        <w:numPr>
          <w:ilvl w:val="1"/>
          <w:numId w:val="18"/>
        </w:numPr>
        <w:tabs>
          <w:tab w:val="left" w:pos="810"/>
        </w:tabs>
        <w:spacing w:after="120"/>
        <w:ind w:left="811" w:right="113" w:hanging="284"/>
      </w:pPr>
      <w:r>
        <w:t>informer les autorités responsables de la surveillance du marché des risques éventuels et coopérer avec elles pour éviter ces risques.</w:t>
      </w:r>
    </w:p>
    <w:p w:rsidR="00247089" w:rsidRPr="003A61F6" w:rsidRDefault="00247089" w:rsidP="00AD793E">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sz w:val="22"/>
        </w:rPr>
        <w:t>Les organismes d’évaluation de la conformité sont tenus de:</w:t>
      </w:r>
    </w:p>
    <w:p w:rsidR="00247089" w:rsidRPr="003A61F6" w:rsidRDefault="00247089" w:rsidP="00AD793E">
      <w:pPr>
        <w:pStyle w:val="ListParagraph"/>
        <w:widowControl/>
        <w:numPr>
          <w:ilvl w:val="1"/>
          <w:numId w:val="18"/>
        </w:numPr>
        <w:tabs>
          <w:tab w:val="left" w:pos="810"/>
        </w:tabs>
        <w:spacing w:after="120"/>
        <w:ind w:left="811" w:right="122" w:hanging="284"/>
      </w:pPr>
      <w:r>
        <w:t>satisfaire pleinement aux exigences de la législation technique les concernant et se conformer scrupuleusement aux conditions de fonctionnement qui leur sont imposées;</w:t>
      </w:r>
    </w:p>
    <w:p w:rsidR="00247089" w:rsidRPr="003A61F6" w:rsidRDefault="00247089" w:rsidP="00AD793E">
      <w:pPr>
        <w:pStyle w:val="ListParagraph"/>
        <w:widowControl/>
        <w:numPr>
          <w:ilvl w:val="1"/>
          <w:numId w:val="18"/>
        </w:numPr>
        <w:tabs>
          <w:tab w:val="left" w:pos="810"/>
        </w:tabs>
        <w:spacing w:after="120"/>
        <w:ind w:left="811" w:hanging="284"/>
        <w:jc w:val="left"/>
      </w:pPr>
      <w:r>
        <w:t>exercer leurs compétences en toute indépendance et impartialité;</w:t>
      </w:r>
    </w:p>
    <w:p w:rsidR="00247089" w:rsidRPr="003A61F6" w:rsidRDefault="00247089" w:rsidP="00AD793E">
      <w:pPr>
        <w:pStyle w:val="ListParagraph"/>
        <w:widowControl/>
        <w:numPr>
          <w:ilvl w:val="1"/>
          <w:numId w:val="18"/>
        </w:numPr>
        <w:tabs>
          <w:tab w:val="left" w:pos="810"/>
        </w:tabs>
        <w:spacing w:after="120"/>
        <w:ind w:left="811" w:right="111" w:hanging="284"/>
      </w:pPr>
      <w:r>
        <w:t>établir les certificats appropriés, conformément à la législation et aux règles techniques;</w:t>
      </w:r>
    </w:p>
    <w:p w:rsidR="00247089" w:rsidRPr="003A61F6" w:rsidRDefault="00247089" w:rsidP="00AD793E">
      <w:pPr>
        <w:pStyle w:val="ListParagraph"/>
        <w:widowControl/>
        <w:numPr>
          <w:ilvl w:val="1"/>
          <w:numId w:val="18"/>
        </w:numPr>
        <w:tabs>
          <w:tab w:val="left" w:pos="810"/>
        </w:tabs>
        <w:spacing w:after="120"/>
        <w:ind w:left="811" w:right="114" w:hanging="284"/>
      </w:pPr>
      <w:r>
        <w:t>informer les autorités compétentes sur les risques éventuels et coopérer avec elles pour éviter ces risques.</w:t>
      </w:r>
    </w:p>
    <w:p w:rsidR="00247089" w:rsidRPr="003A61F6" w:rsidRDefault="00247089" w:rsidP="00AD793E">
      <w:pPr>
        <w:tabs>
          <w:tab w:val="left" w:pos="1060"/>
        </w:tabs>
        <w:spacing w:line="250" w:lineRule="exact"/>
        <w:ind w:right="6"/>
        <w:jc w:val="center"/>
        <w:rPr>
          <w:rFonts w:ascii="Times New Roman" w:hAnsi="Times New Roman"/>
          <w:b/>
          <w:sz w:val="22"/>
          <w:szCs w:val="22"/>
          <w:lang w:val="el-GR"/>
        </w:rPr>
      </w:pPr>
    </w:p>
    <w:p w:rsidR="00247089" w:rsidRPr="003A61F6" w:rsidRDefault="00A01F2C" w:rsidP="00AD793E">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Article 9</w:t>
      </w:r>
    </w:p>
    <w:p w:rsidR="00247089" w:rsidRPr="003A61F6" w:rsidRDefault="00247089" w:rsidP="00AD793E">
      <w:pPr>
        <w:tabs>
          <w:tab w:val="left" w:pos="1060"/>
        </w:tabs>
        <w:spacing w:line="250" w:lineRule="exact"/>
        <w:ind w:right="6"/>
        <w:jc w:val="center"/>
        <w:rPr>
          <w:rFonts w:ascii="Times New Roman" w:hAnsi="Times New Roman"/>
          <w:sz w:val="22"/>
          <w:szCs w:val="22"/>
        </w:rPr>
      </w:pPr>
      <w:r>
        <w:rPr>
          <w:rFonts w:ascii="Times New Roman" w:hAnsi="Times New Roman"/>
          <w:sz w:val="22"/>
        </w:rPr>
        <w:t>Clause de reconnaissance mutuelle</w:t>
      </w:r>
    </w:p>
    <w:p w:rsidR="00247089" w:rsidRPr="003A61F6" w:rsidRDefault="00247089" w:rsidP="00AD793E">
      <w:pPr>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rPr>
        <w:t xml:space="preserve">Produits issus de la transformation industrielle de matériaux élastomères destinés aux usages de l’annexe I, légalement mis sur le marché d’un État membre de l’Union européenne ou en Turquie, ou, provenant, et légalement mis sur le marché d’un État membre de l’AELE partie à l'accord sur l'Espace économique européen, sont présumés conformes aux dispositions du présent arrêté. </w:t>
      </w:r>
    </w:p>
    <w:p w:rsidR="00247089" w:rsidRPr="003A61F6" w:rsidRDefault="00247089" w:rsidP="00AD793E">
      <w:pPr>
        <w:spacing w:before="120" w:after="120"/>
        <w:ind w:left="540" w:right="6"/>
        <w:jc w:val="both"/>
        <w:rPr>
          <w:rFonts w:ascii="Times New Roman" w:hAnsi="Times New Roman"/>
          <w:b/>
          <w:sz w:val="22"/>
          <w:szCs w:val="22"/>
        </w:rPr>
      </w:pPr>
      <w:r>
        <w:rPr>
          <w:rFonts w:ascii="Times New Roman" w:hAnsi="Times New Roman"/>
          <w:sz w:val="22"/>
        </w:rPr>
        <w:t>Jusqu’au 18 avril 2020, l’application de ces règles est régie par le règlement (CΕ) nº 764/2008 du Parlement européen et du Conseil du 9 juillet 2008 établissant les procédures relatives à l’application de certaines règles techniques à des produits commercialisés légalement dans un autre État membre et abrogeant la décision nº 3052/95/CΕ (JO L 218 du 13.8.2008, p. 21) et, à compter du 19 avril 2020, elle est régie par le règlement (UΕ) nº 2019/515 du 19 mars 2019 sur la reconnaissance mutuelle des marchandises commercialisées légalement dans un autre État membre.</w:t>
      </w:r>
    </w:p>
    <w:p w:rsidR="00247089" w:rsidRPr="003A61F6" w:rsidRDefault="00247089" w:rsidP="00AD793E">
      <w:pPr>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rPr>
        <w:t>Sous réserve du paragraphe 1, des produits issus de la transformation de matériaux élastomères sont librement commercialisés sur le marché grec, dans la mesure où il est établi qu’ils offrent des niveaux de performance équivalents à ceux des dispositions du présent arrêté et qu’ils se conforment aux dispositions de la législation européenne.</w:t>
      </w:r>
    </w:p>
    <w:p w:rsidR="00247089" w:rsidRPr="003A61F6" w:rsidRDefault="00247089" w:rsidP="00AD793E">
      <w:pPr>
        <w:tabs>
          <w:tab w:val="left" w:pos="1060"/>
        </w:tabs>
        <w:spacing w:line="250" w:lineRule="exact"/>
        <w:ind w:right="6"/>
        <w:jc w:val="center"/>
        <w:rPr>
          <w:rFonts w:ascii="Times New Roman" w:hAnsi="Times New Roman"/>
          <w:b/>
          <w:sz w:val="22"/>
          <w:szCs w:val="22"/>
          <w:lang w:val="el-GR"/>
        </w:rPr>
      </w:pPr>
    </w:p>
    <w:p w:rsidR="00247089" w:rsidRPr="003A61F6" w:rsidRDefault="00A01F2C" w:rsidP="00AD793E">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Article 10</w:t>
      </w:r>
    </w:p>
    <w:p w:rsidR="00247089" w:rsidRPr="003A61F6" w:rsidRDefault="00247089" w:rsidP="00AD793E">
      <w:pPr>
        <w:pStyle w:val="Heading3"/>
        <w:spacing w:line="250" w:lineRule="exact"/>
        <w:ind w:right="6"/>
        <w:rPr>
          <w:rFonts w:ascii="Times New Roman" w:hAnsi="Times New Roman"/>
          <w:sz w:val="22"/>
          <w:szCs w:val="22"/>
        </w:rPr>
      </w:pPr>
      <w:r>
        <w:rPr>
          <w:rFonts w:ascii="Times New Roman" w:hAnsi="Times New Roman"/>
          <w:sz w:val="22"/>
        </w:rPr>
        <w:t>Sanctions</w:t>
      </w:r>
    </w:p>
    <w:p w:rsidR="00247089" w:rsidRPr="003A61F6" w:rsidRDefault="00247089" w:rsidP="00AD793E">
      <w:pPr>
        <w:pStyle w:val="Default"/>
        <w:numPr>
          <w:ilvl w:val="0"/>
          <w:numId w:val="37"/>
        </w:numPr>
        <w:spacing w:before="120" w:after="120"/>
        <w:ind w:left="540" w:hanging="385"/>
        <w:jc w:val="both"/>
        <w:rPr>
          <w:color w:val="auto"/>
          <w:sz w:val="22"/>
          <w:szCs w:val="22"/>
        </w:rPr>
      </w:pPr>
      <w:r>
        <w:rPr>
          <w:color w:val="auto"/>
          <w:sz w:val="22"/>
        </w:rPr>
        <w:t>Dans un délai de six (6) mois à compter de l’entrée en vigueur du présent arrêté, les produits issus de la transformation de matériaux élastomères qui ne se conforment pas à ses dispositions ne peuvent être mis sur le marché grec aux fins de l’annexe I.</w:t>
      </w:r>
    </w:p>
    <w:p w:rsidR="00247089" w:rsidRPr="003A61F6" w:rsidRDefault="00247089" w:rsidP="00AD793E">
      <w:pPr>
        <w:pStyle w:val="Default"/>
        <w:numPr>
          <w:ilvl w:val="0"/>
          <w:numId w:val="37"/>
        </w:numPr>
        <w:spacing w:before="120" w:after="120"/>
        <w:ind w:left="540" w:hanging="385"/>
        <w:jc w:val="both"/>
        <w:rPr>
          <w:color w:val="auto"/>
          <w:sz w:val="22"/>
          <w:szCs w:val="22"/>
        </w:rPr>
      </w:pPr>
      <w:r>
        <w:rPr>
          <w:color w:val="auto"/>
          <w:sz w:val="22"/>
        </w:rPr>
        <w:lastRenderedPageBreak/>
        <w:t xml:space="preserve">L’autorité responsable de la prise de mesures et de l'application de sanctions administratives en cas d’infractions aux règlements REACH et CLP, pour lesquelles s’appliquent des dispositions spécifiques, est le Laboratoire général de chimie de l’État. </w:t>
      </w:r>
    </w:p>
    <w:p w:rsidR="00247089" w:rsidRPr="003A61F6" w:rsidRDefault="00247089" w:rsidP="00AD793E">
      <w:pPr>
        <w:pStyle w:val="Default"/>
        <w:numPr>
          <w:ilvl w:val="0"/>
          <w:numId w:val="37"/>
        </w:numPr>
        <w:spacing w:before="120" w:after="120"/>
        <w:ind w:left="540" w:hanging="385"/>
        <w:jc w:val="both"/>
        <w:rPr>
          <w:color w:val="auto"/>
          <w:sz w:val="22"/>
          <w:szCs w:val="22"/>
        </w:rPr>
      </w:pPr>
      <w:r>
        <w:rPr>
          <w:color w:val="auto"/>
          <w:sz w:val="22"/>
        </w:rPr>
        <w:t>En cas de non-respect des obligations des opérateurs économiques, des sanctions sont appliquées par le secrétariat général à l’industrie.</w:t>
      </w:r>
    </w:p>
    <w:p w:rsidR="00247089" w:rsidRPr="003A61F6" w:rsidRDefault="00247089" w:rsidP="00AD793E">
      <w:pPr>
        <w:pStyle w:val="Default"/>
        <w:numPr>
          <w:ilvl w:val="0"/>
          <w:numId w:val="37"/>
        </w:numPr>
        <w:spacing w:before="120" w:after="120"/>
        <w:ind w:left="540" w:hanging="385"/>
        <w:jc w:val="both"/>
        <w:rPr>
          <w:color w:val="auto"/>
          <w:sz w:val="22"/>
          <w:szCs w:val="22"/>
        </w:rPr>
      </w:pPr>
      <w:r>
        <w:rPr>
          <w:color w:val="auto"/>
          <w:sz w:val="22"/>
        </w:rPr>
        <w:t>Les mesures éventuellement prises par le Laboratoire général de chimie de l’État dans les cas d’infractions aux règlements REACH et CLP ne dispensent pas de la prise de mesures supplémentaires ou de sanctions administratives et financières par le secrétariat général à l’industrie pour le non-respect des dispositions de son ressort.</w:t>
      </w:r>
    </w:p>
    <w:p w:rsidR="00247089" w:rsidRPr="003A61F6" w:rsidRDefault="00247089" w:rsidP="00AD793E">
      <w:pPr>
        <w:pStyle w:val="Default"/>
        <w:numPr>
          <w:ilvl w:val="0"/>
          <w:numId w:val="37"/>
        </w:numPr>
        <w:spacing w:before="120" w:after="120"/>
        <w:ind w:left="540" w:hanging="385"/>
        <w:jc w:val="both"/>
        <w:rPr>
          <w:color w:val="auto"/>
          <w:sz w:val="22"/>
          <w:szCs w:val="22"/>
        </w:rPr>
      </w:pPr>
      <w:r>
        <w:rPr>
          <w:color w:val="auto"/>
          <w:sz w:val="22"/>
        </w:rPr>
        <w:t>Les cas de refus de coopération avec les autorités compétentes de la surveillance du marché pour l’adoption de mesures correctives sont transmis aux autorités judiciaires compétentes afin qu’elles enquêtent sur les responsabilités pénales des opérateurs économiques responsables.</w:t>
      </w:r>
    </w:p>
    <w:p w:rsidR="00247089" w:rsidRPr="003A61F6" w:rsidRDefault="00247089" w:rsidP="00AD793E">
      <w:pPr>
        <w:tabs>
          <w:tab w:val="left" w:pos="1156"/>
        </w:tabs>
        <w:ind w:right="6"/>
        <w:jc w:val="center"/>
        <w:rPr>
          <w:rFonts w:ascii="Times New Roman" w:hAnsi="Times New Roman"/>
          <w:b/>
          <w:sz w:val="22"/>
          <w:szCs w:val="22"/>
          <w:lang w:val="el-GR"/>
        </w:rPr>
      </w:pPr>
    </w:p>
    <w:p w:rsidR="00247089" w:rsidRPr="003A61F6" w:rsidRDefault="00943836" w:rsidP="00AD793E">
      <w:pPr>
        <w:tabs>
          <w:tab w:val="left" w:pos="1156"/>
        </w:tabs>
        <w:ind w:right="6"/>
        <w:jc w:val="center"/>
        <w:rPr>
          <w:rFonts w:ascii="Times New Roman" w:hAnsi="Times New Roman"/>
          <w:b/>
          <w:sz w:val="22"/>
          <w:szCs w:val="22"/>
        </w:rPr>
      </w:pPr>
      <w:r>
        <w:rPr>
          <w:rFonts w:ascii="Times New Roman" w:hAnsi="Times New Roman"/>
          <w:b/>
          <w:sz w:val="22"/>
        </w:rPr>
        <w:t>Article 11</w:t>
      </w:r>
    </w:p>
    <w:p w:rsidR="00247089" w:rsidRPr="003A61F6" w:rsidRDefault="00247089" w:rsidP="00771DFA">
      <w:pPr>
        <w:spacing w:line="251" w:lineRule="exact"/>
        <w:ind w:right="6"/>
        <w:jc w:val="center"/>
        <w:rPr>
          <w:rFonts w:ascii="Times New Roman" w:hAnsi="Times New Roman"/>
          <w:sz w:val="22"/>
          <w:szCs w:val="22"/>
        </w:rPr>
      </w:pPr>
      <w:r>
        <w:rPr>
          <w:rFonts w:ascii="Times New Roman" w:hAnsi="Times New Roman"/>
          <w:sz w:val="22"/>
        </w:rPr>
        <w:t>Réalisation d'études - Progrès techniques</w:t>
      </w:r>
      <w:bookmarkStart w:id="0" w:name="_GoBack"/>
      <w:bookmarkEnd w:id="0"/>
    </w:p>
    <w:p w:rsidR="00247089" w:rsidRPr="003A61F6" w:rsidRDefault="00247089" w:rsidP="00AD793E">
      <w:pPr>
        <w:pStyle w:val="ListParagraph"/>
        <w:widowControl/>
        <w:numPr>
          <w:ilvl w:val="0"/>
          <w:numId w:val="16"/>
        </w:numPr>
        <w:spacing w:before="122"/>
        <w:ind w:left="540" w:right="106" w:hanging="385"/>
      </w:pPr>
      <w:r>
        <w:t>À compter de l’entrée en vigueur du présent arrêté, le secrétariat général à l’industrie peut confier la réalisation d’études scientifiques pour l’évaluation de l’impact et des risques que peut entraîner l’utilisation des produits de l’article 1er, en tenant compte des conditions particulières d’utilisation des produits en question (vieillissement des matériaux, mode d’entretien, conditions climatiques notamment pendant les périodes de températures élevées et d’humidité, etc.).</w:t>
      </w:r>
    </w:p>
    <w:p w:rsidR="00247089" w:rsidRPr="003A61F6" w:rsidRDefault="00247089" w:rsidP="00AD793E">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rPr>
        <w:t>Des études analogues peuvent être effectuées pour la mise sur le marché de produits innovants ou pour l’adaptation des produits au progrès technique.</w:t>
      </w:r>
    </w:p>
    <w:p w:rsidR="00247089" w:rsidRPr="003A61F6" w:rsidRDefault="00247089" w:rsidP="00AD793E">
      <w:pPr>
        <w:pStyle w:val="ListParagraph"/>
        <w:widowControl/>
        <w:numPr>
          <w:ilvl w:val="0"/>
          <w:numId w:val="16"/>
        </w:numPr>
        <w:spacing w:before="121"/>
        <w:ind w:left="540" w:right="108" w:hanging="385"/>
      </w:pPr>
      <w:r>
        <w:t>Les résultats de ces études sont évalués et constituent une base pour l’adoption de mesures de prévention contre les risques éventuels, à condition qu’elles ne s’opposent pas à la législation communautaire en vigueur.</w:t>
      </w:r>
    </w:p>
    <w:p w:rsidR="00247089" w:rsidRPr="003A61F6" w:rsidRDefault="00247089" w:rsidP="00AD793E">
      <w:pPr>
        <w:pStyle w:val="BodyText"/>
        <w:spacing w:before="9"/>
        <w:rPr>
          <w:rFonts w:ascii="Times New Roman" w:hAnsi="Times New Roman"/>
          <w:sz w:val="22"/>
          <w:szCs w:val="22"/>
          <w:lang w:val="el-GR"/>
        </w:rPr>
      </w:pPr>
    </w:p>
    <w:p w:rsidR="00247089" w:rsidRPr="003A61F6" w:rsidRDefault="00943836" w:rsidP="00AD793E">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rPr>
        <w:t>Article 12</w:t>
      </w:r>
    </w:p>
    <w:p w:rsidR="00247089" w:rsidRPr="003A61F6" w:rsidRDefault="00247089" w:rsidP="00AD793E">
      <w:pPr>
        <w:spacing w:line="251" w:lineRule="exact"/>
        <w:ind w:right="6"/>
        <w:jc w:val="center"/>
        <w:rPr>
          <w:rFonts w:ascii="Times New Roman" w:hAnsi="Times New Roman"/>
          <w:sz w:val="22"/>
          <w:szCs w:val="22"/>
        </w:rPr>
      </w:pPr>
      <w:r>
        <w:rPr>
          <w:rFonts w:ascii="Times New Roman" w:hAnsi="Times New Roman"/>
          <w:sz w:val="22"/>
        </w:rPr>
        <w:t>Dispositions transitoires</w:t>
      </w:r>
    </w:p>
    <w:p w:rsidR="00247089" w:rsidRPr="003A61F6" w:rsidRDefault="00247089" w:rsidP="00AD793E">
      <w:pPr>
        <w:pStyle w:val="ListParagraph"/>
        <w:widowControl/>
        <w:numPr>
          <w:ilvl w:val="0"/>
          <w:numId w:val="15"/>
        </w:numPr>
        <w:ind w:left="540" w:right="105" w:hanging="385"/>
      </w:pPr>
      <w:r>
        <w:t>Dans un délai de six (6) mois à compter de l’application des dispositions du présent arrêté, les fabricants et les importateurs de produits issus de la transformation de matériaux élastomères destinés aux usages de l’annexe I devront se procurer les certificats appropriés de conformité correspondants. Les certifications sont annexées à la déclaration de conformité de l’article 4.</w:t>
      </w:r>
    </w:p>
    <w:p w:rsidR="00247089" w:rsidRPr="003A61F6" w:rsidRDefault="00247089" w:rsidP="00AD793E">
      <w:pPr>
        <w:pStyle w:val="ListParagraph"/>
        <w:widowControl/>
        <w:numPr>
          <w:ilvl w:val="0"/>
          <w:numId w:val="15"/>
        </w:numPr>
        <w:spacing w:before="119"/>
        <w:ind w:left="540" w:right="106" w:hanging="385"/>
      </w:pPr>
      <w:r>
        <w:t>Dans un délai de six (6) mois à compter de l’application des dispositions du présent arrêté, les fabricants et les importateurs de produits issus de la transformation de matériaux élastomères destinés aux usages de l’annexe I devront soumettre aux autorités de surveillance du marché une documentation établissant la conformité aux exigences du présent arrêté.</w:t>
      </w:r>
    </w:p>
    <w:p w:rsidR="00247089" w:rsidRPr="003A61F6" w:rsidRDefault="00247089" w:rsidP="00AD793E">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sz w:val="22"/>
        </w:rPr>
        <w:t>Les certificats de gestion environnementale ou de gestion de la qualité ou tout autre certificat et attestation émis avant l’établissement du présent et qui concernent des procédures de transformation et de conformité des produits de l’article 1er ne sont pas valides.</w:t>
      </w:r>
    </w:p>
    <w:p w:rsidR="00247089" w:rsidRPr="003A61F6" w:rsidRDefault="00247089" w:rsidP="00AD793E">
      <w:pPr>
        <w:pStyle w:val="ListParagraph"/>
        <w:widowControl/>
        <w:numPr>
          <w:ilvl w:val="0"/>
          <w:numId w:val="15"/>
        </w:numPr>
        <w:spacing w:before="119"/>
        <w:ind w:left="540" w:right="107" w:hanging="385"/>
      </w:pPr>
      <w:r>
        <w:t>Les produits issus de la transformation de matériaux élastomères qui relèvent du champ d’application de l’annexe Ι, mais qui sont déjà installés ou en usage et en fonctionnement avant la date d'entrée en vigueur du présent arrêté, sont exemptés des obligations de celui-ci.</w:t>
      </w:r>
    </w:p>
    <w:p w:rsidR="00026EA7" w:rsidRPr="003A61F6" w:rsidRDefault="00026EA7" w:rsidP="00AD793E">
      <w:pPr>
        <w:tabs>
          <w:tab w:val="left" w:pos="1060"/>
        </w:tabs>
        <w:spacing w:line="250" w:lineRule="exact"/>
        <w:ind w:right="6"/>
        <w:jc w:val="center"/>
        <w:rPr>
          <w:rFonts w:ascii="Times New Roman" w:hAnsi="Times New Roman"/>
          <w:b/>
          <w:sz w:val="22"/>
          <w:szCs w:val="22"/>
          <w:lang w:val="el-GR"/>
        </w:rPr>
      </w:pPr>
    </w:p>
    <w:p w:rsidR="00247089" w:rsidRPr="003A61F6" w:rsidRDefault="00943836" w:rsidP="00AD793E">
      <w:pPr>
        <w:tabs>
          <w:tab w:val="left" w:pos="1060"/>
        </w:tabs>
        <w:spacing w:line="250" w:lineRule="exact"/>
        <w:ind w:right="6"/>
        <w:jc w:val="center"/>
        <w:rPr>
          <w:rFonts w:ascii="Times New Roman" w:hAnsi="Times New Roman"/>
          <w:b/>
          <w:sz w:val="22"/>
          <w:szCs w:val="22"/>
        </w:rPr>
      </w:pPr>
      <w:r>
        <w:rPr>
          <w:rFonts w:ascii="Times New Roman" w:hAnsi="Times New Roman"/>
          <w:b/>
          <w:sz w:val="22"/>
        </w:rPr>
        <w:t>Article 13</w:t>
      </w:r>
    </w:p>
    <w:p w:rsidR="00247089" w:rsidRPr="003A61F6" w:rsidRDefault="00247089" w:rsidP="00AD793E">
      <w:pPr>
        <w:spacing w:line="250" w:lineRule="exact"/>
        <w:ind w:right="5"/>
        <w:jc w:val="center"/>
        <w:rPr>
          <w:rFonts w:ascii="Times New Roman" w:hAnsi="Times New Roman"/>
          <w:sz w:val="22"/>
          <w:szCs w:val="22"/>
        </w:rPr>
      </w:pPr>
      <w:r>
        <w:rPr>
          <w:rFonts w:ascii="Times New Roman" w:hAnsi="Times New Roman"/>
          <w:sz w:val="22"/>
        </w:rPr>
        <w:t>Entrée en vigueur</w:t>
      </w:r>
    </w:p>
    <w:p w:rsidR="00247089" w:rsidRPr="003A61F6" w:rsidRDefault="00247089" w:rsidP="00AD793E">
      <w:pPr>
        <w:pStyle w:val="ListParagraph"/>
        <w:widowControl/>
        <w:numPr>
          <w:ilvl w:val="0"/>
          <w:numId w:val="14"/>
        </w:numPr>
        <w:ind w:left="547" w:hanging="547"/>
      </w:pPr>
      <w:r>
        <w:t>Le présent arrêté entre en vigueur à compter de sa publication au Journal officiel de la République hellénique.</w:t>
      </w:r>
    </w:p>
    <w:p w:rsidR="00247089" w:rsidRPr="003A61F6" w:rsidRDefault="00247089" w:rsidP="00AD793E">
      <w:pPr>
        <w:pStyle w:val="ListParagraph"/>
        <w:widowControl/>
        <w:numPr>
          <w:ilvl w:val="0"/>
          <w:numId w:val="14"/>
        </w:numPr>
        <w:spacing w:before="72"/>
        <w:ind w:left="540" w:hanging="540"/>
      </w:pPr>
      <w:r>
        <w:t>Les annexes font partie intégrante du présent arrêté.</w:t>
      </w:r>
    </w:p>
    <w:p w:rsidR="00247089" w:rsidRPr="003A61F6" w:rsidRDefault="00247089" w:rsidP="00AD793E">
      <w:pPr>
        <w:pStyle w:val="ListParagraph"/>
        <w:widowControl/>
        <w:numPr>
          <w:ilvl w:val="0"/>
          <w:numId w:val="14"/>
        </w:numPr>
        <w:spacing w:before="119"/>
        <w:ind w:left="540" w:hanging="540"/>
      </w:pPr>
      <w:r>
        <w:t>Le présent arrêté doit être publié au Journal officiel de la République hellénique.</w:t>
      </w:r>
    </w:p>
    <w:p w:rsidR="00247089" w:rsidRPr="003A61F6" w:rsidRDefault="00247089" w:rsidP="00AD793E">
      <w:pPr>
        <w:pStyle w:val="BodyText"/>
        <w:spacing w:before="1"/>
        <w:ind w:right="352"/>
        <w:jc w:val="center"/>
        <w:rPr>
          <w:rFonts w:ascii="Times New Roman" w:hAnsi="Times New Roman"/>
          <w:sz w:val="22"/>
          <w:szCs w:val="22"/>
          <w:lang w:val="el-GR"/>
        </w:rPr>
      </w:pPr>
    </w:p>
    <w:p w:rsidR="00247089" w:rsidRPr="003A61F6" w:rsidRDefault="00247089" w:rsidP="00AD793E">
      <w:pPr>
        <w:pStyle w:val="BodyText"/>
        <w:spacing w:before="1"/>
        <w:ind w:right="352" w:firstLine="102"/>
        <w:jc w:val="center"/>
        <w:rPr>
          <w:rFonts w:ascii="Times New Roman" w:hAnsi="Times New Roman"/>
          <w:sz w:val="22"/>
          <w:szCs w:val="22"/>
        </w:rPr>
      </w:pPr>
      <w:r>
        <w:rPr>
          <w:rFonts w:ascii="Times New Roman" w:hAnsi="Times New Roman"/>
          <w:sz w:val="22"/>
        </w:rPr>
        <w:lastRenderedPageBreak/>
        <w:t>Athènes, le 3.9.2020</w:t>
      </w:r>
    </w:p>
    <w:p w:rsidR="00026EA7" w:rsidRPr="003A61F6" w:rsidRDefault="00026EA7" w:rsidP="00AD793E">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7"/>
        <w:gridCol w:w="4802"/>
      </w:tblGrid>
      <w:tr w:rsidR="003A61F6" w:rsidRPr="00DC516E" w:rsidTr="0043166F">
        <w:tc>
          <w:tcPr>
            <w:tcW w:w="4873" w:type="dxa"/>
            <w:tcBorders>
              <w:top w:val="nil"/>
              <w:left w:val="nil"/>
              <w:bottom w:val="nil"/>
              <w:right w:val="nil"/>
            </w:tcBorders>
          </w:tcPr>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 xml:space="preserve">LE MINISTRE DU DÉVELOPPEMENT </w:t>
            </w: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 xml:space="preserve">ET DES INVESTISSEMENTS </w:t>
            </w:r>
          </w:p>
          <w:p w:rsidR="00026EA7" w:rsidRPr="003A61F6" w:rsidRDefault="00026EA7" w:rsidP="00AD793E">
            <w:pPr>
              <w:pStyle w:val="BodyText"/>
              <w:spacing w:before="1"/>
              <w:ind w:right="352"/>
              <w:jc w:val="center"/>
              <w:rPr>
                <w:rFonts w:ascii="Times New Roman" w:hAnsi="Times New Roman"/>
                <w:sz w:val="22"/>
                <w:szCs w:val="22"/>
                <w:lang w:val="el-GR"/>
              </w:rPr>
            </w:pP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SPYRIDON-ADONIS GEORGIADIS</w:t>
            </w:r>
          </w:p>
        </w:tc>
        <w:tc>
          <w:tcPr>
            <w:tcW w:w="4873" w:type="dxa"/>
            <w:tcBorders>
              <w:top w:val="nil"/>
              <w:left w:val="nil"/>
              <w:bottom w:val="nil"/>
              <w:right w:val="nil"/>
            </w:tcBorders>
          </w:tcPr>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LE MINISTRE DE L’ENVIRONNEMENT</w:t>
            </w: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ET DE L’ÉNERGIE</w:t>
            </w:r>
          </w:p>
          <w:p w:rsidR="00026EA7" w:rsidRPr="003A61F6" w:rsidRDefault="00026EA7" w:rsidP="00AD793E">
            <w:pPr>
              <w:pStyle w:val="BodyText"/>
              <w:spacing w:before="1"/>
              <w:ind w:right="352"/>
              <w:jc w:val="center"/>
              <w:rPr>
                <w:rFonts w:ascii="Times New Roman" w:hAnsi="Times New Roman"/>
                <w:sz w:val="22"/>
                <w:szCs w:val="22"/>
                <w:lang w:val="el-GR"/>
              </w:rPr>
            </w:pP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KOSTIS HATZIDAKIS</w:t>
            </w:r>
          </w:p>
        </w:tc>
      </w:tr>
      <w:tr w:rsidR="003A61F6" w:rsidRPr="00DC516E" w:rsidTr="0043166F">
        <w:tc>
          <w:tcPr>
            <w:tcW w:w="9746" w:type="dxa"/>
            <w:gridSpan w:val="2"/>
            <w:tcBorders>
              <w:top w:val="nil"/>
              <w:left w:val="nil"/>
              <w:bottom w:val="nil"/>
              <w:right w:val="nil"/>
            </w:tcBorders>
          </w:tcPr>
          <w:p w:rsidR="00026EA7" w:rsidRPr="003A61F6" w:rsidRDefault="00026EA7" w:rsidP="00AD793E">
            <w:pPr>
              <w:pStyle w:val="BodyText"/>
              <w:spacing w:before="1"/>
              <w:ind w:right="352"/>
              <w:jc w:val="center"/>
              <w:rPr>
                <w:rFonts w:ascii="Times New Roman" w:hAnsi="Times New Roman"/>
                <w:sz w:val="22"/>
                <w:szCs w:val="22"/>
                <w:lang w:val="el-GR"/>
              </w:rPr>
            </w:pP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 xml:space="preserve">LE SECRÉTAIRE D’ÉTAT AUX FINANCES </w:t>
            </w:r>
          </w:p>
          <w:p w:rsidR="00026EA7" w:rsidRPr="003A61F6" w:rsidRDefault="00026EA7" w:rsidP="00AD793E">
            <w:pPr>
              <w:pStyle w:val="BodyText"/>
              <w:spacing w:before="1"/>
              <w:ind w:right="352"/>
              <w:jc w:val="center"/>
              <w:rPr>
                <w:rFonts w:ascii="Times New Roman" w:hAnsi="Times New Roman"/>
                <w:sz w:val="22"/>
                <w:szCs w:val="22"/>
                <w:lang w:val="el-GR"/>
              </w:rPr>
            </w:pPr>
          </w:p>
          <w:p w:rsidR="00026EA7" w:rsidRPr="003A61F6" w:rsidRDefault="00026EA7" w:rsidP="00AD793E">
            <w:pPr>
              <w:pStyle w:val="BodyText"/>
              <w:spacing w:before="1"/>
              <w:ind w:right="352"/>
              <w:jc w:val="center"/>
              <w:rPr>
                <w:rFonts w:ascii="Times New Roman" w:hAnsi="Times New Roman"/>
                <w:sz w:val="22"/>
                <w:szCs w:val="22"/>
              </w:rPr>
            </w:pPr>
            <w:r>
              <w:rPr>
                <w:rFonts w:ascii="Times New Roman" w:hAnsi="Times New Roman"/>
                <w:sz w:val="22"/>
              </w:rPr>
              <w:t>APOSTOLOS VESSIROPOULOS</w:t>
            </w:r>
          </w:p>
        </w:tc>
      </w:tr>
    </w:tbl>
    <w:p w:rsidR="00247089" w:rsidRPr="003A61F6" w:rsidRDefault="00247089" w:rsidP="00AD793E">
      <w:pPr>
        <w:pStyle w:val="BodyText"/>
        <w:spacing w:before="1"/>
        <w:ind w:right="352"/>
        <w:jc w:val="both"/>
        <w:rPr>
          <w:rFonts w:ascii="Times New Roman" w:hAnsi="Times New Roman"/>
          <w:sz w:val="22"/>
          <w:szCs w:val="22"/>
          <w:lang w:val="el-GR"/>
        </w:rPr>
      </w:pPr>
    </w:p>
    <w:p w:rsidR="00247089" w:rsidRPr="003A61F6" w:rsidRDefault="00247089" w:rsidP="00AD793E">
      <w:pPr>
        <w:pStyle w:val="BodyText"/>
        <w:spacing w:before="1"/>
        <w:ind w:right="352"/>
        <w:jc w:val="both"/>
        <w:rPr>
          <w:rFonts w:ascii="Times New Roman" w:hAnsi="Times New Roman"/>
          <w:sz w:val="22"/>
          <w:szCs w:val="22"/>
          <w:lang w:val="el-GR"/>
        </w:rPr>
      </w:pPr>
    </w:p>
    <w:p w:rsidR="008A6100" w:rsidRPr="003A61F6" w:rsidRDefault="00151F87" w:rsidP="00AD793E">
      <w:pPr>
        <w:ind w:right="42"/>
        <w:jc w:val="both"/>
        <w:rPr>
          <w:rFonts w:ascii="Times New Roman" w:hAnsi="Times New Roman"/>
          <w:b/>
          <w:sz w:val="24"/>
          <w:szCs w:val="24"/>
        </w:rPr>
      </w:pPr>
      <w:r>
        <w:rPr>
          <w:rFonts w:ascii="Times New Roman" w:hAnsi="Times New Roman"/>
          <w:noProof/>
          <w:sz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[CACHET DE COPIE CONFORME]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[CACHET DE COPIE CONFORME]</w:t>
                      </w:r>
                    </w:p>
                  </w:txbxContent>
                </v:textbox>
              </v:shape>
            </w:pict>
          </mc:Fallback>
        </mc:AlternateContent>
      </w:r>
    </w:p>
    <w:p w:rsidR="008A6100" w:rsidRPr="003A61F6" w:rsidRDefault="008A6100" w:rsidP="00AD793E">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AD793E">
            <w:pPr>
              <w:ind w:left="-851" w:right="-99"/>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DB520C" w:rsidRPr="003A61F6" w:rsidRDefault="00A01F2C" w:rsidP="00AD793E">
            <w:pPr>
              <w:ind w:left="-851" w:right="-99"/>
              <w:jc w:val="both"/>
              <w:rPr>
                <w:rFonts w:ascii="Times New Roman" w:hAnsi="Times New Roman"/>
                <w:sz w:val="24"/>
                <w:szCs w:val="24"/>
              </w:rPr>
            </w:pPr>
            <w:r>
              <w:rPr>
                <w:rFonts w:ascii="Times New Roman" w:hAnsi="Times New Roman"/>
                <w:sz w:val="24"/>
              </w:rPr>
              <w:t xml:space="preserve">  </w:t>
            </w:r>
          </w:p>
          <w:p w:rsidR="00DB520C" w:rsidRPr="003A61F6" w:rsidRDefault="00DB520C" w:rsidP="00AD793E">
            <w:pPr>
              <w:ind w:left="-851" w:right="-99"/>
              <w:jc w:val="both"/>
              <w:rPr>
                <w:rFonts w:ascii="Times New Roman" w:hAnsi="Times New Roman"/>
                <w:sz w:val="24"/>
                <w:szCs w:val="24"/>
                <w:lang w:val="el-GR"/>
              </w:rPr>
            </w:pPr>
          </w:p>
        </w:tc>
        <w:tc>
          <w:tcPr>
            <w:tcW w:w="5253" w:type="dxa"/>
            <w:gridSpan w:val="2"/>
          </w:tcPr>
          <w:p w:rsidR="00DB520C" w:rsidRPr="003A61F6" w:rsidRDefault="00DB520C" w:rsidP="00AD793E">
            <w:pPr>
              <w:spacing w:line="360" w:lineRule="auto"/>
              <w:ind w:left="33" w:right="42"/>
              <w:jc w:val="center"/>
              <w:rPr>
                <w:rFonts w:ascii="Times New Roman" w:hAnsi="Times New Roman"/>
                <w:bCs/>
                <w:iCs/>
                <w:sz w:val="24"/>
                <w:szCs w:val="24"/>
                <w:lang w:val="el-GR"/>
              </w:rPr>
            </w:pPr>
          </w:p>
        </w:tc>
      </w:tr>
      <w:tr w:rsidR="003A61F6" w:rsidRPr="00DC516E" w:rsidTr="008A6100">
        <w:trPr>
          <w:gridAfter w:val="1"/>
          <w:wAfter w:w="9" w:type="dxa"/>
        </w:trPr>
        <w:tc>
          <w:tcPr>
            <w:tcW w:w="9923" w:type="dxa"/>
            <w:gridSpan w:val="2"/>
          </w:tcPr>
          <w:p w:rsidR="00CB1F6D" w:rsidRPr="003A61F6" w:rsidRDefault="00CB1F6D" w:rsidP="00AD793E">
            <w:pPr>
              <w:ind w:right="-99"/>
              <w:jc w:val="both"/>
              <w:rPr>
                <w:rFonts w:ascii="Times New Roman" w:hAnsi="Times New Roman"/>
                <w:b/>
                <w:sz w:val="24"/>
                <w:szCs w:val="24"/>
                <w:lang w:val="el-GR"/>
              </w:rPr>
            </w:pPr>
          </w:p>
          <w:p w:rsidR="00DB520C" w:rsidRPr="003A61F6" w:rsidRDefault="0072107F" w:rsidP="00AD793E">
            <w:pPr>
              <w:ind w:right="-99"/>
              <w:jc w:val="both"/>
              <w:rPr>
                <w:rFonts w:ascii="Times New Roman" w:hAnsi="Times New Roman"/>
                <w:b/>
                <w:sz w:val="24"/>
                <w:szCs w:val="24"/>
              </w:rPr>
            </w:pPr>
            <w:r>
              <w:rPr>
                <w:rFonts w:ascii="Times New Roman" w:hAnsi="Times New Roman"/>
                <w:b/>
                <w:sz w:val="24"/>
              </w:rPr>
              <w:t xml:space="preserve"> </w:t>
            </w:r>
          </w:p>
        </w:tc>
      </w:tr>
      <w:tr w:rsidR="003A61F6" w:rsidRPr="00DC516E" w:rsidTr="008A6100">
        <w:trPr>
          <w:gridAfter w:val="1"/>
          <w:wAfter w:w="9" w:type="dxa"/>
        </w:trPr>
        <w:tc>
          <w:tcPr>
            <w:tcW w:w="9923" w:type="dxa"/>
            <w:gridSpan w:val="2"/>
          </w:tcPr>
          <w:p w:rsidR="00DB520C" w:rsidRPr="003A61F6" w:rsidRDefault="00DB520C" w:rsidP="00AD793E">
            <w:pPr>
              <w:ind w:right="-99"/>
              <w:jc w:val="center"/>
              <w:rPr>
                <w:rFonts w:ascii="Times New Roman" w:hAnsi="Times New Roman"/>
                <w:b/>
                <w:sz w:val="24"/>
                <w:szCs w:val="24"/>
                <w:lang w:val="el-GR"/>
              </w:rPr>
            </w:pPr>
          </w:p>
        </w:tc>
      </w:tr>
    </w:tbl>
    <w:p w:rsidR="00DB520C" w:rsidRPr="003A61F6" w:rsidRDefault="00DB520C" w:rsidP="00AD793E">
      <w:pPr>
        <w:ind w:left="-851" w:right="-99"/>
        <w:jc w:val="both"/>
        <w:rPr>
          <w:rFonts w:ascii="Times New Roman" w:hAnsi="Times New Roman"/>
          <w:b/>
          <w:sz w:val="24"/>
          <w:szCs w:val="24"/>
          <w:lang w:val="el-GR"/>
        </w:rPr>
      </w:pPr>
    </w:p>
    <w:p w:rsidR="00026EA7" w:rsidRPr="003A61F6" w:rsidRDefault="00026EA7" w:rsidP="00AD793E">
      <w:pPr>
        <w:ind w:left="-851" w:right="-99"/>
        <w:jc w:val="both"/>
        <w:rPr>
          <w:rFonts w:ascii="Times New Roman" w:hAnsi="Times New Roman"/>
          <w:b/>
          <w:sz w:val="24"/>
          <w:szCs w:val="24"/>
          <w:lang w:val="el-GR"/>
        </w:rPr>
      </w:pPr>
    </w:p>
    <w:p w:rsidR="00026EA7" w:rsidRPr="003A61F6" w:rsidRDefault="00026EA7" w:rsidP="00AD793E">
      <w:pPr>
        <w:pageBreakBefore/>
        <w:tabs>
          <w:tab w:val="left" w:pos="2064"/>
        </w:tabs>
        <w:spacing w:before="76"/>
        <w:jc w:val="center"/>
        <w:rPr>
          <w:rFonts w:ascii="Times New Roman" w:hAnsi="Times New Roman"/>
          <w:b/>
          <w:spacing w:val="60"/>
          <w:sz w:val="22"/>
          <w:szCs w:val="22"/>
        </w:rPr>
      </w:pPr>
      <w:r>
        <w:rPr>
          <w:rFonts w:ascii="Times New Roman" w:hAnsi="Times New Roman"/>
          <w:b/>
          <w:sz w:val="22"/>
        </w:rPr>
        <w:lastRenderedPageBreak/>
        <w:t>ANNEXE Ι</w:t>
      </w:r>
    </w:p>
    <w:p w:rsidR="00026EA7" w:rsidRPr="003A61F6" w:rsidRDefault="00026EA7" w:rsidP="00AD793E">
      <w:pPr>
        <w:pStyle w:val="BodyText"/>
        <w:rPr>
          <w:rFonts w:ascii="Times New Roman" w:hAnsi="Times New Roman"/>
          <w:b/>
          <w:sz w:val="22"/>
          <w:szCs w:val="22"/>
          <w:lang w:val="el-GR"/>
        </w:rPr>
      </w:pPr>
    </w:p>
    <w:p w:rsidR="00026EA7" w:rsidRPr="003A61F6" w:rsidRDefault="00026EA7" w:rsidP="00AD793E">
      <w:pPr>
        <w:pStyle w:val="BodyText"/>
        <w:spacing w:before="8"/>
        <w:rPr>
          <w:rFonts w:ascii="Times New Roman" w:hAnsi="Times New Roman"/>
          <w:b/>
          <w:sz w:val="22"/>
          <w:szCs w:val="22"/>
          <w:lang w:val="el-GR"/>
        </w:rPr>
      </w:pPr>
    </w:p>
    <w:p w:rsidR="00026EA7" w:rsidRPr="003A61F6" w:rsidRDefault="00026EA7" w:rsidP="00AD793E">
      <w:pPr>
        <w:ind w:left="1383"/>
        <w:rPr>
          <w:rFonts w:ascii="Times New Roman" w:hAnsi="Times New Roman"/>
          <w:b/>
          <w:sz w:val="22"/>
          <w:szCs w:val="22"/>
        </w:rPr>
      </w:pPr>
      <w:r>
        <w:rPr>
          <w:rFonts w:ascii="Times New Roman" w:hAnsi="Times New Roman"/>
          <w:b/>
          <w:sz w:val="22"/>
        </w:rPr>
        <w:t>Produits qui relèvent du champ d’application du présent arrêté</w:t>
      </w:r>
    </w:p>
    <w:p w:rsidR="00026EA7" w:rsidRPr="003A61F6" w:rsidRDefault="00026EA7" w:rsidP="00AD793E">
      <w:pPr>
        <w:pStyle w:val="BodyText"/>
        <w:spacing w:before="10"/>
        <w:rPr>
          <w:rFonts w:ascii="Times New Roman" w:hAnsi="Times New Roman"/>
          <w:b/>
          <w:sz w:val="22"/>
          <w:szCs w:val="22"/>
          <w:lang w:val="el-GR"/>
        </w:rPr>
      </w:pPr>
    </w:p>
    <w:p w:rsidR="00026EA7" w:rsidRPr="003A61F6" w:rsidRDefault="00026EA7" w:rsidP="00AD793E">
      <w:pPr>
        <w:pStyle w:val="BodyText"/>
        <w:spacing w:before="5"/>
        <w:rPr>
          <w:rFonts w:ascii="Times New Roman" w:hAnsi="Times New Roman"/>
          <w:strike/>
          <w:sz w:val="22"/>
          <w:szCs w:val="22"/>
          <w:lang w:val="el-GR"/>
        </w:rPr>
      </w:pPr>
    </w:p>
    <w:p w:rsidR="00026EA7" w:rsidRPr="003A61F6" w:rsidRDefault="00026EA7" w:rsidP="00AD793E">
      <w:pPr>
        <w:pStyle w:val="ListParagraph"/>
        <w:widowControl/>
        <w:numPr>
          <w:ilvl w:val="0"/>
          <w:numId w:val="13"/>
        </w:numPr>
        <w:spacing w:before="1" w:line="240" w:lineRule="atLeast"/>
        <w:ind w:left="360" w:right="108" w:hanging="360"/>
      </w:pPr>
      <w:r>
        <w:t xml:space="preserve">Carrelage issu de la transformation de matériaux élastomères pour: </w:t>
      </w:r>
    </w:p>
    <w:p w:rsidR="00026EA7" w:rsidRPr="003A61F6" w:rsidRDefault="00026EA7" w:rsidP="00AD793E">
      <w:pPr>
        <w:pStyle w:val="BodyText"/>
        <w:spacing w:before="8" w:line="240" w:lineRule="atLeast"/>
        <w:rPr>
          <w:rFonts w:ascii="Times New Roman" w:hAnsi="Times New Roman"/>
          <w:sz w:val="22"/>
          <w:szCs w:val="22"/>
          <w:lang w:val="el-GR"/>
        </w:rPr>
      </w:pPr>
    </w:p>
    <w:p w:rsidR="00026EA7" w:rsidRPr="003A61F6" w:rsidRDefault="00026EA7" w:rsidP="00AD793E">
      <w:pPr>
        <w:pStyle w:val="ListParagraph"/>
        <w:widowControl/>
        <w:numPr>
          <w:ilvl w:val="1"/>
          <w:numId w:val="13"/>
        </w:numPr>
        <w:tabs>
          <w:tab w:val="left" w:pos="745"/>
          <w:tab w:val="left" w:pos="746"/>
        </w:tabs>
        <w:spacing w:before="1" w:line="240" w:lineRule="atLeast"/>
        <w:jc w:val="left"/>
        <w:rPr>
          <w:i/>
        </w:rPr>
      </w:pPr>
      <w:r>
        <w:rPr>
          <w:i/>
        </w:rPr>
        <w:t>aires de jeux</w:t>
      </w:r>
    </w:p>
    <w:p w:rsidR="00026EA7" w:rsidRPr="003A61F6" w:rsidRDefault="00026EA7" w:rsidP="00AD793E">
      <w:pPr>
        <w:pStyle w:val="BodyText"/>
        <w:spacing w:before="9" w:line="240" w:lineRule="atLeast"/>
        <w:rPr>
          <w:rFonts w:ascii="Times New Roman" w:hAnsi="Times New Roman"/>
          <w:i/>
          <w:sz w:val="22"/>
          <w:szCs w:val="22"/>
        </w:rPr>
      </w:pPr>
    </w:p>
    <w:p w:rsidR="00026EA7" w:rsidRPr="003A61F6" w:rsidRDefault="00026EA7" w:rsidP="00AD793E">
      <w:pPr>
        <w:pStyle w:val="ListParagraph"/>
        <w:widowControl/>
        <w:numPr>
          <w:ilvl w:val="1"/>
          <w:numId w:val="13"/>
        </w:numPr>
        <w:tabs>
          <w:tab w:val="left" w:pos="745"/>
          <w:tab w:val="left" w:pos="746"/>
        </w:tabs>
        <w:spacing w:before="0" w:line="240" w:lineRule="atLeast"/>
        <w:jc w:val="left"/>
        <w:rPr>
          <w:i/>
        </w:rPr>
      </w:pPr>
      <w:r>
        <w:rPr>
          <w:i/>
        </w:rPr>
        <w:t>terrains de jeux</w:t>
      </w:r>
    </w:p>
    <w:p w:rsidR="00026EA7" w:rsidRPr="003A61F6" w:rsidRDefault="00026EA7" w:rsidP="00AD793E">
      <w:pPr>
        <w:pStyle w:val="BodyText"/>
        <w:spacing w:before="10" w:line="240" w:lineRule="atLeast"/>
        <w:rPr>
          <w:rFonts w:ascii="Times New Roman" w:hAnsi="Times New Roman"/>
          <w:i/>
          <w:sz w:val="22"/>
          <w:szCs w:val="22"/>
        </w:rPr>
      </w:pPr>
    </w:p>
    <w:p w:rsidR="00026EA7" w:rsidRPr="003A61F6" w:rsidRDefault="00026EA7" w:rsidP="00AD793E">
      <w:pPr>
        <w:pStyle w:val="ListParagraph"/>
        <w:widowControl/>
        <w:numPr>
          <w:ilvl w:val="1"/>
          <w:numId w:val="13"/>
        </w:numPr>
        <w:tabs>
          <w:tab w:val="left" w:pos="745"/>
          <w:tab w:val="left" w:pos="746"/>
        </w:tabs>
        <w:spacing w:before="0" w:line="240" w:lineRule="atLeast"/>
        <w:jc w:val="left"/>
        <w:rPr>
          <w:i/>
        </w:rPr>
      </w:pPr>
      <w:r>
        <w:rPr>
          <w:i/>
        </w:rPr>
        <w:t>écoles,</w:t>
      </w:r>
    </w:p>
    <w:p w:rsidR="00026EA7" w:rsidRPr="003A61F6" w:rsidRDefault="00026EA7" w:rsidP="00AD793E">
      <w:pPr>
        <w:pStyle w:val="BodyText"/>
        <w:spacing w:before="9" w:line="240" w:lineRule="atLeast"/>
        <w:rPr>
          <w:rFonts w:ascii="Times New Roman" w:hAnsi="Times New Roman"/>
          <w:i/>
          <w:sz w:val="22"/>
          <w:szCs w:val="22"/>
        </w:rPr>
      </w:pPr>
    </w:p>
    <w:p w:rsidR="00026EA7" w:rsidRPr="003A61F6" w:rsidRDefault="00026EA7" w:rsidP="00AD793E">
      <w:pPr>
        <w:pStyle w:val="ListParagraph"/>
        <w:widowControl/>
        <w:numPr>
          <w:ilvl w:val="1"/>
          <w:numId w:val="13"/>
        </w:numPr>
        <w:tabs>
          <w:tab w:val="left" w:pos="745"/>
          <w:tab w:val="left" w:pos="746"/>
        </w:tabs>
        <w:spacing w:before="0" w:line="240" w:lineRule="atLeast"/>
        <w:jc w:val="left"/>
        <w:rPr>
          <w:i/>
        </w:rPr>
      </w:pPr>
      <w:r>
        <w:rPr>
          <w:i/>
        </w:rPr>
        <w:t>gymnases,</w:t>
      </w:r>
    </w:p>
    <w:p w:rsidR="00026EA7" w:rsidRPr="003A61F6" w:rsidRDefault="00026EA7" w:rsidP="00AD793E">
      <w:pPr>
        <w:pStyle w:val="BodyText"/>
        <w:spacing w:before="9" w:line="240" w:lineRule="atLeast"/>
        <w:rPr>
          <w:rFonts w:ascii="Times New Roman" w:hAnsi="Times New Roman"/>
          <w:i/>
          <w:sz w:val="22"/>
          <w:szCs w:val="22"/>
        </w:rPr>
      </w:pPr>
    </w:p>
    <w:p w:rsidR="00026EA7" w:rsidRPr="003A61F6" w:rsidRDefault="00026EA7" w:rsidP="00AD793E">
      <w:pPr>
        <w:pStyle w:val="ListParagraph"/>
        <w:widowControl/>
        <w:numPr>
          <w:ilvl w:val="1"/>
          <w:numId w:val="13"/>
        </w:numPr>
        <w:tabs>
          <w:tab w:val="left" w:pos="745"/>
          <w:tab w:val="left" w:pos="746"/>
        </w:tabs>
        <w:spacing w:before="0" w:line="240" w:lineRule="atLeast"/>
        <w:jc w:val="left"/>
        <w:rPr>
          <w:i/>
        </w:rPr>
      </w:pPr>
      <w:r>
        <w:rPr>
          <w:i/>
        </w:rPr>
        <w:t>terrains de sport, etc.</w:t>
      </w:r>
    </w:p>
    <w:p w:rsidR="00026EA7" w:rsidRPr="003A61F6" w:rsidRDefault="00026EA7" w:rsidP="00AD793E">
      <w:pPr>
        <w:pStyle w:val="BodyText"/>
        <w:spacing w:line="240" w:lineRule="atLeast"/>
        <w:rPr>
          <w:rFonts w:ascii="Times New Roman" w:hAnsi="Times New Roman"/>
          <w:i/>
          <w:sz w:val="22"/>
          <w:szCs w:val="22"/>
        </w:rPr>
      </w:pPr>
    </w:p>
    <w:p w:rsidR="00026EA7" w:rsidRPr="003A61F6" w:rsidRDefault="00026EA7" w:rsidP="00AD793E">
      <w:pPr>
        <w:pStyle w:val="BodyText"/>
        <w:spacing w:before="9" w:line="240" w:lineRule="atLeast"/>
        <w:rPr>
          <w:rFonts w:ascii="Times New Roman" w:hAnsi="Times New Roman"/>
          <w:i/>
          <w:sz w:val="22"/>
          <w:szCs w:val="22"/>
        </w:rPr>
      </w:pPr>
    </w:p>
    <w:p w:rsidR="00026EA7" w:rsidRPr="003A61F6" w:rsidRDefault="00026EA7" w:rsidP="00AD793E">
      <w:pPr>
        <w:pStyle w:val="ListParagraph"/>
        <w:widowControl/>
        <w:numPr>
          <w:ilvl w:val="0"/>
          <w:numId w:val="13"/>
        </w:numPr>
        <w:spacing w:before="0" w:line="240" w:lineRule="atLeast"/>
        <w:ind w:left="360" w:hanging="360"/>
      </w:pPr>
      <w:r>
        <w:t xml:space="preserve">Revêtements synthétiques souples de terrains de sport: </w:t>
      </w:r>
    </w:p>
    <w:p w:rsidR="00026EA7" w:rsidRPr="003A61F6" w:rsidRDefault="00026EA7" w:rsidP="00AD793E">
      <w:pPr>
        <w:pStyle w:val="BodyText"/>
        <w:spacing w:before="7" w:line="240" w:lineRule="atLeast"/>
        <w:rPr>
          <w:rFonts w:ascii="Times New Roman" w:hAnsi="Times New Roman"/>
          <w:sz w:val="22"/>
          <w:szCs w:val="22"/>
          <w:lang w:val="el-GR"/>
        </w:rPr>
      </w:pPr>
    </w:p>
    <w:p w:rsidR="00026EA7" w:rsidRPr="003A61F6" w:rsidRDefault="00026EA7" w:rsidP="00AD793E">
      <w:pPr>
        <w:pStyle w:val="ListParagraph"/>
        <w:widowControl/>
        <w:numPr>
          <w:ilvl w:val="1"/>
          <w:numId w:val="13"/>
        </w:numPr>
        <w:tabs>
          <w:tab w:val="left" w:pos="809"/>
          <w:tab w:val="left" w:pos="810"/>
        </w:tabs>
        <w:spacing w:before="0" w:line="240" w:lineRule="atLeast"/>
        <w:ind w:left="810" w:hanging="462"/>
        <w:jc w:val="left"/>
        <w:rPr>
          <w:i/>
        </w:rPr>
      </w:pPr>
      <w:r>
        <w:rPr>
          <w:i/>
        </w:rPr>
        <w:t>matériau de remplissage pour applications sportives et</w:t>
      </w:r>
    </w:p>
    <w:p w:rsidR="00026EA7" w:rsidRPr="003A61F6" w:rsidRDefault="00026EA7" w:rsidP="00AD793E">
      <w:pPr>
        <w:pStyle w:val="BodyText"/>
        <w:spacing w:before="9" w:line="240" w:lineRule="atLeast"/>
        <w:ind w:hanging="462"/>
        <w:rPr>
          <w:rFonts w:ascii="Times New Roman" w:hAnsi="Times New Roman"/>
          <w:i/>
          <w:sz w:val="22"/>
          <w:szCs w:val="22"/>
        </w:rPr>
      </w:pPr>
    </w:p>
    <w:p w:rsidR="00026EA7" w:rsidRPr="003A61F6" w:rsidRDefault="00026EA7" w:rsidP="00AD793E">
      <w:pPr>
        <w:pStyle w:val="ListParagraph"/>
        <w:widowControl/>
        <w:numPr>
          <w:ilvl w:val="1"/>
          <w:numId w:val="13"/>
        </w:numPr>
        <w:tabs>
          <w:tab w:val="left" w:pos="809"/>
          <w:tab w:val="left" w:pos="810"/>
        </w:tabs>
        <w:spacing w:before="1" w:line="240" w:lineRule="atLeast"/>
        <w:ind w:left="810" w:hanging="462"/>
        <w:jc w:val="left"/>
        <w:rPr>
          <w:i/>
        </w:rPr>
      </w:pPr>
      <w:r>
        <w:rPr>
          <w:i/>
        </w:rPr>
        <w:t>couche de fondation souple pour tapis en gazon synthétique.</w:t>
      </w:r>
    </w:p>
    <w:p w:rsidR="00026EA7" w:rsidRPr="003A61F6" w:rsidRDefault="00026EA7" w:rsidP="00AD793E">
      <w:pPr>
        <w:pStyle w:val="BodyText"/>
        <w:spacing w:line="240" w:lineRule="atLeast"/>
        <w:rPr>
          <w:rFonts w:ascii="Times New Roman" w:hAnsi="Times New Roman"/>
          <w:i/>
          <w:sz w:val="22"/>
          <w:szCs w:val="22"/>
          <w:lang w:val="el-GR"/>
        </w:rPr>
      </w:pPr>
    </w:p>
    <w:p w:rsidR="00026EA7" w:rsidRPr="003A61F6" w:rsidRDefault="00026EA7" w:rsidP="00AD793E">
      <w:pPr>
        <w:pStyle w:val="BodyText"/>
        <w:spacing w:before="10" w:line="240" w:lineRule="atLeast"/>
        <w:rPr>
          <w:rFonts w:ascii="Times New Roman" w:hAnsi="Times New Roman"/>
          <w:i/>
          <w:sz w:val="22"/>
          <w:szCs w:val="22"/>
          <w:lang w:val="el-GR"/>
        </w:rPr>
      </w:pPr>
    </w:p>
    <w:p w:rsidR="00026EA7" w:rsidRPr="003A61F6" w:rsidRDefault="00026EA7" w:rsidP="00AD793E">
      <w:pPr>
        <w:pStyle w:val="ListParagraph"/>
        <w:widowControl/>
        <w:numPr>
          <w:ilvl w:val="0"/>
          <w:numId w:val="13"/>
        </w:numPr>
        <w:tabs>
          <w:tab w:val="left" w:pos="360"/>
        </w:tabs>
        <w:spacing w:before="1" w:line="240" w:lineRule="atLeast"/>
        <w:ind w:left="360" w:hanging="360"/>
      </w:pPr>
      <w:r>
        <w:t>Objets commercialisés issus de la transformation de matériaux élastomères, tels que:</w:t>
      </w:r>
    </w:p>
    <w:p w:rsidR="00026EA7" w:rsidRPr="003A61F6" w:rsidRDefault="00026EA7" w:rsidP="00AD793E">
      <w:pPr>
        <w:pStyle w:val="BodyText"/>
        <w:spacing w:before="7" w:line="240" w:lineRule="atLeast"/>
        <w:rPr>
          <w:rFonts w:ascii="Times New Roman" w:hAnsi="Times New Roman"/>
          <w:sz w:val="22"/>
          <w:szCs w:val="22"/>
          <w:lang w:val="el-GR"/>
        </w:rPr>
      </w:pPr>
    </w:p>
    <w:p w:rsidR="00026EA7" w:rsidRPr="003A61F6" w:rsidRDefault="00026EA7" w:rsidP="00AD793E">
      <w:pPr>
        <w:pStyle w:val="ListParagraph"/>
        <w:widowControl/>
        <w:numPr>
          <w:ilvl w:val="1"/>
          <w:numId w:val="13"/>
        </w:numPr>
        <w:spacing w:before="0" w:line="240" w:lineRule="atLeast"/>
        <w:ind w:left="720"/>
        <w:jc w:val="left"/>
        <w:rPr>
          <w:i/>
        </w:rPr>
      </w:pPr>
      <w:r>
        <w:rPr>
          <w:i/>
        </w:rPr>
        <w:t>jouets et articles de puériculture,</w:t>
      </w:r>
    </w:p>
    <w:p w:rsidR="00026EA7" w:rsidRPr="003A61F6" w:rsidRDefault="00026EA7" w:rsidP="00AD793E">
      <w:pPr>
        <w:pStyle w:val="BodyText"/>
        <w:spacing w:before="9" w:line="240" w:lineRule="atLeast"/>
        <w:ind w:left="720" w:hanging="360"/>
        <w:rPr>
          <w:rFonts w:ascii="Times New Roman" w:hAnsi="Times New Roman"/>
          <w:i/>
          <w:sz w:val="22"/>
          <w:szCs w:val="22"/>
        </w:rPr>
      </w:pPr>
    </w:p>
    <w:p w:rsidR="00026EA7" w:rsidRPr="003A61F6" w:rsidRDefault="00026EA7" w:rsidP="00AD793E">
      <w:pPr>
        <w:pStyle w:val="ListParagraph"/>
        <w:widowControl/>
        <w:numPr>
          <w:ilvl w:val="1"/>
          <w:numId w:val="13"/>
        </w:numPr>
        <w:spacing w:before="1" w:line="240" w:lineRule="atLeast"/>
        <w:ind w:left="720"/>
        <w:jc w:val="left"/>
        <w:rPr>
          <w:i/>
        </w:rPr>
      </w:pPr>
      <w:r>
        <w:rPr>
          <w:i/>
        </w:rPr>
        <w:t>équipements sportifs, tels que poignées de vélos, bâtons de golf, raquettes,</w:t>
      </w:r>
    </w:p>
    <w:p w:rsidR="00026EA7" w:rsidRPr="003A61F6" w:rsidRDefault="00026EA7" w:rsidP="00AD793E">
      <w:pPr>
        <w:pStyle w:val="BodyText"/>
        <w:spacing w:before="9" w:line="240" w:lineRule="atLeast"/>
        <w:ind w:left="720" w:hanging="360"/>
        <w:rPr>
          <w:rFonts w:ascii="Times New Roman" w:hAnsi="Times New Roman"/>
          <w:i/>
          <w:sz w:val="22"/>
          <w:szCs w:val="22"/>
          <w:lang w:val="el-GR"/>
        </w:rPr>
      </w:pPr>
    </w:p>
    <w:p w:rsidR="00026EA7" w:rsidRPr="003A61F6" w:rsidRDefault="00026EA7" w:rsidP="00AD793E">
      <w:pPr>
        <w:pStyle w:val="ListParagraph"/>
        <w:widowControl/>
        <w:numPr>
          <w:ilvl w:val="1"/>
          <w:numId w:val="13"/>
        </w:numPr>
        <w:spacing w:before="0" w:line="240" w:lineRule="atLeast"/>
        <w:ind w:left="720"/>
        <w:jc w:val="left"/>
        <w:rPr>
          <w:i/>
        </w:rPr>
      </w:pPr>
      <w:r>
        <w:rPr>
          <w:i/>
        </w:rPr>
        <w:t>ustensiles ménagers, poussettes, pousseurs bébés,</w:t>
      </w:r>
    </w:p>
    <w:p w:rsidR="00026EA7" w:rsidRPr="003A61F6" w:rsidRDefault="00026EA7" w:rsidP="00AD793E">
      <w:pPr>
        <w:pStyle w:val="BodyText"/>
        <w:spacing w:before="9" w:line="240" w:lineRule="atLeast"/>
        <w:ind w:left="720" w:hanging="360"/>
        <w:rPr>
          <w:rFonts w:ascii="Times New Roman" w:hAnsi="Times New Roman"/>
          <w:i/>
          <w:sz w:val="22"/>
          <w:szCs w:val="22"/>
          <w:lang w:val="el-GR"/>
        </w:rPr>
      </w:pPr>
    </w:p>
    <w:p w:rsidR="00026EA7" w:rsidRPr="003A61F6" w:rsidRDefault="00026EA7" w:rsidP="00AD793E">
      <w:pPr>
        <w:pStyle w:val="ListParagraph"/>
        <w:widowControl/>
        <w:numPr>
          <w:ilvl w:val="1"/>
          <w:numId w:val="13"/>
        </w:numPr>
        <w:spacing w:before="0" w:line="240" w:lineRule="atLeast"/>
        <w:ind w:left="720"/>
        <w:jc w:val="left"/>
        <w:rPr>
          <w:i/>
        </w:rPr>
      </w:pPr>
      <w:r>
        <w:rPr>
          <w:i/>
        </w:rPr>
        <w:t>outils à usage domestique,</w:t>
      </w:r>
    </w:p>
    <w:p w:rsidR="00026EA7" w:rsidRPr="003A61F6" w:rsidRDefault="00026EA7" w:rsidP="00AD793E">
      <w:pPr>
        <w:pStyle w:val="BodyText"/>
        <w:spacing w:before="9" w:line="240" w:lineRule="atLeast"/>
        <w:ind w:left="720" w:hanging="360"/>
        <w:rPr>
          <w:rFonts w:ascii="Times New Roman" w:hAnsi="Times New Roman"/>
          <w:i/>
          <w:sz w:val="22"/>
          <w:szCs w:val="22"/>
        </w:rPr>
      </w:pPr>
    </w:p>
    <w:p w:rsidR="00026EA7" w:rsidRPr="003A61F6" w:rsidRDefault="00026EA7" w:rsidP="00AD793E">
      <w:pPr>
        <w:pStyle w:val="ListParagraph"/>
        <w:widowControl/>
        <w:numPr>
          <w:ilvl w:val="1"/>
          <w:numId w:val="13"/>
        </w:numPr>
        <w:spacing w:before="1" w:line="240" w:lineRule="atLeast"/>
        <w:ind w:left="720"/>
        <w:jc w:val="left"/>
        <w:rPr>
          <w:i/>
        </w:rPr>
      </w:pPr>
      <w:r>
        <w:rPr>
          <w:i/>
        </w:rPr>
        <w:t>vêtements, chaussures, gants et tenues de sport,</w:t>
      </w:r>
    </w:p>
    <w:p w:rsidR="00026EA7" w:rsidRPr="003A61F6" w:rsidRDefault="00026EA7" w:rsidP="00AD793E">
      <w:pPr>
        <w:pStyle w:val="BodyText"/>
        <w:spacing w:before="9" w:line="240" w:lineRule="atLeast"/>
        <w:ind w:left="720" w:hanging="360"/>
        <w:rPr>
          <w:rFonts w:ascii="Times New Roman" w:hAnsi="Times New Roman"/>
          <w:i/>
          <w:sz w:val="22"/>
          <w:szCs w:val="22"/>
          <w:lang w:val="el-GR"/>
        </w:rPr>
      </w:pPr>
    </w:p>
    <w:p w:rsidR="00026EA7" w:rsidRPr="003A61F6" w:rsidRDefault="00026EA7" w:rsidP="00AD793E">
      <w:pPr>
        <w:pStyle w:val="ListParagraph"/>
        <w:widowControl/>
        <w:numPr>
          <w:ilvl w:val="1"/>
          <w:numId w:val="13"/>
        </w:numPr>
        <w:spacing w:before="0" w:line="240" w:lineRule="atLeast"/>
        <w:ind w:left="720"/>
        <w:jc w:val="left"/>
        <w:rPr>
          <w:i/>
        </w:rPr>
      </w:pPr>
      <w:r>
        <w:rPr>
          <w:i/>
        </w:rPr>
        <w:t>bracelets de montres, brassards, masques, accessoires pour les cheveux.</w:t>
      </w:r>
    </w:p>
    <w:p w:rsidR="00026EA7" w:rsidRPr="003A61F6" w:rsidRDefault="00026EA7" w:rsidP="00AD793E">
      <w:pPr>
        <w:rPr>
          <w:rFonts w:ascii="Times New Roman" w:hAnsi="Times New Roman"/>
          <w:sz w:val="22"/>
          <w:szCs w:val="22"/>
          <w:lang w:val="el-GR"/>
        </w:rPr>
        <w:sectPr w:rsidR="00026EA7" w:rsidRPr="003A61F6" w:rsidSect="00FA02E7">
          <w:footerReference w:type="default" r:id="rId12"/>
          <w:pgSz w:w="11910" w:h="16840"/>
          <w:pgMar w:top="1180" w:right="711" w:bottom="900" w:left="1600" w:header="0" w:footer="712" w:gutter="0"/>
          <w:cols w:space="720"/>
        </w:sectPr>
      </w:pPr>
    </w:p>
    <w:p w:rsidR="00026EA7" w:rsidRPr="003A61F6" w:rsidRDefault="00026EA7" w:rsidP="00AD793E">
      <w:pPr>
        <w:spacing w:before="90"/>
        <w:jc w:val="center"/>
        <w:rPr>
          <w:rFonts w:ascii="Times New Roman" w:hAnsi="Times New Roman"/>
          <w:b/>
          <w:spacing w:val="60"/>
          <w:sz w:val="22"/>
          <w:szCs w:val="22"/>
        </w:rPr>
      </w:pPr>
      <w:r>
        <w:rPr>
          <w:rFonts w:ascii="Times New Roman" w:hAnsi="Times New Roman"/>
          <w:b/>
          <w:sz w:val="22"/>
        </w:rPr>
        <w:lastRenderedPageBreak/>
        <w:t>ANNEXE ΙΙ</w:t>
      </w:r>
    </w:p>
    <w:p w:rsidR="00026EA7" w:rsidRPr="003A61F6" w:rsidRDefault="00026EA7" w:rsidP="00AD793E">
      <w:pPr>
        <w:spacing w:before="184"/>
        <w:ind w:left="4803"/>
        <w:rPr>
          <w:rFonts w:ascii="Times New Roman" w:hAnsi="Times New Roman"/>
          <w:b/>
          <w:sz w:val="22"/>
          <w:szCs w:val="22"/>
        </w:rPr>
      </w:pPr>
      <w:r>
        <w:rPr>
          <w:rFonts w:ascii="Times New Roman" w:hAnsi="Times New Roman"/>
          <w:b/>
          <w:sz w:val="22"/>
        </w:rPr>
        <w:t>Exigences requises pour les produits issus de la transformation de matériaux élastomères</w:t>
      </w:r>
    </w:p>
    <w:p w:rsidR="00026EA7" w:rsidRPr="003A61F6" w:rsidRDefault="00026EA7" w:rsidP="00AD793E">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AD793E">
            <w:pPr>
              <w:pStyle w:val="TableParagraph"/>
              <w:widowControl/>
              <w:spacing w:before="119"/>
              <w:ind w:left="37" w:right="214"/>
              <w:jc w:val="center"/>
              <w:rPr>
                <w:b/>
                <w:spacing w:val="60"/>
              </w:rPr>
            </w:pPr>
            <w:r>
              <w:rPr>
                <w:b/>
              </w:rPr>
              <w:t>Exigences</w:t>
            </w:r>
          </w:p>
        </w:tc>
        <w:tc>
          <w:tcPr>
            <w:tcW w:w="7230" w:type="dxa"/>
            <w:shd w:val="clear" w:color="auto" w:fill="D9D9D9"/>
          </w:tcPr>
          <w:p w:rsidR="00026EA7" w:rsidRPr="003A61F6" w:rsidRDefault="00026EA7" w:rsidP="00AD793E">
            <w:pPr>
              <w:pStyle w:val="TableParagraph"/>
              <w:widowControl/>
              <w:spacing w:before="119"/>
              <w:ind w:left="70" w:right="215"/>
              <w:jc w:val="center"/>
              <w:rPr>
                <w:b/>
                <w:spacing w:val="60"/>
              </w:rPr>
            </w:pPr>
            <w:r>
              <w:rPr>
                <w:b/>
              </w:rPr>
              <w:t>Satisfaction des exigences</w:t>
            </w:r>
          </w:p>
        </w:tc>
      </w:tr>
      <w:tr w:rsidR="003A61F6" w:rsidRPr="00DC516E" w:rsidTr="00525FA9">
        <w:tc>
          <w:tcPr>
            <w:tcW w:w="6488" w:type="dxa"/>
          </w:tcPr>
          <w:p w:rsidR="00026EA7" w:rsidRPr="003A61F6" w:rsidRDefault="00026EA7" w:rsidP="00AD793E">
            <w:pPr>
              <w:pStyle w:val="TableParagraph"/>
              <w:widowControl/>
              <w:tabs>
                <w:tab w:val="left" w:pos="391"/>
              </w:tabs>
              <w:spacing w:before="61" w:line="235" w:lineRule="auto"/>
              <w:ind w:right="132"/>
              <w:jc w:val="both"/>
            </w:pPr>
          </w:p>
          <w:p w:rsidR="00026EA7" w:rsidRPr="003A61F6" w:rsidRDefault="00026EA7" w:rsidP="00AD793E">
            <w:pPr>
              <w:pStyle w:val="TableParagraph"/>
              <w:widowControl/>
              <w:numPr>
                <w:ilvl w:val="0"/>
                <w:numId w:val="12"/>
              </w:numPr>
              <w:tabs>
                <w:tab w:val="left" w:pos="391"/>
              </w:tabs>
              <w:spacing w:before="61" w:line="235" w:lineRule="auto"/>
              <w:ind w:right="132"/>
              <w:jc w:val="both"/>
            </w:pPr>
            <w:r>
              <w:t>Produits issus de la transformation de matériaux élastomères destinés aux usages définis à l’annexe I:</w:t>
            </w:r>
          </w:p>
          <w:p w:rsidR="00026EA7" w:rsidRPr="003A61F6" w:rsidRDefault="00026EA7" w:rsidP="00AD793E">
            <w:pPr>
              <w:pStyle w:val="TableParagraph"/>
              <w:widowControl/>
              <w:tabs>
                <w:tab w:val="left" w:pos="391"/>
              </w:tabs>
              <w:spacing w:before="61" w:line="235" w:lineRule="auto"/>
              <w:ind w:left="391" w:right="132"/>
              <w:jc w:val="both"/>
            </w:pPr>
          </w:p>
          <w:p w:rsidR="00026EA7" w:rsidRPr="003A61F6" w:rsidRDefault="00026EA7" w:rsidP="00AD793E">
            <w:pPr>
              <w:pStyle w:val="TableParagraph"/>
              <w:widowControl/>
              <w:numPr>
                <w:ilvl w:val="1"/>
                <w:numId w:val="12"/>
              </w:numPr>
              <w:tabs>
                <w:tab w:val="left" w:pos="817"/>
              </w:tabs>
              <w:spacing w:before="59"/>
              <w:ind w:right="130" w:hanging="425"/>
              <w:jc w:val="both"/>
            </w:pPr>
            <w:r>
              <w:t>Les produits sont conformes aux spécifications techniques et aux normes du secteur les concernant.</w:t>
            </w:r>
          </w:p>
          <w:p w:rsidR="00026EA7" w:rsidRPr="003A61F6" w:rsidRDefault="00026EA7" w:rsidP="00AD793E">
            <w:pPr>
              <w:pStyle w:val="TableParagraph"/>
              <w:widowControl/>
              <w:tabs>
                <w:tab w:val="left" w:pos="817"/>
              </w:tabs>
              <w:spacing w:before="59"/>
              <w:ind w:left="816" w:right="130"/>
              <w:jc w:val="both"/>
            </w:pPr>
          </w:p>
          <w:p w:rsidR="00026EA7" w:rsidRPr="003A61F6" w:rsidRDefault="00026EA7" w:rsidP="00AD793E">
            <w:pPr>
              <w:pStyle w:val="TableParagraph"/>
              <w:widowControl/>
              <w:numPr>
                <w:ilvl w:val="1"/>
                <w:numId w:val="12"/>
              </w:numPr>
              <w:tabs>
                <w:tab w:val="left" w:pos="817"/>
              </w:tabs>
              <w:spacing w:before="61"/>
              <w:ind w:right="130" w:hanging="425"/>
              <w:jc w:val="both"/>
            </w:pPr>
            <w:r>
              <w:t>Les produits sont conformes aux dispositions du règlement (CE) nº 1907/2006 (REACH), tel qu’il est en vigueur.</w:t>
            </w:r>
          </w:p>
          <w:p w:rsidR="00026EA7" w:rsidRPr="003A61F6" w:rsidRDefault="00026EA7" w:rsidP="00AD793E">
            <w:pPr>
              <w:pStyle w:val="TableParagraph"/>
              <w:widowControl/>
              <w:tabs>
                <w:tab w:val="left" w:pos="817"/>
              </w:tabs>
              <w:spacing w:before="61"/>
              <w:ind w:right="130"/>
              <w:jc w:val="both"/>
            </w:pPr>
          </w:p>
          <w:p w:rsidR="00026EA7" w:rsidRPr="003A61F6" w:rsidRDefault="00026EA7" w:rsidP="00AD793E">
            <w:pPr>
              <w:pStyle w:val="TableParagraph"/>
              <w:widowControl/>
              <w:numPr>
                <w:ilvl w:val="1"/>
                <w:numId w:val="12"/>
              </w:numPr>
              <w:tabs>
                <w:tab w:val="left" w:pos="817"/>
              </w:tabs>
              <w:spacing w:before="58"/>
              <w:ind w:right="129" w:hanging="425"/>
              <w:jc w:val="both"/>
            </w:pPr>
            <w:r>
              <w:t>Ils sont conformes aux exigences spécifiques de la législation susceptibles de les concerner.</w:t>
            </w:r>
          </w:p>
          <w:p w:rsidR="00026EA7" w:rsidRPr="003A61F6" w:rsidRDefault="00026EA7" w:rsidP="00AD793E">
            <w:pPr>
              <w:pStyle w:val="TableParagraph"/>
              <w:widowControl/>
              <w:tabs>
                <w:tab w:val="left" w:pos="817"/>
              </w:tabs>
              <w:spacing w:before="61"/>
              <w:ind w:left="816"/>
              <w:jc w:val="both"/>
            </w:pPr>
          </w:p>
        </w:tc>
        <w:tc>
          <w:tcPr>
            <w:tcW w:w="7230" w:type="dxa"/>
          </w:tcPr>
          <w:p w:rsidR="00026EA7" w:rsidRPr="003A61F6" w:rsidRDefault="00026EA7" w:rsidP="00AD793E">
            <w:pPr>
              <w:pStyle w:val="TableParagraph"/>
              <w:widowControl/>
              <w:spacing w:before="53"/>
              <w:ind w:left="108"/>
            </w:pPr>
          </w:p>
          <w:p w:rsidR="00026EA7" w:rsidRPr="003A61F6" w:rsidRDefault="00026EA7" w:rsidP="00AD793E">
            <w:pPr>
              <w:pStyle w:val="TableParagraph"/>
              <w:widowControl/>
              <w:spacing w:before="53"/>
              <w:ind w:left="108"/>
            </w:pPr>
            <w:r>
              <w:t>Les produits issus de la transformation de matériaux élastomères destinés aux usages définis à l’annexe I sont évalués par:</w:t>
            </w:r>
          </w:p>
          <w:p w:rsidR="00026EA7" w:rsidRPr="003A61F6" w:rsidRDefault="00026EA7" w:rsidP="00AD793E">
            <w:pPr>
              <w:pStyle w:val="TableParagraph"/>
              <w:widowControl/>
              <w:spacing w:before="53"/>
              <w:ind w:left="108"/>
            </w:pPr>
          </w:p>
          <w:p w:rsidR="00026EA7" w:rsidRPr="003A61F6" w:rsidRDefault="00026EA7" w:rsidP="00AD793E">
            <w:pPr>
              <w:pStyle w:val="TableParagraph"/>
              <w:widowControl/>
              <w:numPr>
                <w:ilvl w:val="0"/>
                <w:numId w:val="11"/>
              </w:numPr>
              <w:tabs>
                <w:tab w:val="left" w:pos="467"/>
                <w:tab w:val="left" w:pos="468"/>
              </w:tabs>
              <w:spacing w:before="58"/>
            </w:pPr>
            <w:r>
              <w:t>Examen visuel.</w:t>
            </w:r>
          </w:p>
          <w:p w:rsidR="00026EA7" w:rsidRPr="003A61F6" w:rsidRDefault="00026EA7" w:rsidP="00AD793E">
            <w:pPr>
              <w:pStyle w:val="TableParagraph"/>
              <w:widowControl/>
              <w:tabs>
                <w:tab w:val="left" w:pos="467"/>
                <w:tab w:val="left" w:pos="468"/>
              </w:tabs>
              <w:spacing w:before="58"/>
              <w:ind w:left="468"/>
            </w:pPr>
          </w:p>
          <w:p w:rsidR="00026EA7" w:rsidRPr="003A61F6" w:rsidRDefault="00026EA7" w:rsidP="00AD793E">
            <w:pPr>
              <w:pStyle w:val="TableParagraph"/>
              <w:widowControl/>
              <w:numPr>
                <w:ilvl w:val="0"/>
                <w:numId w:val="11"/>
              </w:numPr>
              <w:tabs>
                <w:tab w:val="left" w:pos="467"/>
                <w:tab w:val="left" w:pos="468"/>
              </w:tabs>
              <w:spacing w:before="60"/>
            </w:pPr>
            <w:r>
              <w:t xml:space="preserve">Essais de laboratoire, mécaniques, physiques et chimiques, </w:t>
            </w:r>
          </w:p>
          <w:p w:rsidR="00026EA7" w:rsidRPr="003A61F6" w:rsidRDefault="00026EA7" w:rsidP="00AD793E">
            <w:pPr>
              <w:pStyle w:val="TableParagraph"/>
              <w:widowControl/>
              <w:tabs>
                <w:tab w:val="left" w:pos="467"/>
                <w:tab w:val="left" w:pos="468"/>
              </w:tabs>
              <w:spacing w:before="60"/>
              <w:ind w:left="108"/>
            </w:pPr>
            <w:r>
              <w:t>prévus par le Système de gestion de la qualité du fabricant, conformément à l’annexe IV.</w:t>
            </w:r>
          </w:p>
          <w:p w:rsidR="00026EA7" w:rsidRPr="003A61F6" w:rsidRDefault="00026EA7" w:rsidP="00AD793E">
            <w:pPr>
              <w:pStyle w:val="TableParagraph"/>
              <w:widowControl/>
              <w:tabs>
                <w:tab w:val="left" w:pos="467"/>
                <w:tab w:val="left" w:pos="468"/>
              </w:tabs>
              <w:spacing w:before="60"/>
              <w:ind w:left="108"/>
            </w:pPr>
          </w:p>
          <w:p w:rsidR="00026EA7" w:rsidRPr="003A61F6" w:rsidRDefault="00026EA7" w:rsidP="00AD793E">
            <w:pPr>
              <w:pStyle w:val="TableParagraph"/>
              <w:widowControl/>
              <w:spacing w:before="60"/>
              <w:ind w:left="108"/>
            </w:pPr>
            <w:r>
              <w:t>Les essais de laboratoire sont réalisés par un laboratoire accrédité conformément à la norme ΕLOΤ EN ISO/IEC 17025.</w:t>
            </w:r>
          </w:p>
        </w:tc>
      </w:tr>
      <w:tr w:rsidR="003A61F6" w:rsidRPr="00DC516E" w:rsidTr="00525FA9">
        <w:tc>
          <w:tcPr>
            <w:tcW w:w="6488" w:type="dxa"/>
          </w:tcPr>
          <w:p w:rsidR="00026EA7" w:rsidRPr="003A61F6" w:rsidRDefault="00026EA7" w:rsidP="00AD793E">
            <w:pPr>
              <w:pStyle w:val="TableParagraph"/>
              <w:widowControl/>
              <w:tabs>
                <w:tab w:val="left" w:pos="391"/>
              </w:tabs>
              <w:spacing w:before="58"/>
              <w:ind w:left="467" w:right="132"/>
              <w:jc w:val="both"/>
              <w:rPr>
                <w:b/>
              </w:rPr>
            </w:pPr>
          </w:p>
          <w:p w:rsidR="00026EA7" w:rsidRPr="003A61F6" w:rsidRDefault="00026EA7" w:rsidP="00AD793E">
            <w:pPr>
              <w:pStyle w:val="TableParagraph"/>
              <w:widowControl/>
              <w:numPr>
                <w:ilvl w:val="0"/>
                <w:numId w:val="10"/>
              </w:numPr>
              <w:tabs>
                <w:tab w:val="left" w:pos="391"/>
              </w:tabs>
              <w:spacing w:before="58"/>
              <w:ind w:right="132" w:hanging="360"/>
              <w:jc w:val="both"/>
              <w:rPr>
                <w:b/>
              </w:rPr>
            </w:pPr>
            <w:r>
              <w:rPr>
                <w:b/>
              </w:rPr>
              <w:t>Matériaux élastomères et autres matériaux utilisés pour la fabrication des produits visés à l’annexe I:</w:t>
            </w:r>
          </w:p>
          <w:p w:rsidR="00026EA7" w:rsidRPr="003A61F6" w:rsidRDefault="00026EA7" w:rsidP="00AD793E">
            <w:pPr>
              <w:pStyle w:val="TableParagraph"/>
              <w:widowControl/>
              <w:tabs>
                <w:tab w:val="left" w:pos="391"/>
              </w:tabs>
              <w:spacing w:before="58"/>
              <w:ind w:left="467" w:right="132"/>
              <w:jc w:val="both"/>
              <w:rPr>
                <w:b/>
              </w:rPr>
            </w:pPr>
          </w:p>
          <w:p w:rsidR="00026EA7" w:rsidRPr="003A61F6" w:rsidRDefault="00026EA7" w:rsidP="00AD793E">
            <w:pPr>
              <w:pStyle w:val="TableParagraph"/>
              <w:widowControl/>
              <w:numPr>
                <w:ilvl w:val="1"/>
                <w:numId w:val="10"/>
              </w:numPr>
              <w:tabs>
                <w:tab w:val="left" w:pos="888"/>
              </w:tabs>
              <w:spacing w:before="59"/>
              <w:ind w:left="883" w:right="129" w:hanging="492"/>
              <w:jc w:val="both"/>
            </w:pPr>
            <w:r>
              <w:t>Ils sont conformes aux spécifications techniques et aux normes du secteur les concernant.</w:t>
            </w:r>
          </w:p>
          <w:p w:rsidR="00026EA7" w:rsidRPr="003A61F6" w:rsidRDefault="00026EA7" w:rsidP="00AD793E">
            <w:pPr>
              <w:pStyle w:val="TableParagraph"/>
              <w:widowControl/>
              <w:tabs>
                <w:tab w:val="left" w:pos="746"/>
              </w:tabs>
              <w:spacing w:before="56"/>
              <w:ind w:left="816" w:right="130"/>
              <w:jc w:val="both"/>
            </w:pPr>
          </w:p>
          <w:p w:rsidR="00026EA7" w:rsidRPr="003A61F6" w:rsidRDefault="00026EA7" w:rsidP="00AD793E">
            <w:pPr>
              <w:pStyle w:val="TableParagraph"/>
              <w:widowControl/>
              <w:numPr>
                <w:ilvl w:val="1"/>
                <w:numId w:val="10"/>
              </w:numPr>
              <w:tabs>
                <w:tab w:val="left" w:pos="888"/>
              </w:tabs>
              <w:spacing w:before="59"/>
              <w:ind w:left="883" w:right="129" w:hanging="492"/>
              <w:jc w:val="both"/>
            </w:pPr>
            <w:r>
              <w:t>Ils sont conformes à la législation environnementale en vigueur, dans le cas où les élastomères sont issus du recyclage (tels que visés à l’annexe III de la directive 2008/98/CΕ, telle qu’elle est en vigueur, et doivent être conformes à l’annexe IV du règlement (CE) nº 850/2004).</w:t>
            </w:r>
          </w:p>
          <w:p w:rsidR="00026EA7" w:rsidRPr="003A61F6" w:rsidRDefault="00026EA7" w:rsidP="00AD793E">
            <w:pPr>
              <w:pStyle w:val="TableParagraph"/>
              <w:widowControl/>
              <w:tabs>
                <w:tab w:val="left" w:pos="817"/>
              </w:tabs>
              <w:spacing w:before="61"/>
              <w:ind w:right="136"/>
              <w:jc w:val="both"/>
            </w:pPr>
          </w:p>
        </w:tc>
        <w:tc>
          <w:tcPr>
            <w:tcW w:w="7230" w:type="dxa"/>
          </w:tcPr>
          <w:p w:rsidR="00026EA7" w:rsidRPr="003A61F6" w:rsidRDefault="00026EA7" w:rsidP="00AD793E">
            <w:pPr>
              <w:pStyle w:val="TableParagraph"/>
              <w:widowControl/>
              <w:spacing w:before="10"/>
              <w:rPr>
                <w:b/>
              </w:rPr>
            </w:pPr>
          </w:p>
          <w:p w:rsidR="00026EA7" w:rsidRPr="003A61F6" w:rsidRDefault="00026EA7" w:rsidP="00AD793E">
            <w:pPr>
              <w:pStyle w:val="TableParagraph"/>
              <w:widowControl/>
              <w:spacing w:before="10"/>
              <w:rPr>
                <w:b/>
              </w:rPr>
            </w:pPr>
          </w:p>
          <w:p w:rsidR="00026EA7" w:rsidRPr="003A61F6" w:rsidRDefault="00026EA7" w:rsidP="00AD793E">
            <w:pPr>
              <w:pStyle w:val="TableParagraph"/>
              <w:widowControl/>
              <w:numPr>
                <w:ilvl w:val="0"/>
                <w:numId w:val="9"/>
              </w:numPr>
              <w:tabs>
                <w:tab w:val="left" w:pos="495"/>
              </w:tabs>
              <w:ind w:right="275" w:hanging="360"/>
              <w:jc w:val="both"/>
            </w:pPr>
            <w:r>
              <w:t>Les critères d’acceptation et de rejet des élastomères et des autres intrants sont définis dans le manuel de procédures du Système de gestion de la qualité du fabricant, conformément à l’annexe IV.</w:t>
            </w:r>
          </w:p>
          <w:p w:rsidR="00026EA7" w:rsidRPr="003A61F6" w:rsidRDefault="00026EA7" w:rsidP="00AD793E">
            <w:pPr>
              <w:pStyle w:val="TableParagraph"/>
              <w:widowControl/>
              <w:tabs>
                <w:tab w:val="left" w:pos="495"/>
              </w:tabs>
              <w:ind w:left="468" w:right="275"/>
              <w:jc w:val="both"/>
            </w:pPr>
          </w:p>
          <w:p w:rsidR="00026EA7" w:rsidRPr="003A61F6" w:rsidRDefault="00026EA7" w:rsidP="00AD793E">
            <w:pPr>
              <w:pStyle w:val="TableParagraph"/>
              <w:widowControl/>
              <w:tabs>
                <w:tab w:val="left" w:pos="495"/>
              </w:tabs>
              <w:ind w:left="468" w:right="275"/>
              <w:jc w:val="both"/>
            </w:pPr>
          </w:p>
          <w:p w:rsidR="00026EA7" w:rsidRPr="003A61F6" w:rsidRDefault="00026EA7" w:rsidP="00AD793E">
            <w:pPr>
              <w:pStyle w:val="TableParagraph"/>
              <w:widowControl/>
              <w:numPr>
                <w:ilvl w:val="0"/>
                <w:numId w:val="9"/>
              </w:numPr>
              <w:tabs>
                <w:tab w:val="left" w:pos="495"/>
              </w:tabs>
              <w:spacing w:before="60"/>
              <w:ind w:right="274" w:hanging="360"/>
              <w:jc w:val="both"/>
            </w:pPr>
            <w:r>
              <w:t>Le personnel auquel est confiée la manipulation du matériau élastomère et des produits issus de sa transformation est dûment formé pour la réalisation des procédures.</w:t>
            </w:r>
          </w:p>
        </w:tc>
      </w:tr>
    </w:tbl>
    <w:p w:rsidR="00026EA7" w:rsidRPr="003A61F6" w:rsidRDefault="00026EA7" w:rsidP="00AD793E">
      <w:pPr>
        <w:spacing w:before="1"/>
        <w:ind w:right="113"/>
        <w:rPr>
          <w:rFonts w:ascii="Times New Roman" w:hAnsi="Times New Roman"/>
          <w:sz w:val="22"/>
          <w:szCs w:val="22"/>
          <w:lang w:val="el-GR"/>
        </w:rPr>
      </w:pPr>
    </w:p>
    <w:p w:rsidR="00026EA7" w:rsidRPr="003A61F6" w:rsidRDefault="00026EA7" w:rsidP="00AD793E">
      <w:pPr>
        <w:jc w:val="right"/>
        <w:rPr>
          <w:rFonts w:ascii="Times New Roman" w:hAnsi="Times New Roman"/>
          <w:sz w:val="22"/>
          <w:szCs w:val="22"/>
          <w:lang w:val="el-GR"/>
        </w:rPr>
        <w:sectPr w:rsidR="00026EA7" w:rsidRPr="003A61F6" w:rsidSect="00FD1D0F">
          <w:footerReference w:type="default" r:id="rId13"/>
          <w:pgSz w:w="16840" w:h="11910" w:orient="landscape"/>
          <w:pgMar w:top="1100" w:right="1300" w:bottom="280" w:left="1200" w:header="0" w:footer="258" w:gutter="0"/>
          <w:cols w:space="720"/>
        </w:sectPr>
      </w:pPr>
    </w:p>
    <w:p w:rsidR="00026EA7" w:rsidRPr="003A61F6" w:rsidRDefault="00026EA7" w:rsidP="00AD793E">
      <w:pPr>
        <w:tabs>
          <w:tab w:val="left" w:pos="2064"/>
        </w:tabs>
        <w:spacing w:before="79"/>
        <w:ind w:right="313"/>
        <w:jc w:val="center"/>
        <w:rPr>
          <w:rFonts w:ascii="Times New Roman" w:hAnsi="Times New Roman"/>
          <w:b/>
          <w:spacing w:val="60"/>
          <w:sz w:val="22"/>
          <w:szCs w:val="22"/>
        </w:rPr>
      </w:pPr>
      <w:r>
        <w:rPr>
          <w:rFonts w:ascii="Times New Roman" w:hAnsi="Times New Roman"/>
          <w:b/>
          <w:sz w:val="22"/>
        </w:rPr>
        <w:lastRenderedPageBreak/>
        <w:t>ANNEXE ΙΙΙ</w:t>
      </w:r>
    </w:p>
    <w:p w:rsidR="00026EA7" w:rsidRPr="003A61F6" w:rsidRDefault="00026EA7" w:rsidP="00AD793E">
      <w:pPr>
        <w:pStyle w:val="BodyText"/>
        <w:spacing w:before="2"/>
        <w:rPr>
          <w:rFonts w:ascii="Times New Roman" w:hAnsi="Times New Roman"/>
          <w:b/>
          <w:sz w:val="22"/>
          <w:szCs w:val="22"/>
          <w:lang w:val="el-GR"/>
        </w:rPr>
      </w:pPr>
    </w:p>
    <w:p w:rsidR="00026EA7" w:rsidRPr="003A61F6" w:rsidRDefault="00026EA7" w:rsidP="00AD793E">
      <w:pPr>
        <w:pStyle w:val="BodyText"/>
        <w:spacing w:before="2"/>
        <w:jc w:val="center"/>
        <w:rPr>
          <w:rFonts w:ascii="Times New Roman" w:hAnsi="Times New Roman"/>
          <w:sz w:val="22"/>
          <w:szCs w:val="22"/>
        </w:rPr>
      </w:pPr>
      <w:r>
        <w:rPr>
          <w:rFonts w:ascii="Times New Roman" w:hAnsi="Times New Roman"/>
          <w:b/>
          <w:sz w:val="22"/>
        </w:rPr>
        <w:t xml:space="preserve">Déclaration de conformité </w:t>
      </w:r>
    </w:p>
    <w:p w:rsidR="00026EA7" w:rsidRPr="003A61F6" w:rsidRDefault="00026EA7" w:rsidP="00AD793E">
      <w:pPr>
        <w:pStyle w:val="BodyText"/>
        <w:spacing w:before="2"/>
        <w:jc w:val="center"/>
        <w:rPr>
          <w:rFonts w:ascii="Times New Roman" w:hAnsi="Times New Roman"/>
          <w:b/>
          <w:sz w:val="22"/>
          <w:szCs w:val="22"/>
        </w:rPr>
      </w:pPr>
      <w:r>
        <w:rPr>
          <w:rFonts w:ascii="Times New Roman" w:hAnsi="Times New Roman"/>
          <w:sz w:val="22"/>
        </w:rPr>
        <w:t>de l’article 4 du présent arrêté</w:t>
      </w:r>
    </w:p>
    <w:p w:rsidR="00026EA7" w:rsidRPr="003A61F6" w:rsidRDefault="00026EA7" w:rsidP="00AD793E">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1</w:t>
            </w:r>
          </w:p>
        </w:tc>
        <w:tc>
          <w:tcPr>
            <w:tcW w:w="9214" w:type="dxa"/>
            <w:vAlign w:val="center"/>
          </w:tcPr>
          <w:p w:rsidR="00026EA7" w:rsidRPr="003A61F6" w:rsidRDefault="00026EA7" w:rsidP="00AD793E">
            <w:pPr>
              <w:spacing w:line="237" w:lineRule="auto"/>
              <w:ind w:right="3040"/>
              <w:rPr>
                <w:rFonts w:ascii="Times New Roman" w:hAnsi="Times New Roman"/>
                <w:sz w:val="22"/>
                <w:szCs w:val="22"/>
                <w:lang w:val="el-GR"/>
              </w:rPr>
            </w:pPr>
          </w:p>
          <w:p w:rsidR="00026EA7" w:rsidRPr="003A61F6" w:rsidRDefault="00026EA7" w:rsidP="00AD793E">
            <w:pPr>
              <w:tabs>
                <w:tab w:val="left" w:pos="2064"/>
              </w:tabs>
              <w:spacing w:before="120" w:after="120"/>
              <w:ind w:right="312"/>
              <w:rPr>
                <w:rFonts w:ascii="Times New Roman" w:hAnsi="Times New Roman"/>
                <w:sz w:val="22"/>
                <w:szCs w:val="22"/>
              </w:rPr>
            </w:pPr>
            <w:r>
              <w:rPr>
                <w:rFonts w:ascii="Times New Roman" w:hAnsi="Times New Roman"/>
                <w:sz w:val="22"/>
              </w:rPr>
              <w:t>Raison sociale:</w:t>
            </w:r>
          </w:p>
          <w:p w:rsidR="00026EA7" w:rsidRPr="003A61F6" w:rsidRDefault="00026EA7" w:rsidP="00AD793E">
            <w:pPr>
              <w:tabs>
                <w:tab w:val="left" w:pos="2064"/>
              </w:tabs>
              <w:spacing w:before="120" w:after="120"/>
              <w:ind w:right="312"/>
              <w:rPr>
                <w:rFonts w:ascii="Times New Roman" w:hAnsi="Times New Roman"/>
                <w:b/>
                <w:sz w:val="22"/>
                <w:szCs w:val="22"/>
              </w:rPr>
            </w:pPr>
            <w:r>
              <w:rPr>
                <w:rFonts w:ascii="Times New Roman" w:hAnsi="Times New Roman"/>
                <w:sz w:val="22"/>
              </w:rPr>
              <w:t>Adresse:</w:t>
            </w:r>
          </w:p>
          <w:p w:rsidR="00026EA7" w:rsidRPr="003A61F6" w:rsidRDefault="00026EA7" w:rsidP="00AD793E">
            <w:pPr>
              <w:tabs>
                <w:tab w:val="left" w:pos="2064"/>
              </w:tabs>
              <w:spacing w:before="120" w:after="120"/>
              <w:ind w:right="312"/>
              <w:rPr>
                <w:rFonts w:ascii="Times New Roman" w:hAnsi="Times New Roman"/>
                <w:b/>
                <w:sz w:val="22"/>
                <w:szCs w:val="22"/>
              </w:rPr>
            </w:pPr>
            <w:r>
              <w:rPr>
                <w:rFonts w:ascii="Times New Roman" w:hAnsi="Times New Roman"/>
                <w:sz w:val="22"/>
              </w:rPr>
              <w:t>Coordonnées pour contact:</w:t>
            </w:r>
          </w:p>
          <w:p w:rsidR="00026EA7" w:rsidRPr="003A61F6" w:rsidRDefault="00026EA7" w:rsidP="00AD793E">
            <w:pPr>
              <w:tabs>
                <w:tab w:val="left" w:pos="2064"/>
              </w:tabs>
              <w:spacing w:before="120" w:after="120"/>
              <w:ind w:right="312"/>
              <w:rPr>
                <w:rFonts w:ascii="Times New Roman" w:hAnsi="Times New Roman"/>
                <w:b/>
                <w:sz w:val="22"/>
                <w:szCs w:val="22"/>
                <w:lang w:val="el-GR"/>
              </w:rPr>
            </w:pPr>
          </w:p>
        </w:tc>
      </w:tr>
      <w:tr w:rsidR="003A61F6" w:rsidRPr="00DC516E"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2</w:t>
            </w:r>
          </w:p>
          <w:p w:rsidR="00026EA7" w:rsidRPr="003A61F6" w:rsidRDefault="00026EA7" w:rsidP="00AD793E">
            <w:pPr>
              <w:spacing w:line="237" w:lineRule="auto"/>
              <w:ind w:right="3040"/>
              <w:rPr>
                <w:rFonts w:ascii="Times New Roman" w:hAnsi="Times New Roman"/>
                <w:sz w:val="22"/>
                <w:szCs w:val="22"/>
              </w:rPr>
            </w:pPr>
          </w:p>
        </w:tc>
        <w:tc>
          <w:tcPr>
            <w:tcW w:w="9214" w:type="dxa"/>
            <w:vAlign w:val="center"/>
          </w:tcPr>
          <w:p w:rsidR="00026EA7" w:rsidRPr="003A61F6" w:rsidRDefault="00026EA7" w:rsidP="00AD793E">
            <w:pPr>
              <w:tabs>
                <w:tab w:val="left" w:pos="8113"/>
              </w:tabs>
              <w:spacing w:line="237" w:lineRule="auto"/>
              <w:ind w:right="3040"/>
              <w:rPr>
                <w:rFonts w:ascii="Times New Roman" w:hAnsi="Times New Roman"/>
                <w:sz w:val="22"/>
                <w:szCs w:val="22"/>
                <w:lang w:val="el-GR"/>
              </w:rPr>
            </w:pPr>
          </w:p>
          <w:p w:rsidR="00026EA7" w:rsidRPr="003A61F6" w:rsidRDefault="00026EA7" w:rsidP="00AD793E">
            <w:pPr>
              <w:tabs>
                <w:tab w:val="left" w:pos="459"/>
              </w:tabs>
              <w:spacing w:line="237" w:lineRule="auto"/>
              <w:ind w:right="176"/>
              <w:jc w:val="both"/>
              <w:rPr>
                <w:rFonts w:ascii="Times New Roman" w:hAnsi="Times New Roman"/>
                <w:sz w:val="22"/>
                <w:szCs w:val="22"/>
              </w:rPr>
            </w:pPr>
            <w:r>
              <w:rPr>
                <w:rFonts w:ascii="Times New Roman" w:hAnsi="Times New Roman"/>
                <w:sz w:val="22"/>
              </w:rPr>
              <w:t>Norme ou spécification technique à laquelle se conforme le produit complet issu de la transformation de matériaux élastomères.</w:t>
            </w:r>
          </w:p>
          <w:p w:rsidR="00026EA7" w:rsidRPr="003A61F6" w:rsidRDefault="00026EA7" w:rsidP="00AD793E">
            <w:pPr>
              <w:tabs>
                <w:tab w:val="left" w:pos="459"/>
              </w:tabs>
              <w:spacing w:line="237" w:lineRule="auto"/>
              <w:ind w:left="459" w:right="176" w:hanging="425"/>
              <w:rPr>
                <w:rFonts w:ascii="Times New Roman" w:hAnsi="Times New Roman"/>
                <w:sz w:val="22"/>
                <w:szCs w:val="22"/>
                <w:lang w:val="el-GR"/>
              </w:rPr>
            </w:pPr>
          </w:p>
          <w:p w:rsidR="00026EA7" w:rsidRPr="003A61F6" w:rsidRDefault="00026EA7" w:rsidP="00AD793E">
            <w:pPr>
              <w:tabs>
                <w:tab w:val="left" w:pos="459"/>
              </w:tabs>
              <w:spacing w:line="237" w:lineRule="auto"/>
              <w:ind w:left="459"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3</w:t>
            </w:r>
          </w:p>
        </w:tc>
        <w:tc>
          <w:tcPr>
            <w:tcW w:w="9214" w:type="dxa"/>
            <w:vAlign w:val="center"/>
          </w:tcPr>
          <w:p w:rsidR="00026EA7" w:rsidRPr="003A61F6" w:rsidRDefault="00026EA7" w:rsidP="00AD793E">
            <w:pPr>
              <w:tabs>
                <w:tab w:val="left" w:pos="459"/>
              </w:tabs>
              <w:spacing w:line="237" w:lineRule="auto"/>
              <w:ind w:left="360" w:right="3040"/>
              <w:rPr>
                <w:rFonts w:ascii="Times New Roman" w:hAnsi="Times New Roman"/>
                <w:sz w:val="22"/>
                <w:szCs w:val="22"/>
              </w:rPr>
            </w:pPr>
          </w:p>
          <w:p w:rsidR="00026EA7" w:rsidRPr="003A61F6" w:rsidRDefault="00026EA7" w:rsidP="00AD793E">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rPr>
              <w:t>Numéro d’identification du lot/de la cargaison:</w:t>
            </w:r>
          </w:p>
          <w:p w:rsidR="00026EA7" w:rsidRPr="003A61F6" w:rsidRDefault="00026EA7" w:rsidP="00AD793E">
            <w:pPr>
              <w:tabs>
                <w:tab w:val="left" w:pos="459"/>
              </w:tabs>
              <w:spacing w:line="237" w:lineRule="auto"/>
              <w:ind w:right="3040"/>
              <w:rPr>
                <w:rFonts w:ascii="Times New Roman" w:hAnsi="Times New Roman"/>
                <w:sz w:val="22"/>
                <w:szCs w:val="22"/>
                <w:lang w:val="el-GR"/>
              </w:rPr>
            </w:pPr>
          </w:p>
          <w:p w:rsidR="00026EA7" w:rsidRPr="003A61F6" w:rsidRDefault="00026EA7" w:rsidP="00AD793E">
            <w:pPr>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rPr>
              <w:t xml:space="preserve">Poids de la cargaison (kg),  </w:t>
            </w:r>
          </w:p>
          <w:p w:rsidR="00026EA7" w:rsidRPr="003A61F6" w:rsidRDefault="00026EA7" w:rsidP="00AD793E">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rPr>
              <w:t>volume (m</w:t>
            </w:r>
            <w:r>
              <w:rPr>
                <w:rFonts w:ascii="Times New Roman" w:hAnsi="Times New Roman"/>
                <w:sz w:val="22"/>
                <w:vertAlign w:val="superscript"/>
              </w:rPr>
              <w:t>3</w:t>
            </w:r>
            <w:r>
              <w:rPr>
                <w:rFonts w:ascii="Times New Roman" w:hAnsi="Times New Roman"/>
                <w:sz w:val="22"/>
              </w:rPr>
              <w:t>), nombre d’objets:</w:t>
            </w:r>
          </w:p>
          <w:p w:rsidR="00026EA7" w:rsidRPr="003A61F6" w:rsidRDefault="00026EA7" w:rsidP="00AD793E">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4</w:t>
            </w:r>
          </w:p>
        </w:tc>
        <w:tc>
          <w:tcPr>
            <w:tcW w:w="9214" w:type="dxa"/>
            <w:vAlign w:val="center"/>
          </w:tcPr>
          <w:p w:rsidR="00026EA7" w:rsidRPr="003A61F6" w:rsidRDefault="00026EA7" w:rsidP="00AD793E">
            <w:pPr>
              <w:spacing w:line="237" w:lineRule="auto"/>
              <w:ind w:right="176"/>
              <w:rPr>
                <w:rFonts w:ascii="Times New Roman" w:hAnsi="Times New Roman"/>
                <w:sz w:val="22"/>
                <w:szCs w:val="22"/>
              </w:rPr>
            </w:pPr>
          </w:p>
          <w:p w:rsidR="00026EA7" w:rsidRPr="003A61F6" w:rsidRDefault="00026EA7" w:rsidP="00AD793E">
            <w:pPr>
              <w:spacing w:line="237" w:lineRule="auto"/>
              <w:ind w:right="176"/>
              <w:rPr>
                <w:rFonts w:ascii="Times New Roman" w:hAnsi="Times New Roman"/>
                <w:sz w:val="22"/>
                <w:szCs w:val="22"/>
              </w:rPr>
            </w:pPr>
            <w:r>
              <w:rPr>
                <w:rFonts w:ascii="Times New Roman" w:hAnsi="Times New Roman"/>
                <w:sz w:val="22"/>
              </w:rPr>
              <w:t xml:space="preserve">Application d’un Système de gestion de la qualité </w:t>
            </w:r>
          </w:p>
          <w:p w:rsidR="00026EA7" w:rsidRPr="003A61F6" w:rsidRDefault="00026EA7" w:rsidP="00AD793E">
            <w:pPr>
              <w:spacing w:line="237" w:lineRule="auto"/>
              <w:ind w:right="176"/>
              <w:rPr>
                <w:rFonts w:ascii="Times New Roman" w:hAnsi="Times New Roman"/>
                <w:sz w:val="22"/>
                <w:szCs w:val="22"/>
              </w:rPr>
            </w:pPr>
          </w:p>
          <w:p w:rsidR="00026EA7" w:rsidRPr="003A61F6" w:rsidRDefault="00026EA7" w:rsidP="00AD793E">
            <w:pPr>
              <w:spacing w:line="237" w:lineRule="auto"/>
              <w:ind w:right="176"/>
              <w:rPr>
                <w:rFonts w:ascii="Times New Roman" w:hAnsi="Times New Roman"/>
                <w:sz w:val="22"/>
                <w:szCs w:val="22"/>
              </w:rPr>
            </w:pPr>
            <w:r>
              <w:rPr>
                <w:rFonts w:ascii="Times New Roman" w:hAnsi="Times New Roman"/>
                <w:sz w:val="22"/>
              </w:rPr>
              <w:t>Satisfaction des exigences techniques définies à l’annexe IV:</w:t>
            </w:r>
            <w:r>
              <w:rPr>
                <w:rFonts w:ascii="Times New Roman" w:hAnsi="Times New Roman"/>
                <w:b/>
                <w:sz w:val="22"/>
              </w:rPr>
              <w:t xml:space="preserve"> </w:t>
            </w:r>
          </w:p>
          <w:p w:rsidR="00026EA7" w:rsidRPr="003A61F6" w:rsidRDefault="00026EA7" w:rsidP="00AD793E">
            <w:pPr>
              <w:spacing w:line="237" w:lineRule="auto"/>
              <w:ind w:right="176"/>
              <w:rPr>
                <w:rFonts w:ascii="Times New Roman" w:hAnsi="Times New Roman"/>
                <w:sz w:val="22"/>
                <w:szCs w:val="22"/>
                <w:lang w:val="el-GR"/>
              </w:rPr>
            </w:pPr>
          </w:p>
          <w:p w:rsidR="00026EA7" w:rsidRPr="003A61F6" w:rsidRDefault="00026EA7" w:rsidP="00AD793E">
            <w:pPr>
              <w:spacing w:line="237" w:lineRule="auto"/>
              <w:ind w:right="176"/>
              <w:rPr>
                <w:rFonts w:ascii="Times New Roman" w:hAnsi="Times New Roman"/>
                <w:sz w:val="22"/>
                <w:szCs w:val="22"/>
              </w:rPr>
            </w:pPr>
            <w:r>
              <w:rPr>
                <w:rFonts w:ascii="Times New Roman" w:hAnsi="Times New Roman"/>
                <w:sz w:val="22"/>
              </w:rPr>
              <w:t>Satisfaction des exigences de la norme ISO 9001: 2015:</w:t>
            </w:r>
          </w:p>
          <w:p w:rsidR="00026EA7" w:rsidRPr="003A61F6" w:rsidRDefault="00026EA7" w:rsidP="00AD793E">
            <w:pPr>
              <w:spacing w:line="237" w:lineRule="auto"/>
              <w:ind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5</w:t>
            </w:r>
          </w:p>
        </w:tc>
        <w:tc>
          <w:tcPr>
            <w:tcW w:w="9214" w:type="dxa"/>
            <w:vAlign w:val="center"/>
          </w:tcPr>
          <w:p w:rsidR="00026EA7" w:rsidRPr="003A61F6" w:rsidRDefault="00026EA7" w:rsidP="00AD793E">
            <w:pPr>
              <w:spacing w:line="237" w:lineRule="auto"/>
              <w:ind w:right="176"/>
              <w:rPr>
                <w:rFonts w:ascii="Times New Roman" w:hAnsi="Times New Roman"/>
                <w:sz w:val="22"/>
                <w:szCs w:val="22"/>
                <w:lang w:val="el-GR"/>
              </w:rPr>
            </w:pPr>
          </w:p>
          <w:p w:rsidR="00026EA7" w:rsidRPr="003A61F6" w:rsidRDefault="00026EA7" w:rsidP="00AD793E">
            <w:pPr>
              <w:spacing w:line="237" w:lineRule="auto"/>
              <w:ind w:right="176"/>
              <w:rPr>
                <w:rFonts w:ascii="Times New Roman" w:hAnsi="Times New Roman"/>
                <w:sz w:val="22"/>
                <w:szCs w:val="22"/>
              </w:rPr>
            </w:pPr>
            <w:r>
              <w:rPr>
                <w:rFonts w:ascii="Times New Roman" w:hAnsi="Times New Roman"/>
                <w:sz w:val="22"/>
              </w:rPr>
              <w:t xml:space="preserve">La cargaison est exclusivement destinée à être utilisée: </w:t>
            </w:r>
          </w:p>
          <w:p w:rsidR="00026EA7" w:rsidRPr="003A61F6" w:rsidRDefault="00026EA7" w:rsidP="00AD793E">
            <w:pPr>
              <w:spacing w:line="237" w:lineRule="auto"/>
              <w:ind w:right="176"/>
              <w:rPr>
                <w:rFonts w:ascii="Times New Roman" w:hAnsi="Times New Roman"/>
                <w:sz w:val="22"/>
                <w:szCs w:val="22"/>
              </w:rPr>
            </w:pPr>
            <w:r>
              <w:rPr>
                <w:rFonts w:ascii="Times New Roman" w:hAnsi="Times New Roman"/>
                <w:sz w:val="22"/>
              </w:rPr>
              <w:t xml:space="preserve">(indiquer la finalité à laquelle elle est destinée) </w:t>
            </w:r>
          </w:p>
          <w:p w:rsidR="00026EA7" w:rsidRPr="003A61F6" w:rsidRDefault="00026EA7" w:rsidP="00AD793E">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AD793E">
            <w:pPr>
              <w:spacing w:line="237" w:lineRule="auto"/>
              <w:ind w:right="3040"/>
              <w:rPr>
                <w:rFonts w:ascii="Times New Roman" w:hAnsi="Times New Roman"/>
                <w:sz w:val="22"/>
                <w:szCs w:val="22"/>
              </w:rPr>
            </w:pPr>
            <w:r>
              <w:rPr>
                <w:rFonts w:ascii="Times New Roman" w:hAnsi="Times New Roman"/>
                <w:sz w:val="22"/>
              </w:rPr>
              <w:t>6</w:t>
            </w:r>
          </w:p>
        </w:tc>
        <w:tc>
          <w:tcPr>
            <w:tcW w:w="9214" w:type="dxa"/>
            <w:vAlign w:val="center"/>
          </w:tcPr>
          <w:p w:rsidR="00026EA7" w:rsidRPr="003A61F6" w:rsidRDefault="00026EA7" w:rsidP="00AD793E">
            <w:pPr>
              <w:spacing w:line="237" w:lineRule="auto"/>
              <w:ind w:right="176"/>
              <w:rPr>
                <w:rFonts w:ascii="Times New Roman" w:hAnsi="Times New Roman"/>
                <w:sz w:val="22"/>
                <w:szCs w:val="22"/>
                <w:lang w:val="el-GR"/>
              </w:rPr>
            </w:pPr>
          </w:p>
          <w:p w:rsidR="00026EA7" w:rsidRPr="003A61F6" w:rsidRDefault="00026EA7" w:rsidP="00AD793E">
            <w:pPr>
              <w:spacing w:line="237" w:lineRule="auto"/>
              <w:ind w:right="176"/>
              <w:rPr>
                <w:rFonts w:ascii="Times New Roman" w:hAnsi="Times New Roman"/>
                <w:b/>
                <w:sz w:val="22"/>
                <w:szCs w:val="22"/>
              </w:rPr>
            </w:pPr>
            <w:r>
              <w:rPr>
                <w:rFonts w:ascii="Times New Roman" w:hAnsi="Times New Roman"/>
                <w:b/>
                <w:sz w:val="22"/>
              </w:rPr>
              <w:t xml:space="preserve">Personne en charge </w:t>
            </w:r>
          </w:p>
          <w:p w:rsidR="00026EA7" w:rsidRPr="003A61F6" w:rsidRDefault="00026EA7" w:rsidP="00AD793E">
            <w:pPr>
              <w:spacing w:line="237" w:lineRule="auto"/>
              <w:ind w:right="176"/>
              <w:rPr>
                <w:rFonts w:ascii="Times New Roman" w:hAnsi="Times New Roman"/>
                <w:sz w:val="22"/>
                <w:szCs w:val="22"/>
                <w:lang w:val="el-GR"/>
              </w:rPr>
            </w:pPr>
          </w:p>
          <w:p w:rsidR="00026EA7" w:rsidRPr="003A61F6" w:rsidRDefault="00026EA7" w:rsidP="00AD793E">
            <w:pPr>
              <w:tabs>
                <w:tab w:val="left" w:pos="2106"/>
              </w:tabs>
              <w:spacing w:line="237" w:lineRule="auto"/>
              <w:ind w:right="176"/>
              <w:rPr>
                <w:rFonts w:ascii="Times New Roman" w:hAnsi="Times New Roman"/>
                <w:sz w:val="22"/>
                <w:szCs w:val="22"/>
              </w:rPr>
            </w:pPr>
            <w:r>
              <w:rPr>
                <w:rFonts w:ascii="Times New Roman" w:hAnsi="Times New Roman"/>
                <w:sz w:val="22"/>
              </w:rPr>
              <w:t>Nom et prénom:</w:t>
            </w:r>
          </w:p>
          <w:p w:rsidR="00026EA7" w:rsidRPr="003A61F6" w:rsidRDefault="00026EA7" w:rsidP="00AD793E">
            <w:pPr>
              <w:tabs>
                <w:tab w:val="left" w:pos="2106"/>
              </w:tabs>
              <w:spacing w:line="237" w:lineRule="auto"/>
              <w:ind w:right="176"/>
              <w:rPr>
                <w:rFonts w:ascii="Times New Roman" w:hAnsi="Times New Roman"/>
                <w:sz w:val="22"/>
                <w:szCs w:val="22"/>
                <w:lang w:val="el-GR"/>
              </w:rPr>
            </w:pPr>
          </w:p>
          <w:p w:rsidR="00026EA7" w:rsidRPr="003A61F6" w:rsidRDefault="00026EA7" w:rsidP="00AD793E">
            <w:pPr>
              <w:tabs>
                <w:tab w:val="left" w:pos="2106"/>
              </w:tabs>
              <w:spacing w:line="237" w:lineRule="auto"/>
              <w:ind w:right="176"/>
              <w:rPr>
                <w:rFonts w:ascii="Times New Roman" w:hAnsi="Times New Roman"/>
                <w:sz w:val="22"/>
                <w:szCs w:val="22"/>
              </w:rPr>
            </w:pPr>
            <w:r>
              <w:rPr>
                <w:rFonts w:ascii="Times New Roman" w:hAnsi="Times New Roman"/>
                <w:sz w:val="22"/>
              </w:rPr>
              <w:t>Date:</w:t>
            </w:r>
          </w:p>
          <w:p w:rsidR="00026EA7" w:rsidRPr="003A61F6" w:rsidRDefault="00026EA7" w:rsidP="00AD793E">
            <w:pPr>
              <w:tabs>
                <w:tab w:val="left" w:pos="2106"/>
              </w:tabs>
              <w:spacing w:line="237" w:lineRule="auto"/>
              <w:ind w:right="176"/>
              <w:rPr>
                <w:rFonts w:ascii="Times New Roman" w:hAnsi="Times New Roman"/>
                <w:sz w:val="22"/>
                <w:szCs w:val="22"/>
                <w:lang w:val="el-GR"/>
              </w:rPr>
            </w:pPr>
          </w:p>
          <w:p w:rsidR="00026EA7" w:rsidRPr="003A61F6" w:rsidRDefault="00026EA7" w:rsidP="00AD793E">
            <w:pPr>
              <w:tabs>
                <w:tab w:val="left" w:pos="2106"/>
              </w:tabs>
              <w:spacing w:line="237" w:lineRule="auto"/>
              <w:ind w:right="176"/>
              <w:rPr>
                <w:rFonts w:ascii="Times New Roman" w:hAnsi="Times New Roman"/>
                <w:sz w:val="22"/>
                <w:szCs w:val="22"/>
              </w:rPr>
            </w:pPr>
            <w:r>
              <w:rPr>
                <w:rFonts w:ascii="Times New Roman" w:hAnsi="Times New Roman"/>
                <w:sz w:val="22"/>
              </w:rPr>
              <w:t>Signature</w:t>
            </w:r>
            <w:r>
              <w:rPr>
                <w:rFonts w:ascii="Times New Roman" w:hAnsi="Times New Roman"/>
                <w:sz w:val="22"/>
              </w:rPr>
              <w:tab/>
              <w:t>:</w:t>
            </w:r>
          </w:p>
          <w:p w:rsidR="00026EA7" w:rsidRPr="003A61F6" w:rsidRDefault="00026EA7" w:rsidP="00AD793E">
            <w:pPr>
              <w:spacing w:line="237" w:lineRule="auto"/>
              <w:ind w:right="176"/>
              <w:rPr>
                <w:rFonts w:ascii="Times New Roman" w:hAnsi="Times New Roman"/>
                <w:sz w:val="22"/>
                <w:szCs w:val="22"/>
                <w:lang w:val="el-GR"/>
              </w:rPr>
            </w:pPr>
          </w:p>
        </w:tc>
      </w:tr>
    </w:tbl>
    <w:p w:rsidR="00026EA7" w:rsidRPr="003A61F6" w:rsidRDefault="00026EA7" w:rsidP="00AD793E">
      <w:pPr>
        <w:spacing w:line="237" w:lineRule="auto"/>
        <w:ind w:right="3040"/>
        <w:rPr>
          <w:rFonts w:ascii="Times New Roman" w:hAnsi="Times New Roman"/>
          <w:sz w:val="22"/>
          <w:szCs w:val="22"/>
          <w:lang w:val="el-GR"/>
        </w:rPr>
      </w:pPr>
    </w:p>
    <w:p w:rsidR="00026EA7" w:rsidRPr="003A61F6" w:rsidRDefault="00026EA7" w:rsidP="00AD793E">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AD793E">
      <w:pPr>
        <w:tabs>
          <w:tab w:val="left" w:pos="5532"/>
        </w:tabs>
        <w:spacing w:before="79"/>
        <w:ind w:left="3569"/>
        <w:rPr>
          <w:rFonts w:ascii="Times New Roman" w:hAnsi="Times New Roman"/>
          <w:b/>
          <w:spacing w:val="60"/>
          <w:sz w:val="22"/>
          <w:szCs w:val="22"/>
        </w:rPr>
      </w:pPr>
      <w:r>
        <w:rPr>
          <w:rFonts w:ascii="Times New Roman" w:hAnsi="Times New Roman"/>
          <w:b/>
          <w:sz w:val="22"/>
        </w:rPr>
        <w:lastRenderedPageBreak/>
        <w:t>ANNEXE IV</w:t>
      </w:r>
    </w:p>
    <w:p w:rsidR="00026EA7" w:rsidRPr="003A61F6" w:rsidRDefault="00026EA7" w:rsidP="00AD793E">
      <w:pPr>
        <w:pStyle w:val="BodyText"/>
        <w:spacing w:before="8"/>
        <w:rPr>
          <w:rFonts w:ascii="Times New Roman" w:hAnsi="Times New Roman"/>
          <w:b/>
          <w:sz w:val="22"/>
          <w:szCs w:val="22"/>
          <w:lang w:val="el-GR"/>
        </w:rPr>
      </w:pPr>
    </w:p>
    <w:p w:rsidR="00026EA7" w:rsidRPr="003A61F6" w:rsidRDefault="00026EA7" w:rsidP="00AD793E">
      <w:pPr>
        <w:pStyle w:val="BodyText"/>
        <w:ind w:left="3355"/>
        <w:rPr>
          <w:rFonts w:ascii="Times New Roman" w:hAnsi="Times New Roman"/>
          <w:sz w:val="22"/>
          <w:szCs w:val="22"/>
        </w:rPr>
      </w:pPr>
      <w:r>
        <w:rPr>
          <w:rFonts w:ascii="Times New Roman" w:hAnsi="Times New Roman"/>
          <w:sz w:val="22"/>
        </w:rPr>
        <w:t>Système de gestion de la qualité</w:t>
      </w:r>
    </w:p>
    <w:p w:rsidR="00026EA7" w:rsidRPr="003A61F6" w:rsidRDefault="00026EA7" w:rsidP="00AD793E">
      <w:pPr>
        <w:pStyle w:val="BodyText"/>
        <w:spacing w:before="1"/>
        <w:rPr>
          <w:rFonts w:ascii="Times New Roman" w:hAnsi="Times New Roman"/>
          <w:sz w:val="22"/>
          <w:szCs w:val="22"/>
          <w:lang w:val="el-GR"/>
        </w:rPr>
      </w:pPr>
    </w:p>
    <w:p w:rsidR="00026EA7" w:rsidRPr="003A61F6" w:rsidRDefault="00026EA7" w:rsidP="00AD793E">
      <w:pPr>
        <w:pStyle w:val="ListParagraph"/>
        <w:widowControl/>
        <w:numPr>
          <w:ilvl w:val="0"/>
          <w:numId w:val="8"/>
        </w:numPr>
        <w:tabs>
          <w:tab w:val="left" w:pos="928"/>
          <w:tab w:val="left" w:pos="929"/>
        </w:tabs>
        <w:spacing w:before="0"/>
        <w:ind w:right="250"/>
      </w:pPr>
      <w:r>
        <w:t>Le Système de gestion de la qualité appliqué par le fabricant des produits issus de la transformation de matériau élastomère comporte une série de procédures documentées pour chacun des aspects ci-dessous:</w:t>
      </w:r>
    </w:p>
    <w:p w:rsidR="00026EA7" w:rsidRPr="003A61F6" w:rsidRDefault="00026EA7" w:rsidP="00AD793E">
      <w:pPr>
        <w:pStyle w:val="ListParagraph"/>
        <w:widowControl/>
        <w:numPr>
          <w:ilvl w:val="1"/>
          <w:numId w:val="7"/>
        </w:numPr>
        <w:tabs>
          <w:tab w:val="left" w:pos="1661"/>
        </w:tabs>
        <w:spacing w:before="240" w:after="240"/>
        <w:ind w:right="249"/>
      </w:pPr>
      <w:r>
        <w:t xml:space="preserve">Application des critères de satisfaction des exigences comme visés à l’annexe ΙΙ, point 1, et enregistrement des résultats. </w:t>
      </w:r>
    </w:p>
    <w:p w:rsidR="00026EA7" w:rsidRPr="003A61F6" w:rsidRDefault="00026EA7" w:rsidP="00AD793E">
      <w:pPr>
        <w:pStyle w:val="ListParagraph"/>
        <w:widowControl/>
        <w:numPr>
          <w:ilvl w:val="1"/>
          <w:numId w:val="7"/>
        </w:numPr>
        <w:tabs>
          <w:tab w:val="left" w:pos="1661"/>
        </w:tabs>
        <w:spacing w:before="240" w:after="240"/>
        <w:ind w:right="249"/>
      </w:pPr>
      <w:r>
        <w:t>Application des critères de satisfaction des exigences comme visés à l’annexe ΙΙ, point 2, et enregistrement des résultats.</w:t>
      </w:r>
    </w:p>
    <w:p w:rsidR="00026EA7" w:rsidRPr="003A61F6" w:rsidRDefault="00026EA7" w:rsidP="00AD793E">
      <w:pPr>
        <w:pStyle w:val="ListParagraph"/>
        <w:widowControl/>
        <w:numPr>
          <w:ilvl w:val="1"/>
          <w:numId w:val="7"/>
        </w:numPr>
        <w:tabs>
          <w:tab w:val="left" w:pos="1660"/>
          <w:tab w:val="left" w:pos="1661"/>
        </w:tabs>
        <w:spacing w:before="240" w:after="240"/>
      </w:pPr>
      <w:r>
        <w:t>Gestion des déchets issus du procédé de fabrication.</w:t>
      </w:r>
    </w:p>
    <w:p w:rsidR="00026EA7" w:rsidRPr="003A61F6" w:rsidRDefault="00026EA7" w:rsidP="00AD793E">
      <w:pPr>
        <w:pStyle w:val="ListParagraph"/>
        <w:widowControl/>
        <w:numPr>
          <w:ilvl w:val="1"/>
          <w:numId w:val="7"/>
        </w:numPr>
        <w:tabs>
          <w:tab w:val="left" w:pos="1660"/>
          <w:tab w:val="left" w:pos="1661"/>
        </w:tabs>
        <w:spacing w:before="240" w:after="240"/>
      </w:pPr>
      <w:r>
        <w:t>Respect d’une méthodologie d’évaluation de la satisfaction des clients.</w:t>
      </w:r>
    </w:p>
    <w:p w:rsidR="00026EA7" w:rsidRPr="003A61F6" w:rsidRDefault="00026EA7" w:rsidP="00AD793E">
      <w:pPr>
        <w:pStyle w:val="ListParagraph"/>
        <w:widowControl/>
        <w:numPr>
          <w:ilvl w:val="1"/>
          <w:numId w:val="7"/>
        </w:numPr>
        <w:tabs>
          <w:tab w:val="left" w:pos="1660"/>
          <w:tab w:val="left" w:pos="1661"/>
        </w:tabs>
        <w:spacing w:before="240" w:after="240"/>
      </w:pPr>
      <w:r>
        <w:t>Application d’un système de traçabilité.</w:t>
      </w:r>
    </w:p>
    <w:p w:rsidR="00026EA7" w:rsidRPr="003A61F6" w:rsidRDefault="00026EA7" w:rsidP="00AD793E">
      <w:pPr>
        <w:pStyle w:val="ListParagraph"/>
        <w:widowControl/>
        <w:numPr>
          <w:ilvl w:val="1"/>
          <w:numId w:val="7"/>
        </w:numPr>
        <w:tabs>
          <w:tab w:val="left" w:pos="1660"/>
          <w:tab w:val="left" w:pos="1661"/>
        </w:tabs>
        <w:spacing w:before="240" w:after="240"/>
      </w:pPr>
      <w:r>
        <w:t>Application d’un système de stockage adéquat.</w:t>
      </w:r>
    </w:p>
    <w:p w:rsidR="00026EA7" w:rsidRPr="003A61F6" w:rsidRDefault="00026EA7" w:rsidP="00AD793E">
      <w:pPr>
        <w:pStyle w:val="ListParagraph"/>
        <w:widowControl/>
        <w:numPr>
          <w:ilvl w:val="1"/>
          <w:numId w:val="7"/>
        </w:numPr>
        <w:tabs>
          <w:tab w:val="left" w:pos="1660"/>
          <w:tab w:val="left" w:pos="1661"/>
        </w:tabs>
        <w:spacing w:before="240" w:after="240"/>
      </w:pPr>
      <w:r>
        <w:t>Formation du personnel.</w:t>
      </w:r>
    </w:p>
    <w:p w:rsidR="00026EA7" w:rsidRPr="003A61F6" w:rsidRDefault="00026EA7" w:rsidP="00AD793E">
      <w:pPr>
        <w:pStyle w:val="ListParagraph"/>
        <w:widowControl/>
        <w:numPr>
          <w:ilvl w:val="1"/>
          <w:numId w:val="7"/>
        </w:numPr>
        <w:tabs>
          <w:tab w:val="left" w:pos="1660"/>
          <w:tab w:val="left" w:pos="1661"/>
        </w:tabs>
        <w:spacing w:before="240" w:after="240"/>
        <w:ind w:right="767"/>
      </w:pPr>
      <w:r>
        <w:t>Gestion des produits non-conformes.</w:t>
      </w:r>
    </w:p>
    <w:p w:rsidR="00026EA7" w:rsidRPr="003A61F6" w:rsidRDefault="00026EA7" w:rsidP="00AD793E">
      <w:pPr>
        <w:pStyle w:val="ListParagraph"/>
        <w:widowControl/>
        <w:numPr>
          <w:ilvl w:val="1"/>
          <w:numId w:val="7"/>
        </w:numPr>
        <w:tabs>
          <w:tab w:val="left" w:pos="1660"/>
          <w:tab w:val="left" w:pos="1661"/>
        </w:tabs>
        <w:spacing w:before="240" w:after="240"/>
      </w:pPr>
      <w:r>
        <w:t>Tenue de registre de plaintes.</w:t>
      </w:r>
    </w:p>
    <w:p w:rsidR="00026EA7" w:rsidRPr="003A61F6" w:rsidRDefault="00026EA7" w:rsidP="00AD793E">
      <w:pPr>
        <w:pStyle w:val="ListParagraph"/>
        <w:widowControl/>
        <w:numPr>
          <w:ilvl w:val="1"/>
          <w:numId w:val="7"/>
        </w:numPr>
        <w:tabs>
          <w:tab w:val="left" w:pos="1660"/>
          <w:tab w:val="left" w:pos="1661"/>
        </w:tabs>
        <w:spacing w:before="240" w:after="240"/>
      </w:pPr>
      <w:r>
        <w:t>Examen, réexamen et amélioration du Système de gestion de la qualité.</w:t>
      </w:r>
    </w:p>
    <w:p w:rsidR="00026EA7" w:rsidRPr="003A61F6" w:rsidRDefault="00026EA7" w:rsidP="00AD793E">
      <w:pPr>
        <w:pStyle w:val="ListParagraph"/>
        <w:widowControl/>
        <w:tabs>
          <w:tab w:val="left" w:pos="1660"/>
          <w:tab w:val="left" w:pos="1661"/>
        </w:tabs>
        <w:spacing w:before="240" w:after="240"/>
      </w:pPr>
    </w:p>
    <w:p w:rsidR="00026EA7" w:rsidRPr="003A61F6" w:rsidRDefault="00026EA7" w:rsidP="00AD793E">
      <w:pPr>
        <w:pStyle w:val="ListParagraph"/>
        <w:widowControl/>
        <w:numPr>
          <w:ilvl w:val="0"/>
          <w:numId w:val="8"/>
        </w:numPr>
        <w:tabs>
          <w:tab w:val="left" w:pos="928"/>
          <w:tab w:val="left" w:pos="929"/>
        </w:tabs>
        <w:spacing w:before="122"/>
        <w:ind w:right="252"/>
      </w:pPr>
      <w:r>
        <w:t xml:space="preserve">Le Système de gestion de la qualité est vérifié par un tiers, un organisme indépendant d’évaluation de la conformité. </w:t>
      </w:r>
    </w:p>
    <w:p w:rsidR="00026EA7" w:rsidRPr="003A61F6" w:rsidRDefault="00026EA7" w:rsidP="00AD793E">
      <w:pPr>
        <w:pStyle w:val="ListParagraph"/>
        <w:widowControl/>
        <w:tabs>
          <w:tab w:val="left" w:pos="928"/>
          <w:tab w:val="left" w:pos="929"/>
        </w:tabs>
        <w:spacing w:before="122"/>
        <w:ind w:left="928" w:right="252" w:firstLine="0"/>
      </w:pPr>
    </w:p>
    <w:p w:rsidR="00026EA7" w:rsidRPr="003A61F6" w:rsidRDefault="00026EA7" w:rsidP="00AD793E">
      <w:pPr>
        <w:pStyle w:val="ListParagraph"/>
        <w:widowControl/>
        <w:numPr>
          <w:ilvl w:val="0"/>
          <w:numId w:val="8"/>
        </w:numPr>
        <w:tabs>
          <w:tab w:val="left" w:pos="928"/>
          <w:tab w:val="left" w:pos="929"/>
        </w:tabs>
        <w:spacing w:before="122"/>
        <w:ind w:right="252"/>
      </w:pPr>
      <w:r>
        <w:t>La vérification du Système de gestion de la qualité est effectuée tous les trois ans et immédiatement après chaque changement de méthode et de technique de fabrication.</w:t>
      </w:r>
    </w:p>
    <w:p w:rsidR="00026EA7" w:rsidRPr="003A61F6" w:rsidRDefault="00026EA7" w:rsidP="00AD793E">
      <w:pPr>
        <w:pStyle w:val="BodyText"/>
        <w:spacing w:before="119"/>
        <w:ind w:left="928" w:right="250"/>
        <w:jc w:val="both"/>
        <w:rPr>
          <w:rFonts w:ascii="Times New Roman" w:hAnsi="Times New Roman"/>
          <w:sz w:val="22"/>
          <w:szCs w:val="22"/>
          <w:lang w:val="el-GR"/>
        </w:rPr>
      </w:pPr>
    </w:p>
    <w:p w:rsidR="00026EA7" w:rsidRPr="003A61F6" w:rsidRDefault="00026EA7" w:rsidP="00AD793E">
      <w:pPr>
        <w:jc w:val="both"/>
        <w:rPr>
          <w:rFonts w:ascii="Times New Roman" w:hAnsi="Times New Roman"/>
          <w:sz w:val="22"/>
          <w:szCs w:val="22"/>
          <w:lang w:val="el-GR"/>
        </w:rPr>
        <w:sectPr w:rsidR="00026EA7" w:rsidRPr="003A61F6">
          <w:pgSz w:w="11910" w:h="16840"/>
          <w:pgMar w:top="1340" w:right="640" w:bottom="900" w:left="1580" w:header="0" w:footer="709" w:gutter="0"/>
          <w:cols w:space="720"/>
        </w:sectPr>
      </w:pPr>
    </w:p>
    <w:p w:rsidR="00026EA7" w:rsidRPr="003A61F6" w:rsidRDefault="00026EA7" w:rsidP="00AD793E">
      <w:pPr>
        <w:pStyle w:val="Heading2"/>
        <w:widowControl/>
        <w:tabs>
          <w:tab w:val="left" w:pos="2215"/>
        </w:tabs>
        <w:spacing w:before="152"/>
        <w:ind w:right="27"/>
        <w:rPr>
          <w:spacing w:val="60"/>
        </w:rPr>
      </w:pPr>
      <w:r>
        <w:lastRenderedPageBreak/>
        <w:t>ANNEXE V</w:t>
      </w:r>
    </w:p>
    <w:p w:rsidR="00525FA9" w:rsidRPr="003A61F6" w:rsidRDefault="00525FA9" w:rsidP="00AD793E">
      <w:pPr>
        <w:pStyle w:val="Heading2"/>
        <w:widowControl/>
        <w:tabs>
          <w:tab w:val="left" w:pos="2215"/>
        </w:tabs>
        <w:spacing w:before="152"/>
        <w:ind w:right="27"/>
        <w:rPr>
          <w:b w:val="0"/>
          <w:spacing w:val="60"/>
        </w:rPr>
      </w:pPr>
    </w:p>
    <w:p w:rsidR="00026EA7" w:rsidRPr="003A61F6" w:rsidRDefault="00026EA7" w:rsidP="00AD793E">
      <w:pPr>
        <w:pStyle w:val="BodyText"/>
        <w:ind w:right="31"/>
        <w:jc w:val="center"/>
        <w:rPr>
          <w:rFonts w:ascii="Times New Roman" w:hAnsi="Times New Roman"/>
          <w:sz w:val="22"/>
          <w:szCs w:val="22"/>
        </w:rPr>
      </w:pPr>
      <w:r>
        <w:rPr>
          <w:rFonts w:ascii="Times New Roman" w:hAnsi="Times New Roman"/>
          <w:sz w:val="22"/>
        </w:rPr>
        <w:t>LISTE INDICATIVE DE NORMES</w:t>
      </w:r>
      <w:r w:rsidRPr="003A61F6">
        <w:rPr>
          <w:rStyle w:val="FootnoteReference"/>
          <w:rFonts w:ascii="Times New Roman" w:hAnsi="Times New Roman"/>
          <w:sz w:val="22"/>
          <w:szCs w:val="22"/>
        </w:rPr>
        <w:footnoteReference w:id="1"/>
      </w:r>
      <w:r>
        <w:rPr>
          <w:rFonts w:ascii="Times New Roman" w:hAnsi="Times New Roman"/>
          <w:sz w:val="22"/>
        </w:rPr>
        <w:t xml:space="preserve"> ET SPÉCIFICATIONS TECHNIQUES POUR INFORMER LES FABRICANTS DES PRODUITS ISSUS DE LA TRANSFORMATION DES MATÉRIAUX ÉLASTOMÈRES</w:t>
      </w:r>
    </w:p>
    <w:p w:rsidR="00026EA7" w:rsidRPr="003A61F6" w:rsidRDefault="00026EA7" w:rsidP="00AD793E">
      <w:pPr>
        <w:pStyle w:val="BodyText"/>
        <w:jc w:val="both"/>
        <w:rPr>
          <w:rFonts w:ascii="Times New Roman" w:hAnsi="Times New Roman"/>
          <w:sz w:val="22"/>
          <w:szCs w:val="22"/>
        </w:rPr>
      </w:pPr>
      <w:r>
        <w:rPr>
          <w:rFonts w:ascii="Times New Roman" w:hAnsi="Times New Roman"/>
          <w:sz w:val="22"/>
        </w:rPr>
        <w:t>La liste sera mise à jour avec les nouvelles normes, établies par le Comité européen de normalisation, et qui concernent les fins du présent arrêté</w:t>
      </w:r>
      <w:r w:rsidRPr="003A61F6">
        <w:rPr>
          <w:rStyle w:val="FootnoteReference"/>
          <w:rFonts w:ascii="Times New Roman" w:hAnsi="Times New Roman"/>
          <w:sz w:val="22"/>
          <w:szCs w:val="22"/>
        </w:rPr>
        <w:footnoteReference w:id="2"/>
      </w:r>
      <w:r>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CEN/TS 14243</w:t>
            </w:r>
          </w:p>
        </w:tc>
        <w:tc>
          <w:tcPr>
            <w:tcW w:w="7229" w:type="dxa"/>
          </w:tcPr>
          <w:p w:rsidR="00026EA7" w:rsidRPr="003A61F6" w:rsidRDefault="00026EA7" w:rsidP="00AD793E">
            <w:pPr>
              <w:pStyle w:val="TableParagraph"/>
              <w:widowControl/>
              <w:ind w:left="129" w:right="59"/>
            </w:pPr>
            <w:r>
              <w:t>Materials produced from end of life tyres - Specification of categories based on their dimension(s) and impurities and methods for determining their dimension (s) and impurities</w:t>
            </w:r>
          </w:p>
        </w:tc>
      </w:tr>
      <w:tr w:rsidR="003A61F6" w:rsidRPr="003A61F6" w:rsidTr="00525FA9">
        <w:tc>
          <w:tcPr>
            <w:tcW w:w="2020" w:type="dxa"/>
            <w:vAlign w:val="center"/>
          </w:tcPr>
          <w:p w:rsidR="00026EA7" w:rsidRPr="003A61F6" w:rsidRDefault="00026EA7" w:rsidP="00AD793E">
            <w:pPr>
              <w:pStyle w:val="TableParagraph"/>
              <w:widowControl/>
              <w:ind w:left="107"/>
              <w:rPr>
                <w:b/>
              </w:rPr>
            </w:pPr>
            <w:r>
              <w:rPr>
                <w:b/>
              </w:rPr>
              <w:t>EN 14243-1</w:t>
            </w:r>
          </w:p>
        </w:tc>
        <w:tc>
          <w:tcPr>
            <w:tcW w:w="7229" w:type="dxa"/>
          </w:tcPr>
          <w:p w:rsidR="00026EA7" w:rsidRPr="003A61F6" w:rsidRDefault="00026EA7" w:rsidP="00AD793E">
            <w:pPr>
              <w:pStyle w:val="TableParagraph"/>
              <w:widowControl/>
              <w:spacing w:line="216" w:lineRule="exact"/>
              <w:ind w:left="107"/>
            </w:pPr>
            <w:r>
              <w:t>Materials obtained from end of life tyres - Part 1: General definitions related to the methods for determining their dimension(s) and impurities</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EN 14243-2</w:t>
            </w:r>
          </w:p>
        </w:tc>
        <w:tc>
          <w:tcPr>
            <w:tcW w:w="7229" w:type="dxa"/>
          </w:tcPr>
          <w:p w:rsidR="00026EA7" w:rsidRPr="003A61F6" w:rsidRDefault="00026EA7" w:rsidP="00AD793E">
            <w:pPr>
              <w:pStyle w:val="TableParagraph"/>
              <w:widowControl/>
              <w:spacing w:line="230" w:lineRule="atLeast"/>
              <w:ind w:left="107" w:right="184"/>
            </w:pPr>
            <w:r>
              <w:t>Materials obtained from end of life tyres - Part 2: Granulates and powders - Methods for determining the particle size distribution and impurities, including free steel and free textile content</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EN 14243-3</w:t>
            </w:r>
          </w:p>
        </w:tc>
        <w:tc>
          <w:tcPr>
            <w:tcW w:w="7229" w:type="dxa"/>
          </w:tcPr>
          <w:p w:rsidR="00026EA7" w:rsidRPr="003A61F6" w:rsidRDefault="00026EA7" w:rsidP="00AD793E">
            <w:pPr>
              <w:pStyle w:val="TableParagraph"/>
              <w:widowControl/>
              <w:spacing w:line="230" w:lineRule="atLeast"/>
              <w:ind w:left="107" w:right="59"/>
            </w:pPr>
            <w:r>
              <w:t>Materials obtained from end of life tyres - Part 3: Shreds, cuts and chips - Methods for determining their dimension(s) including protruding filaments dimensions</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PAS 107</w:t>
            </w:r>
          </w:p>
        </w:tc>
        <w:tc>
          <w:tcPr>
            <w:tcW w:w="7229" w:type="dxa"/>
          </w:tcPr>
          <w:p w:rsidR="00026EA7" w:rsidRPr="003A61F6" w:rsidRDefault="00026EA7" w:rsidP="00AD793E">
            <w:pPr>
              <w:pStyle w:val="TableParagraph"/>
              <w:widowControl/>
              <w:spacing w:line="223" w:lineRule="exact"/>
              <w:ind w:left="107"/>
            </w:pPr>
            <w:r>
              <w:t>Publicly available specification, for the manufacture and storage of size-reduced</w:t>
            </w:r>
          </w:p>
          <w:p w:rsidR="00026EA7" w:rsidRPr="003A61F6" w:rsidRDefault="00026EA7" w:rsidP="00AD793E">
            <w:pPr>
              <w:pStyle w:val="TableParagraph"/>
              <w:widowControl/>
              <w:spacing w:line="215" w:lineRule="exact"/>
              <w:ind w:left="107"/>
            </w:pPr>
            <w:r>
              <w:t>tyre materials</w:t>
            </w:r>
          </w:p>
        </w:tc>
      </w:tr>
      <w:tr w:rsidR="003A61F6" w:rsidRPr="003A61F6" w:rsidTr="00525FA9">
        <w:tc>
          <w:tcPr>
            <w:tcW w:w="2020" w:type="dxa"/>
            <w:vAlign w:val="center"/>
          </w:tcPr>
          <w:p w:rsidR="00026EA7" w:rsidRPr="003A61F6" w:rsidRDefault="00026EA7" w:rsidP="00AD793E">
            <w:pPr>
              <w:pStyle w:val="TableParagraph"/>
              <w:widowControl/>
              <w:spacing w:line="212" w:lineRule="exact"/>
              <w:ind w:left="107"/>
              <w:rPr>
                <w:b/>
              </w:rPr>
            </w:pPr>
            <w:r>
              <w:rPr>
                <w:b/>
              </w:rPr>
              <w:t xml:space="preserve">PAS 108 </w:t>
            </w:r>
          </w:p>
        </w:tc>
        <w:tc>
          <w:tcPr>
            <w:tcW w:w="7229" w:type="dxa"/>
          </w:tcPr>
          <w:p w:rsidR="00026EA7" w:rsidRPr="003A61F6" w:rsidRDefault="00026EA7" w:rsidP="00AD793E">
            <w:pPr>
              <w:pStyle w:val="TableParagraph"/>
              <w:widowControl/>
              <w:spacing w:line="212" w:lineRule="exact"/>
              <w:ind w:left="107"/>
            </w:pPr>
            <w:r>
              <w:t>Specification for the production of tyre bales for use in construction</w:t>
            </w:r>
          </w:p>
        </w:tc>
      </w:tr>
      <w:tr w:rsidR="003A61F6" w:rsidRPr="00DC516E" w:rsidTr="00525FA9">
        <w:tc>
          <w:tcPr>
            <w:tcW w:w="2020" w:type="dxa"/>
            <w:vAlign w:val="center"/>
          </w:tcPr>
          <w:p w:rsidR="00026EA7" w:rsidRPr="003A61F6" w:rsidRDefault="00026EA7" w:rsidP="00AD793E">
            <w:pPr>
              <w:pStyle w:val="TableParagraph"/>
              <w:widowControl/>
              <w:spacing w:line="228" w:lineRule="exact"/>
              <w:ind w:left="107"/>
              <w:rPr>
                <w:b/>
              </w:rPr>
            </w:pPr>
            <w:r>
              <w:rPr>
                <w:b/>
              </w:rPr>
              <w:t>ΕLΟΤ ΕΝ 1176-1</w:t>
            </w:r>
          </w:p>
        </w:tc>
        <w:tc>
          <w:tcPr>
            <w:tcW w:w="7229" w:type="dxa"/>
          </w:tcPr>
          <w:p w:rsidR="00026EA7" w:rsidRPr="003A61F6" w:rsidRDefault="00026EA7" w:rsidP="00AD793E">
            <w:pPr>
              <w:pStyle w:val="TableParagraph"/>
              <w:widowControl/>
              <w:spacing w:line="223" w:lineRule="exact"/>
              <w:ind w:left="107"/>
            </w:pPr>
            <w:r>
              <w:t>Équipements et sols d'aires de jeux - Partie 1:</w:t>
            </w:r>
          </w:p>
          <w:p w:rsidR="00026EA7" w:rsidRPr="003A61F6" w:rsidRDefault="00026EA7" w:rsidP="00AD793E">
            <w:pPr>
              <w:pStyle w:val="TableParagraph"/>
              <w:widowControl/>
              <w:spacing w:before="1" w:line="215" w:lineRule="exact"/>
              <w:ind w:left="107"/>
            </w:pPr>
            <w:r>
              <w:t>exigences de sécurité et méthodes d'essai générales</w:t>
            </w:r>
          </w:p>
        </w:tc>
      </w:tr>
      <w:tr w:rsidR="003A61F6" w:rsidRPr="00DC516E" w:rsidTr="00525FA9">
        <w:tc>
          <w:tcPr>
            <w:tcW w:w="2020" w:type="dxa"/>
            <w:vAlign w:val="center"/>
          </w:tcPr>
          <w:p w:rsidR="00026EA7" w:rsidRPr="003A61F6" w:rsidRDefault="00026EA7" w:rsidP="00AD793E">
            <w:pPr>
              <w:pStyle w:val="TableParagraph"/>
              <w:widowControl/>
              <w:ind w:left="107"/>
              <w:rPr>
                <w:b/>
              </w:rPr>
            </w:pPr>
            <w:r>
              <w:rPr>
                <w:b/>
              </w:rPr>
              <w:t>ΕLΟΤ ΕΝ 1176-7</w:t>
            </w:r>
          </w:p>
        </w:tc>
        <w:tc>
          <w:tcPr>
            <w:tcW w:w="7229" w:type="dxa"/>
          </w:tcPr>
          <w:p w:rsidR="00026EA7" w:rsidRPr="003A61F6" w:rsidRDefault="00026EA7" w:rsidP="00AD793E">
            <w:pPr>
              <w:pStyle w:val="TableParagraph"/>
              <w:widowControl/>
              <w:spacing w:line="228" w:lineRule="exact"/>
              <w:ind w:left="107" w:right="153"/>
            </w:pPr>
            <w:r>
              <w:t>Équipements et sols d'aires de jeux - Partie 7: guide d'installation, contrôle, maintenance et utilisation</w:t>
            </w:r>
          </w:p>
        </w:tc>
      </w:tr>
      <w:tr w:rsidR="003A61F6" w:rsidRPr="00DC516E" w:rsidTr="00525FA9">
        <w:tc>
          <w:tcPr>
            <w:tcW w:w="2020" w:type="dxa"/>
            <w:vAlign w:val="center"/>
          </w:tcPr>
          <w:p w:rsidR="00026EA7" w:rsidRPr="003A61F6" w:rsidRDefault="00026EA7" w:rsidP="00AD793E">
            <w:pPr>
              <w:pStyle w:val="TableParagraph"/>
              <w:widowControl/>
              <w:spacing w:line="228" w:lineRule="exact"/>
              <w:ind w:left="107"/>
              <w:rPr>
                <w:b/>
              </w:rPr>
            </w:pPr>
            <w:r>
              <w:rPr>
                <w:b/>
              </w:rPr>
              <w:t>ΕLΟΤ ΕΝ 1177</w:t>
            </w:r>
          </w:p>
        </w:tc>
        <w:tc>
          <w:tcPr>
            <w:tcW w:w="7229" w:type="dxa"/>
          </w:tcPr>
          <w:p w:rsidR="00026EA7" w:rsidRPr="003A61F6" w:rsidRDefault="00026EA7" w:rsidP="00AD793E">
            <w:pPr>
              <w:pStyle w:val="TableParagraph"/>
              <w:widowControl/>
              <w:ind w:left="107" w:right="1692"/>
            </w:pPr>
            <w:r>
              <w:t>Sols d'aires de jeux absorbant l'impact - Détermination de la hauteur de chute critique</w:t>
            </w:r>
          </w:p>
        </w:tc>
      </w:tr>
      <w:tr w:rsidR="003A61F6" w:rsidRPr="00DC516E" w:rsidTr="00525FA9">
        <w:tc>
          <w:tcPr>
            <w:tcW w:w="2020" w:type="dxa"/>
            <w:vAlign w:val="center"/>
          </w:tcPr>
          <w:p w:rsidR="00026EA7" w:rsidRPr="003A61F6" w:rsidRDefault="00026EA7" w:rsidP="00AD793E">
            <w:pPr>
              <w:pStyle w:val="TableParagraph"/>
              <w:widowControl/>
              <w:spacing w:line="210" w:lineRule="exact"/>
              <w:ind w:left="107"/>
              <w:rPr>
                <w:b/>
              </w:rPr>
            </w:pPr>
            <w:r>
              <w:rPr>
                <w:b/>
              </w:rPr>
              <w:t>ΕLΟΤ ΕΝ 71-3</w:t>
            </w:r>
          </w:p>
        </w:tc>
        <w:tc>
          <w:tcPr>
            <w:tcW w:w="7229" w:type="dxa"/>
          </w:tcPr>
          <w:p w:rsidR="00026EA7" w:rsidRPr="003A61F6" w:rsidRDefault="00026EA7" w:rsidP="00AD793E">
            <w:pPr>
              <w:pStyle w:val="TableParagraph"/>
              <w:widowControl/>
              <w:spacing w:line="210" w:lineRule="exact"/>
              <w:ind w:left="107"/>
            </w:pPr>
            <w:r>
              <w:t>Sécurité des jouets - Partie 3: migration de certains éléments</w:t>
            </w:r>
          </w:p>
        </w:tc>
      </w:tr>
      <w:tr w:rsidR="003A61F6" w:rsidRPr="00DC516E" w:rsidTr="00525FA9">
        <w:tc>
          <w:tcPr>
            <w:tcW w:w="2020" w:type="dxa"/>
            <w:vAlign w:val="center"/>
          </w:tcPr>
          <w:p w:rsidR="00026EA7" w:rsidRPr="003A61F6" w:rsidRDefault="00026EA7" w:rsidP="00AD793E">
            <w:pPr>
              <w:pStyle w:val="TableParagraph"/>
              <w:widowControl/>
              <w:ind w:left="107"/>
              <w:rPr>
                <w:b/>
              </w:rPr>
            </w:pPr>
            <w:r>
              <w:rPr>
                <w:b/>
              </w:rPr>
              <w:t>ΕLΟΤ ΕΝ 14877</w:t>
            </w:r>
          </w:p>
        </w:tc>
        <w:tc>
          <w:tcPr>
            <w:tcW w:w="7229" w:type="dxa"/>
          </w:tcPr>
          <w:p w:rsidR="00026EA7" w:rsidRPr="003A61F6" w:rsidRDefault="00026EA7" w:rsidP="00AD793E">
            <w:pPr>
              <w:pStyle w:val="TableParagraph"/>
              <w:widowControl/>
              <w:ind w:left="105"/>
            </w:pPr>
            <w:r>
              <w:t>Revêtements synthétiques pour terrains de sport en plein air - Spécification</w:t>
            </w:r>
          </w:p>
        </w:tc>
      </w:tr>
      <w:tr w:rsidR="003A61F6" w:rsidRPr="00DC516E" w:rsidTr="00525FA9">
        <w:tc>
          <w:tcPr>
            <w:tcW w:w="2020" w:type="dxa"/>
            <w:vAlign w:val="center"/>
          </w:tcPr>
          <w:p w:rsidR="00026EA7" w:rsidRPr="003A61F6" w:rsidRDefault="00026EA7" w:rsidP="00AD793E">
            <w:pPr>
              <w:pStyle w:val="TableParagraph"/>
              <w:widowControl/>
              <w:ind w:left="107"/>
              <w:rPr>
                <w:b/>
              </w:rPr>
            </w:pPr>
            <w:r>
              <w:rPr>
                <w:b/>
              </w:rPr>
              <w:t xml:space="preserve">DIN 18035-6 </w:t>
            </w:r>
          </w:p>
        </w:tc>
        <w:tc>
          <w:tcPr>
            <w:tcW w:w="7229" w:type="dxa"/>
          </w:tcPr>
          <w:p w:rsidR="00026EA7" w:rsidRPr="003A61F6" w:rsidRDefault="00026EA7" w:rsidP="00AD793E">
            <w:pPr>
              <w:pStyle w:val="TableParagraph"/>
              <w:widowControl/>
              <w:tabs>
                <w:tab w:val="left" w:pos="1695"/>
                <w:tab w:val="left" w:pos="2792"/>
                <w:tab w:val="left" w:pos="3293"/>
                <w:tab w:val="left" w:pos="4343"/>
                <w:tab w:val="left" w:pos="5477"/>
              </w:tabs>
              <w:ind w:left="105" w:right="179"/>
            </w:pPr>
            <w:r>
              <w:t>Exigences environnementales pour les revêtements synthétiques souples quant à leur teneur en métaux lourds</w:t>
            </w:r>
          </w:p>
        </w:tc>
      </w:tr>
      <w:tr w:rsidR="003A61F6" w:rsidRPr="00DC516E" w:rsidTr="00525FA9">
        <w:tc>
          <w:tcPr>
            <w:tcW w:w="2020" w:type="dxa"/>
            <w:vAlign w:val="center"/>
          </w:tcPr>
          <w:p w:rsidR="00026EA7" w:rsidRPr="003A61F6" w:rsidRDefault="00026EA7" w:rsidP="00AD793E">
            <w:pPr>
              <w:pStyle w:val="TableParagraph"/>
              <w:widowControl/>
              <w:ind w:left="107"/>
              <w:rPr>
                <w:b/>
              </w:rPr>
            </w:pPr>
            <w:r>
              <w:rPr>
                <w:b/>
              </w:rPr>
              <w:t>ΕLΟΤ ΕΝ 15330-1</w:t>
            </w:r>
          </w:p>
        </w:tc>
        <w:tc>
          <w:tcPr>
            <w:tcW w:w="7229" w:type="dxa"/>
          </w:tcPr>
          <w:p w:rsidR="00026EA7" w:rsidRPr="003A61F6" w:rsidRDefault="00026EA7" w:rsidP="00AD793E">
            <w:pPr>
              <w:pStyle w:val="TableParagraph"/>
              <w:widowControl/>
              <w:ind w:left="105"/>
            </w:pPr>
            <w:r>
              <w:t>Sols sportifs - Surfaces en gazon synthétique et surfaces en textile aiguilleté principalement destinées à l'usage en extérieur - Partie 1: spécifications relatives aux surfaces en gazon synthétique destinées à la pratique du football, du hockey ou du tennis, aux entraînements de rugby, ou à un usage multi-sports</w:t>
            </w:r>
          </w:p>
        </w:tc>
      </w:tr>
      <w:tr w:rsidR="003A61F6" w:rsidRPr="00DC516E" w:rsidTr="00525FA9">
        <w:tc>
          <w:tcPr>
            <w:tcW w:w="2020" w:type="dxa"/>
            <w:vAlign w:val="center"/>
          </w:tcPr>
          <w:p w:rsidR="00026EA7" w:rsidRPr="003A61F6" w:rsidRDefault="00026EA7" w:rsidP="00AD793E">
            <w:pPr>
              <w:pStyle w:val="TableParagraph"/>
              <w:widowControl/>
              <w:ind w:left="107"/>
              <w:rPr>
                <w:b/>
              </w:rPr>
            </w:pPr>
            <w:r>
              <w:rPr>
                <w:b/>
              </w:rPr>
              <w:t>DIN 18035-6</w:t>
            </w:r>
          </w:p>
        </w:tc>
        <w:tc>
          <w:tcPr>
            <w:tcW w:w="7229" w:type="dxa"/>
          </w:tcPr>
          <w:p w:rsidR="00026EA7" w:rsidRPr="003A61F6" w:rsidRDefault="00026EA7" w:rsidP="00AD793E">
            <w:pPr>
              <w:pStyle w:val="TableParagraph"/>
              <w:widowControl/>
              <w:tabs>
                <w:tab w:val="left" w:pos="1694"/>
                <w:tab w:val="left" w:pos="2790"/>
                <w:tab w:val="left" w:pos="3289"/>
                <w:tab w:val="left" w:pos="4339"/>
                <w:tab w:val="left" w:pos="5471"/>
              </w:tabs>
              <w:ind w:left="105" w:right="186"/>
            </w:pPr>
            <w:r>
              <w:t>Exigences environnementales pour les revêtements synthétiques souples quant à leur teneur en métaux lourds</w:t>
            </w:r>
          </w:p>
        </w:tc>
      </w:tr>
      <w:tr w:rsidR="003A61F6" w:rsidRPr="003A61F6" w:rsidTr="00525FA9">
        <w:tc>
          <w:tcPr>
            <w:tcW w:w="2020" w:type="dxa"/>
            <w:vAlign w:val="center"/>
          </w:tcPr>
          <w:p w:rsidR="00026EA7" w:rsidRPr="003A61F6" w:rsidRDefault="00A01F2C" w:rsidP="00AD793E">
            <w:pPr>
              <w:pStyle w:val="TableParagraph"/>
              <w:widowControl/>
              <w:spacing w:before="3"/>
              <w:rPr>
                <w:b/>
              </w:rPr>
            </w:pPr>
            <w:r>
              <w:rPr>
                <w:b/>
              </w:rPr>
              <w:t xml:space="preserve"> DIN 18035-7</w:t>
            </w:r>
          </w:p>
        </w:tc>
        <w:tc>
          <w:tcPr>
            <w:tcW w:w="7229" w:type="dxa"/>
          </w:tcPr>
          <w:p w:rsidR="00026EA7" w:rsidRPr="003A61F6" w:rsidRDefault="00A01F2C" w:rsidP="00AD793E">
            <w:pPr>
              <w:pStyle w:val="Heading2"/>
              <w:widowControl/>
              <w:jc w:val="left"/>
            </w:pPr>
            <w:r>
              <w:rPr>
                <w:b w:val="0"/>
              </w:rPr>
              <w:t xml:space="preserve"> Sports grounds - Part 7: Synthetic turf areas </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 xml:space="preserve">EN 15330:-1 </w:t>
            </w:r>
          </w:p>
        </w:tc>
        <w:tc>
          <w:tcPr>
            <w:tcW w:w="7229" w:type="dxa"/>
          </w:tcPr>
          <w:p w:rsidR="00026EA7" w:rsidRPr="003A61F6" w:rsidRDefault="00026EA7" w:rsidP="00AD793E">
            <w:pPr>
              <w:pStyle w:val="TableParagraph"/>
              <w:widowControl/>
              <w:spacing w:line="223" w:lineRule="exact"/>
              <w:ind w:left="105"/>
            </w:pPr>
            <w:r>
              <w:t>Surfaces for sports areas. Synthetic turf and needle-punched surfaces primarily designed for outdoor use.</w:t>
            </w:r>
          </w:p>
        </w:tc>
      </w:tr>
      <w:tr w:rsidR="003A61F6" w:rsidRPr="003A61F6" w:rsidTr="00525FA9">
        <w:tc>
          <w:tcPr>
            <w:tcW w:w="2020" w:type="dxa"/>
            <w:vAlign w:val="center"/>
          </w:tcPr>
          <w:p w:rsidR="00026EA7" w:rsidRPr="003A61F6" w:rsidRDefault="00026EA7" w:rsidP="00AD793E">
            <w:pPr>
              <w:pStyle w:val="TableParagraph"/>
              <w:widowControl/>
              <w:ind w:left="107"/>
              <w:rPr>
                <w:b/>
              </w:rPr>
            </w:pPr>
            <w:r>
              <w:rPr>
                <w:b/>
              </w:rPr>
              <w:t xml:space="preserve">EN 933-1 </w:t>
            </w:r>
          </w:p>
        </w:tc>
        <w:tc>
          <w:tcPr>
            <w:tcW w:w="7229" w:type="dxa"/>
          </w:tcPr>
          <w:p w:rsidR="00026EA7" w:rsidRPr="003A61F6" w:rsidRDefault="00026EA7" w:rsidP="00AD793E">
            <w:pPr>
              <w:pStyle w:val="TableParagraph"/>
              <w:widowControl/>
              <w:spacing w:line="228" w:lineRule="exact"/>
              <w:ind w:left="105" w:right="718"/>
            </w:pPr>
            <w:r>
              <w:t>Tests for geometrical properties of aggregates part 1: determination of particle size distribution – sieving method.</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 xml:space="preserve">EN 14955 </w:t>
            </w:r>
          </w:p>
        </w:tc>
        <w:tc>
          <w:tcPr>
            <w:tcW w:w="7229" w:type="dxa"/>
          </w:tcPr>
          <w:p w:rsidR="00026EA7" w:rsidRPr="003A61F6" w:rsidRDefault="00026EA7" w:rsidP="00AD793E">
            <w:pPr>
              <w:pStyle w:val="TableParagraph"/>
              <w:widowControl/>
              <w:spacing w:line="223" w:lineRule="exact"/>
              <w:ind w:left="105"/>
            </w:pPr>
            <w:r>
              <w:t>Surfaces for sport areas – determination of composition and particle shape of unbound mineral surfaces for outdoor sport areas.</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 xml:space="preserve">EN 1097-3 </w:t>
            </w:r>
          </w:p>
        </w:tc>
        <w:tc>
          <w:tcPr>
            <w:tcW w:w="7229" w:type="dxa"/>
          </w:tcPr>
          <w:p w:rsidR="00026EA7" w:rsidRPr="003A61F6" w:rsidRDefault="00026EA7" w:rsidP="00AD793E">
            <w:pPr>
              <w:pStyle w:val="TableParagraph"/>
              <w:widowControl/>
              <w:spacing w:line="223" w:lineRule="exact"/>
              <w:ind w:left="105"/>
            </w:pPr>
            <w:r>
              <w:t>Tests for mechanical and physical properties of aggregates – part 3: determination of loose bulk density and voids.</w:t>
            </w:r>
          </w:p>
        </w:tc>
      </w:tr>
      <w:tr w:rsidR="003A61F6" w:rsidRPr="003A61F6" w:rsidTr="00525FA9">
        <w:tc>
          <w:tcPr>
            <w:tcW w:w="2020" w:type="dxa"/>
            <w:vAlign w:val="center"/>
          </w:tcPr>
          <w:p w:rsidR="00026EA7" w:rsidRPr="003A61F6" w:rsidRDefault="00026EA7" w:rsidP="00AD793E">
            <w:pPr>
              <w:pStyle w:val="TableParagraph"/>
              <w:widowControl/>
              <w:spacing w:line="210" w:lineRule="exact"/>
              <w:ind w:left="107"/>
              <w:rPr>
                <w:b/>
              </w:rPr>
            </w:pPr>
            <w:r>
              <w:rPr>
                <w:b/>
              </w:rPr>
              <w:t xml:space="preserve">EN 14836 </w:t>
            </w:r>
          </w:p>
        </w:tc>
        <w:tc>
          <w:tcPr>
            <w:tcW w:w="7229" w:type="dxa"/>
          </w:tcPr>
          <w:p w:rsidR="00026EA7" w:rsidRPr="003A61F6" w:rsidRDefault="00026EA7" w:rsidP="00AD793E">
            <w:pPr>
              <w:pStyle w:val="TableParagraph"/>
              <w:widowControl/>
              <w:spacing w:line="210" w:lineRule="exact"/>
              <w:ind w:left="105"/>
            </w:pPr>
            <w:r>
              <w:t>Synthetic surfaces for outdoor sport areas. Exposure to artificial weathering.</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 xml:space="preserve">DIN 18035-7 </w:t>
            </w:r>
          </w:p>
        </w:tc>
        <w:tc>
          <w:tcPr>
            <w:tcW w:w="7229" w:type="dxa"/>
          </w:tcPr>
          <w:p w:rsidR="00026EA7" w:rsidRPr="003A61F6" w:rsidRDefault="00026EA7" w:rsidP="00AD793E">
            <w:pPr>
              <w:pStyle w:val="TableParagraph"/>
              <w:widowControl/>
              <w:spacing w:line="223" w:lineRule="exact"/>
              <w:ind w:left="105"/>
            </w:pPr>
            <w:r>
              <w:t>Sports Grounds Part 7: Synthetic Turf Areas, Determination of Environment Compatibility</w:t>
            </w:r>
          </w:p>
        </w:tc>
      </w:tr>
      <w:tr w:rsidR="003A61F6" w:rsidRPr="003A61F6" w:rsidTr="00525FA9">
        <w:tc>
          <w:tcPr>
            <w:tcW w:w="2020" w:type="dxa"/>
            <w:vAlign w:val="center"/>
          </w:tcPr>
          <w:p w:rsidR="00026EA7" w:rsidRPr="003A61F6" w:rsidRDefault="00026EA7" w:rsidP="00AD793E">
            <w:pPr>
              <w:pStyle w:val="TableParagraph"/>
              <w:widowControl/>
              <w:spacing w:line="228" w:lineRule="exact"/>
              <w:ind w:left="107"/>
              <w:rPr>
                <w:b/>
              </w:rPr>
            </w:pPr>
            <w:r>
              <w:rPr>
                <w:b/>
              </w:rPr>
              <w:t>NF P90-112</w:t>
            </w:r>
          </w:p>
        </w:tc>
        <w:tc>
          <w:tcPr>
            <w:tcW w:w="7229" w:type="dxa"/>
          </w:tcPr>
          <w:p w:rsidR="00026EA7" w:rsidRPr="003A61F6" w:rsidRDefault="00026EA7" w:rsidP="00AD793E">
            <w:pPr>
              <w:pStyle w:val="TableParagraph"/>
              <w:widowControl/>
              <w:spacing w:line="223" w:lineRule="exact"/>
              <w:ind w:left="105"/>
            </w:pPr>
            <w:r>
              <w:t>Sports grounds - Unbound mineral surfaces for outdoor sport areas Specifications for construction.</w:t>
            </w:r>
          </w:p>
        </w:tc>
      </w:tr>
    </w:tbl>
    <w:p w:rsidR="00651276" w:rsidRPr="003A61F6" w:rsidRDefault="00651276" w:rsidP="00AD793E"/>
    <w:sectPr w:rsidR="00651276" w:rsidRPr="003A61F6"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CF" w:rsidRDefault="00F033CF" w:rsidP="00247089">
      <w:r>
        <w:separator/>
      </w:r>
    </w:p>
  </w:endnote>
  <w:endnote w:type="continuationSeparator" w:id="0">
    <w:p w:rsidR="00F033CF" w:rsidRDefault="00F033CF"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771DFA">
      <w:rPr>
        <w:noProof/>
        <w:sz w:val="18"/>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771DFA">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771DFA">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771DFA">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771DFA">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771DFA">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3CF" w:rsidRDefault="00F033CF" w:rsidP="00247089">
      <w:r>
        <w:separator/>
      </w:r>
    </w:p>
  </w:footnote>
  <w:footnote w:type="continuationSeparator" w:id="0">
    <w:p w:rsidR="00F033CF" w:rsidRDefault="00F033CF"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t xml:space="preserve"> La version actualisée des normes est appliquée.</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Mandate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6221"/>
    <w:rsid w:val="002F1372"/>
    <w:rsid w:val="00303265"/>
    <w:rsid w:val="003104C3"/>
    <w:rsid w:val="00317B11"/>
    <w:rsid w:val="00323C0F"/>
    <w:rsid w:val="00340C56"/>
    <w:rsid w:val="003474E6"/>
    <w:rsid w:val="0037756B"/>
    <w:rsid w:val="00382DBB"/>
    <w:rsid w:val="003A61F6"/>
    <w:rsid w:val="004145D4"/>
    <w:rsid w:val="00417702"/>
    <w:rsid w:val="0043166F"/>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1DFA"/>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D793E"/>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33CF"/>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fr-FR"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fr-FR"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fr-FR"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fr-FR"/>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fr-FR"/>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fr-FR"/>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fr-FR"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fr-FR"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fr-FR"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3.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DC1334-42D7-49B3-85F5-57FDFCE2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4872</Words>
  <Characters>27772</Characters>
  <Application>Microsoft Office Word</Application>
  <DocSecurity>0</DocSecurity>
  <Lines>231</Lines>
  <Paragraphs>65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18</cp:revision>
  <cp:lastPrinted>2020-09-03T05:39:00Z</cp:lastPrinted>
  <dcterms:created xsi:type="dcterms:W3CDTF">2020-10-12T09:06:00Z</dcterms:created>
  <dcterms:modified xsi:type="dcterms:W3CDTF">2020-12-03T02:40:00Z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