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8F1E7C"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2499" r:id="rId9">
            <o:FieldCodes>\s</o:FieldCodes>
          </o:OLEObject>
        </w:object>
      </w:r>
    </w:p>
    <w:p w14:paraId="03189D6A" w14:textId="77777777" w:rsidR="00B04B23" w:rsidRDefault="00B04B23" w:rsidP="00B04B23">
      <w:pPr>
        <w:pStyle w:val="Heading1"/>
        <w:rPr>
          <w:sz w:val="38"/>
          <w:szCs w:val="38"/>
        </w:rPr>
      </w:pPr>
      <w:r>
        <w:rPr>
          <w:sz w:val="38"/>
        </w:rPr>
        <w:t>Kódex stanov švédskej rady pre akreditáciu a posudzovanie zhody</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Vydal/-a: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Uverejnené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Uverejnené </w:t>
                      </w:r>
                      <w:r>
                        <w:rPr>
                          <w:sz w:val="20"/>
                          <w:color w:val="FF0000"/>
                        </w:rPr>
                        <w:t xml:space="preserve">xx. xx. 20xx</w:t>
                      </w:r>
                    </w:p>
                  </w:txbxContent>
                </v:textbox>
                <w10:wrap anchorx="page" anchory="page"/>
              </v:shape>
            </w:pict>
          </mc:Fallback>
        </mc:AlternateContent>
      </w:r>
      <w:r>
        <w:t>Predpisy švédskej rady pre akreditáciu a posudzovanie zhody a všeobecné poradenstvo o prídavných zariadeniach pre taxametre</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Rozhodnuté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Švédska rada pre akreditáciu a posudzovanie zhody (SWEDAC) týmto stanovuje</w:t>
      </w:r>
      <w:r w:rsidR="0008733F" w:rsidRPr="00FE333B">
        <w:rPr>
          <w:rStyle w:val="FootnoteReference"/>
        </w:rPr>
        <w:footnoteReference w:id="1"/>
      </w:r>
      <w:r>
        <w:t xml:space="preserve"> na základe kapitoly 8 oddielu 1 nariadenia o preprave taxislužby (2012:238) a oddielu 3 nariadenia o akreditácii a posudzovaní zhody (2011:811) a prijíma tieto všeobecné odporúčania.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Rozsah pôsobnosti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Oddiel 1</w:t>
      </w:r>
      <w:r>
        <w:tab/>
        <w:t xml:space="preserve">Tieto predpisy obsahujú ustanovenia o požiadavkách a posudzovaní prídavného zariadenia spojeného s taxameterom.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Vymedzenie pojmov</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Oddiel 2</w:t>
      </w:r>
      <w:r>
        <w:tab/>
        <w:t xml:space="preserve">Na účely týchto predpisov sa slová a pojmy používajú v zmysle oddielu 2 STAFS </w:t>
      </w:r>
      <w:r>
        <w:rPr>
          <w:color w:val="FF0000"/>
        </w:rPr>
        <w:t>2022:Y</w:t>
      </w:r>
      <w:r w:rsidRPr="00FE333B">
        <w:rPr>
          <w:vertAlign w:val="superscript"/>
        </w:rPr>
        <w:footnoteReference w:id="2"/>
      </w:r>
      <w:r>
        <w:t xml:space="preserve"> na taxametre. Okrem toho na účely týchto predpisov:</w:t>
      </w:r>
    </w:p>
    <w:p w14:paraId="6B746E35" w14:textId="451D46DD" w:rsidR="005E217A" w:rsidRDefault="00C05C06" w:rsidP="005C076B">
      <w:pPr>
        <w:pStyle w:val="BodyTextIndent"/>
        <w:tabs>
          <w:tab w:val="left" w:pos="518"/>
        </w:tabs>
        <w:spacing w:line="240" w:lineRule="auto"/>
        <w:rPr>
          <w:i/>
        </w:rPr>
      </w:pPr>
      <w:r>
        <w:t>1.</w:t>
      </w:r>
      <w:r>
        <w:rPr>
          <w:i/>
        </w:rPr>
        <w:t xml:space="preserve"> spôsob platby</w:t>
      </w:r>
      <w:r>
        <w:t>: forma platby, či už elektronicky, fyzickou formou, poskytnutím úveru alebo akýmkoľvek iným spôsobom;</w:t>
      </w:r>
    </w:p>
    <w:p w14:paraId="61238C1B" w14:textId="6D2F31BD" w:rsidR="00EA620F" w:rsidRPr="00FE333B" w:rsidRDefault="005E217A" w:rsidP="005C076B">
      <w:pPr>
        <w:pStyle w:val="BodyTextIndent"/>
        <w:tabs>
          <w:tab w:val="left" w:pos="518"/>
        </w:tabs>
        <w:spacing w:line="240" w:lineRule="auto"/>
      </w:pPr>
      <w:r>
        <w:t>2.</w:t>
      </w:r>
      <w:r>
        <w:rPr>
          <w:i/>
        </w:rPr>
        <w:t xml:space="preserve"> priradenie jazdy</w:t>
      </w:r>
      <w:r>
        <w:t>: objednaná doprava v taxi premávke začína, keď sa taxameter presunie z „Prenájom“ do „Prenajatý“ a končí, keď sa taxameter presunie zo „Zastavený“ na „Prenájom“, a</w:t>
      </w:r>
    </w:p>
    <w:p w14:paraId="2BC2CA31" w14:textId="7F7A1FF8" w:rsidR="00EA620F" w:rsidRPr="00FE333B" w:rsidRDefault="005E217A" w:rsidP="005C076B">
      <w:pPr>
        <w:pStyle w:val="BodyTextIndent"/>
        <w:tabs>
          <w:tab w:val="left" w:pos="518"/>
        </w:tabs>
        <w:spacing w:line="240" w:lineRule="auto"/>
      </w:pPr>
      <w:r>
        <w:t>3.</w:t>
      </w:r>
      <w:r>
        <w:rPr>
          <w:i/>
        </w:rPr>
        <w:t xml:space="preserve"> typová skúška</w:t>
      </w:r>
      <w:r>
        <w:t xml:space="preserve">: postup posudzovania zhody, ktorým akreditovaný orgán skúma technický návrh prídavného zariadenia a zabezpečuje a vyhlasuje, že spĺňa požiadavky týchto predpisov.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Požiadavky na prídavné zariadenia</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Oddiel 3</w:t>
      </w:r>
      <w:r>
        <w:tab/>
        <w:t>Prídavné zariadenie musí spĺňať požiadavky dodatku k týmto predpisom.</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t>Požiadavky na výrobcov prídavných zariadení</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Oddiel 4</w:t>
      </w:r>
      <w:r>
        <w:rPr>
          <w:b/>
        </w:rPr>
        <w:tab/>
      </w:r>
      <w:r>
        <w:t>Výrobca prídavných zariadení zabezpečí, aby boli zariadenia navrhnuté a vyrobené v súlade s požiadavkami stanovenými v dodatku k týmto predpisom.</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Oddiel 5</w:t>
      </w:r>
      <w:r>
        <w:tab/>
        <w:t>Výrobca musí mať zdokumentovaný systém riadenia s postupmi a pokynmi na zabezpečenie toho, aby sériovo vyrábané prídavné zariadenia spĺňali požiadavky týchto predpisov.</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Všeobecné odporúčanie</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Systém riadenia výrobcu by mal spĺňať požiadavky SS-EN ISO 9001 (Systém manažérstva kvality – požiadavky) v častiach, súvisiacich so sériovou výrobou prídavných zariadení.</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Oddiel 6</w:t>
      </w:r>
      <w:r>
        <w:tab/>
        <w:t xml:space="preserve">S cieľom zabezpečiť, aby prídavné zariadenie spĺňalo požiadavky týchto predpisov, výrobca predloží prídavné zariadenie na posúdenie zhody prostredníctvom: </w:t>
      </w:r>
    </w:p>
    <w:p w14:paraId="531F931E" w14:textId="77777777" w:rsidR="00442040" w:rsidRPr="00FE333B" w:rsidRDefault="009E2A07" w:rsidP="0003705F">
      <w:pPr>
        <w:pStyle w:val="BodyText"/>
        <w:tabs>
          <w:tab w:val="left" w:pos="518"/>
        </w:tabs>
        <w:spacing w:line="240" w:lineRule="auto"/>
        <w:ind w:firstLine="227"/>
      </w:pPr>
      <w:r>
        <w:t>1. typovej skúšky; a</w:t>
      </w:r>
    </w:p>
    <w:p w14:paraId="7D5BD3AA" w14:textId="77777777" w:rsidR="00442040" w:rsidRPr="00FE333B" w:rsidRDefault="00442040" w:rsidP="0003705F">
      <w:pPr>
        <w:pStyle w:val="BodyText"/>
        <w:tabs>
          <w:tab w:val="left" w:pos="518"/>
        </w:tabs>
        <w:spacing w:line="240" w:lineRule="auto"/>
        <w:ind w:firstLine="227"/>
      </w:pPr>
      <w:r>
        <w:t>2. posúdenia systémov riadenia pre sériovú výrobu prídavných zariadení.</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Oddiel 7</w:t>
      </w:r>
      <w:r>
        <w:tab/>
        <w:t xml:space="preserve">Ak sa postupom posudzovania zhody preukáže, že prídavné zariadenie spĺňa požiadavky týchto predpisov, výrobca označí svoje puzdro:            </w:t>
      </w:r>
    </w:p>
    <w:p w14:paraId="48D5F83A" w14:textId="77777777" w:rsidR="00442040" w:rsidRPr="00FE333B" w:rsidRDefault="00442040" w:rsidP="0003705F">
      <w:pPr>
        <w:pStyle w:val="BodyTextIndent"/>
        <w:tabs>
          <w:tab w:val="left" w:pos="518"/>
        </w:tabs>
        <w:spacing w:line="240" w:lineRule="auto"/>
      </w:pPr>
      <w:r>
        <w:t xml:space="preserve">1. menom výrobcu; </w:t>
      </w:r>
    </w:p>
    <w:p w14:paraId="53A0AB27" w14:textId="77777777" w:rsidR="00442040" w:rsidRPr="00FE333B" w:rsidRDefault="00442040" w:rsidP="0003705F">
      <w:pPr>
        <w:pStyle w:val="BodyTextIndent"/>
        <w:tabs>
          <w:tab w:val="left" w:pos="518"/>
        </w:tabs>
        <w:spacing w:line="240" w:lineRule="auto"/>
      </w:pPr>
      <w:r>
        <w:t>2. sériovým číslom prídavného zariadenia alebo jeho rôznych jednotiek;</w:t>
      </w:r>
    </w:p>
    <w:p w14:paraId="55D2C817" w14:textId="77777777" w:rsidR="00442040" w:rsidRPr="00FE333B" w:rsidRDefault="00442040" w:rsidP="0003705F">
      <w:pPr>
        <w:pStyle w:val="BodyTextIndent"/>
        <w:tabs>
          <w:tab w:val="left" w:pos="518"/>
        </w:tabs>
        <w:spacing w:line="240" w:lineRule="auto"/>
      </w:pPr>
      <w:r>
        <w:t>3. číslom certifikátu a</w:t>
      </w:r>
    </w:p>
    <w:p w14:paraId="1252FACB" w14:textId="19537279" w:rsidR="00442040" w:rsidRPr="00FE333B" w:rsidRDefault="00442040" w:rsidP="0003705F">
      <w:pPr>
        <w:pStyle w:val="BodyTextIndent"/>
        <w:tabs>
          <w:tab w:val="left" w:pos="518"/>
        </w:tabs>
        <w:spacing w:line="240" w:lineRule="auto"/>
      </w:pPr>
      <w:r>
        <w:t>4. označením „STAFS</w:t>
      </w:r>
      <w:r>
        <w:rPr>
          <w:color w:val="FF0000"/>
        </w:rPr>
        <w:t xml:space="preserve"> 2022:X</w:t>
      </w:r>
      <w:r>
        <w:t>“.</w:t>
      </w:r>
    </w:p>
    <w:p w14:paraId="146BE875" w14:textId="77777777" w:rsidR="00C21D6F" w:rsidRPr="00FE333B" w:rsidRDefault="00C21D6F" w:rsidP="005C076B">
      <w:pPr>
        <w:pStyle w:val="BodyTextIndent"/>
        <w:tabs>
          <w:tab w:val="left" w:pos="518"/>
        </w:tabs>
        <w:spacing w:line="240" w:lineRule="auto"/>
      </w:pPr>
      <w:r>
        <w:t>Označenia sa umiestňujú na miesto vhodné na kontrolu orgánmi a sú jasné, nezmazateľné a jednoznačné.</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Oddiel 8</w:t>
      </w:r>
      <w:r>
        <w:tab/>
        <w:t>Výrobca uchováva kópiu certifikátu pre prídavné zariadenie a jeho príloh spolu s technickou dokumentáciou najmenej 10 rokov od vyrobenia posledného prídavného zariadenia.</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Oddiel 9</w:t>
      </w:r>
      <w:r>
        <w:rPr>
          <w:sz w:val="23"/>
        </w:rPr>
        <w:tab/>
        <w:t>Výrobca zabezpečí, aby bol k prídavnému zariadeniu priložený návod na použitie. Návod na použitie musí byť ľahko zrozumiteľný a musí obsahovať aspoň opis toho, ako sa všetky predpísané výroby získavajú, v papierovej alebo elektronickej podobe, v súlade s týmito predpismi, ako aj teplotný rozsah a rozsah napätia, v ktorom prídavné zariadenie funguje.</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Posudzovanie zhody</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Certifikačný orgán</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Oddiel 10</w:t>
      </w:r>
      <w:r>
        <w:rPr>
          <w:sz w:val="23"/>
        </w:rPr>
        <w:tab/>
        <w:t>Posudzovanie zhody vykonáva certifikačný orgán pre výrobky akreditované na vykonávanie úlohy podľa predpisu Európskeho parlamentu a Rady (ES) č. 765/2008 z 9. júla 2008, ktorým sa stanovujú požiadavky akreditácie a ktorým sa zrušuje predpis (EHS) č.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t>Žiadosť o typovú skúšku a posúdenie systému riadenia</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Oddiel 11</w:t>
      </w:r>
      <w:r>
        <w:rPr>
          <w:sz w:val="23"/>
        </w:rPr>
        <w:tab/>
        <w:t xml:space="preserve">Žiadosť o typovú skúšku a posúdenie systémov riadenia sériovej výroby prídavných zariadení sa podáva certifikačnému orgánu uvedenému v oddiele 10. Žiadosť obsahuje príslušnú technickú dokumentáciu. Na základe dokumentácie musí byť možné posúdiť, či prídavné zariadenie spĺňa požiadavky týchto predpisov. Technická dokumentácia obsahuje: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všeobecný opis zariadenia, ktorý zahŕňa klimatické, mechanické a elektromagnetické prostredie, v ktorom sa má prídavné zariadenie používať, </w:t>
      </w:r>
      <w:r>
        <w:rPr>
          <w:sz w:val="23"/>
        </w:rPr>
        <w:lastRenderedPageBreak/>
        <w:t xml:space="preserve">zdroj napájania a iné faktory, ktoré sú potrebné na to, aby prídavné zariadenie fungovalo predpísaným spôsobom;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celkové konštrukčné a výrobné výkresy a náčrty komponentov, podzostáv a obvodov;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opis elektronických častí prídavného zariadenia s výkresmi, schémami, vývojovými diagramami logických obvodov a všeobecnými informáciami vysvetľujúcimi charakteristiky a činnosť častí vrátane opisu pečatí a charakteristík požadovaných v bode 6 dodatku k týmto predpisom;</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opisy a vysvetlenia potrebné na pochopenie dokumentácie uvedenej v bodoch 2, 3 a 12 vrátane činnosti zariadenia;</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výsledky konštrukčných výpočtov a skúšok;</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vhodné výsledky skúšok, ak je to potrebné, aby sa preukázalo, že zariadenie spĺňa požiadavky týchto predpisov za menovitých prevádzkových podmienok a za špecifikovaných environmentálnych rušení;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osvedčenie o typovej skúške EÚ alebo osvedčenie o preskúmaní návrhu EÚ pre taxametre, obsahujúce časti zhodné s tými, ktoré sú obsiahnuté v návrhu;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podmienky kompatibility medzi prídavným zariadením a taxameterom;</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návod na použitie v súlade s oddielom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pokyny na inštaláciu;</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označenie miesta výroby; a</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dokumentáciu systému riadenia s opisom výrobných postupov a vlastného monitorovania výrobcu.</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Postup typovej skúšky a posúdenie systémov riadenia</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Oddiel 12</w:t>
      </w:r>
      <w:r>
        <w:rPr>
          <w:sz w:val="23"/>
        </w:rPr>
        <w:tab/>
        <w:t>Počas typovej skúšky certifikačný orgán na žiadosť výrobcu posúdi, či prídavné zariadenie reprezentujúce očakávanú výrobu spĺňa požiadavky dodatku k týmto predpisom.</w:t>
      </w:r>
    </w:p>
    <w:p w14:paraId="69EAB272" w14:textId="77777777" w:rsidR="00724C69" w:rsidRPr="00FE333B" w:rsidRDefault="00CD1FEC" w:rsidP="005C076B">
      <w:pPr>
        <w:tabs>
          <w:tab w:val="left" w:pos="462"/>
          <w:tab w:val="left" w:pos="602"/>
        </w:tabs>
        <w:ind w:firstLine="227"/>
        <w:jc w:val="both"/>
        <w:rPr>
          <w:sz w:val="23"/>
          <w:szCs w:val="23"/>
        </w:rPr>
      </w:pPr>
      <w:r>
        <w:rPr>
          <w:sz w:val="23"/>
        </w:rPr>
        <w:t>Certifikačný orgán vykonáva aj posúdenie systému riadenia týkajúce sa výrobných postupov a vlastného monitorovania výrobcu, ako aj audit na mieste v priestoroch výrobcu, aby sa zabezpečilo, že výrobca je schopný vyrábať výrobky, ktoré spĺňajú požiadavky stanovené v dodatku k týmto predpisom.</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Osvedčenia</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Oddiel 13</w:t>
      </w:r>
      <w:r>
        <w:rPr>
          <w:b/>
          <w:sz w:val="23"/>
        </w:rPr>
        <w:tab/>
      </w:r>
      <w:r>
        <w:rPr>
          <w:sz w:val="23"/>
        </w:rPr>
        <w:t>Ak typová skúška a posúdenie systému riadenia ukázali, že prídavné zariadenie spĺňa požiadavky, certifikačný orgán môže vydať certifikát.</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Oddiel 14</w:t>
      </w:r>
      <w:r>
        <w:rPr>
          <w:sz w:val="23"/>
        </w:rPr>
        <w:tab/>
        <w:t>Osvedčenie a všetky jeho prílohy obsahujú informácie potrebné na posúdenie zhody vyrábaných výrobkov s preskúmaným prídavným zariadením a na vykonanie inštalácie a kontroly používaného zariadenia. Informácie v každom prípade zahŕňajú:</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podmienky kompatibility medzi taxameterom a prídavným zariadením;</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opatrenia potrebné na zabezpečenie integrity zariadenia z hľadiska tesnenia a softvéru;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údaje potrebné na identifikáciu zariadenia alebo jednotiek, ktoré ho tvoria, a informácie potrebné na overenie, či zariadenie(-a) preukazuje(-ú) súlad s prídavným(-i) zariadením(-ami); </w:t>
      </w:r>
    </w:p>
    <w:p w14:paraId="6284BE41" w14:textId="77777777" w:rsidR="00724C69" w:rsidRPr="00FE333B" w:rsidRDefault="00EC3AEC" w:rsidP="00B22E2C">
      <w:pPr>
        <w:tabs>
          <w:tab w:val="left" w:pos="448"/>
          <w:tab w:val="left" w:pos="602"/>
        </w:tabs>
        <w:ind w:firstLine="227"/>
        <w:jc w:val="both"/>
        <w:rPr>
          <w:sz w:val="23"/>
          <w:szCs w:val="23"/>
        </w:rPr>
      </w:pPr>
      <w:r>
        <w:rPr>
          <w:sz w:val="23"/>
        </w:rPr>
        <w:t>4.</w:t>
      </w:r>
      <w:r>
        <w:rPr>
          <w:sz w:val="23"/>
        </w:rPr>
        <w:tab/>
        <w:t>v prípade potreby špecifické informácie potrebné na overenie vlastností vyrábaných zariadení;</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meno a adresu výrobcu a prípadne meno a adresu jeho splnomocneného zástupcu;</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závery preskúmania; a</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všetky podmienky platnosti osvedčenia.</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Oddiel 15</w:t>
      </w:r>
      <w:r>
        <w:rPr>
          <w:sz w:val="23"/>
        </w:rPr>
        <w:tab/>
        <w:t xml:space="preserve">Osvedčenie je platné desať rokov od dátumu vydania a môže sa vždy predĺžiť o ďalších desať rokov. </w:t>
      </w:r>
    </w:p>
    <w:p w14:paraId="33929620" w14:textId="77777777" w:rsidR="00724C69" w:rsidRPr="00FE333B" w:rsidRDefault="00724C69" w:rsidP="005C076B">
      <w:pPr>
        <w:tabs>
          <w:tab w:val="left" w:pos="462"/>
          <w:tab w:val="left" w:pos="602"/>
        </w:tabs>
        <w:ind w:firstLine="227"/>
        <w:jc w:val="both"/>
        <w:rPr>
          <w:sz w:val="23"/>
          <w:szCs w:val="23"/>
        </w:rPr>
      </w:pPr>
      <w:r>
        <w:rPr>
          <w:sz w:val="23"/>
        </w:rPr>
        <w:t>Pred obnovením osvedčenia certifikačný orgán zohľadní výsledky náhodných kontrol podľa oddielu 17, ako aj ďalšie informácie, ktoré certifikačný orgán dostane, a rozhodne o každom potrebnom testovaní alebo preskúmaní.</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Oddiel 16</w:t>
      </w:r>
      <w:r>
        <w:rPr>
          <w:sz w:val="23"/>
        </w:rPr>
        <w:tab/>
        <w:t>Osvedčenie podľa týchto predpisov nesmie byť súčasťou osvedčenia o typovej skúške EÚ uvedeného v STAFS 2016:1</w:t>
      </w:r>
      <w:r w:rsidRPr="00FE333B">
        <w:rPr>
          <w:rStyle w:val="FootnoteReference"/>
          <w:sz w:val="23"/>
          <w:szCs w:val="23"/>
        </w:rPr>
        <w:footnoteReference w:id="3"/>
      </w:r>
      <w:r>
        <w:rPr>
          <w:sz w:val="23"/>
        </w:rPr>
        <w:t xml:space="preserve"> o meradlách.</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Požiadavky na certifikačný orgán po vydaní osvedčenia</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Oddiel 17</w:t>
      </w:r>
      <w:r>
        <w:rPr>
          <w:sz w:val="23"/>
        </w:rPr>
        <w:tab/>
        <w:t>Certifikačný orgán každoročne monitoruje vlastné monitorovanie výrobcu a vykonáva príslušný náhodný odber vzoriek z výroby.</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Oddiel 18</w:t>
      </w:r>
      <w:r>
        <w:rPr>
          <w:b/>
          <w:sz w:val="23"/>
        </w:rPr>
        <w:tab/>
      </w:r>
      <w:r>
        <w:rPr>
          <w:sz w:val="23"/>
        </w:rPr>
        <w:t>Ak výrobca oznámi zmeny prídavného zariadenia, ktoré môžu ovplyvniť jeho súlad s požiadavkami týchto predpisov, certifikačný orgán prehodnotí vydanie schválenia. Ak po posúdení prídavné zariadenie stále spĺňa požiadavky, certifikačný orgán vydá nový certifikát.</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Oddiel 19</w:t>
      </w:r>
      <w:r>
        <w:rPr>
          <w:sz w:val="23"/>
        </w:rPr>
        <w:tab/>
        <w:t>Certifikačný orgán zruší certifikát, ak sa dozvie, že prídavné zariadenie, ktoré certifikoval, nespĺňa požiadavky týchto predpisov pri používaní.</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Oddiel 20</w:t>
      </w:r>
      <w:r>
        <w:rPr>
          <w:sz w:val="23"/>
        </w:rPr>
        <w:tab/>
        <w:t>Certifikačný orgán bezodkladne predloží osvedčenia vydané SWEDAC a ich prílohy. Certifikačný orgán takisto informuje výbor SWEDAC, ak bol certifikát zrušený.</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Oddiel 21</w:t>
      </w:r>
      <w:r>
        <w:rPr>
          <w:sz w:val="23"/>
        </w:rPr>
        <w:tab/>
        <w:t>Certifikačný orgán uchováva technickú dokumentáciu vrátane dokumentácie predloženej výrobcom až do skončenia platnosti osvedčenia.</w:t>
      </w:r>
    </w:p>
    <w:p w14:paraId="188E51E1" w14:textId="77777777" w:rsidR="00724C69" w:rsidRPr="00FE333B" w:rsidRDefault="00724C69" w:rsidP="005C076B">
      <w:pPr>
        <w:tabs>
          <w:tab w:val="left" w:pos="462"/>
          <w:tab w:val="left" w:pos="602"/>
        </w:tabs>
        <w:jc w:val="both"/>
        <w:rPr>
          <w:sz w:val="28"/>
          <w:szCs w:val="28"/>
        </w:rPr>
      </w:pPr>
    </w:p>
    <w:p w14:paraId="3CC015F5" w14:textId="77777777" w:rsidR="008F1E7C" w:rsidRDefault="008F1E7C">
      <w:pPr>
        <w:overflowPunct/>
        <w:autoSpaceDE/>
        <w:autoSpaceDN/>
        <w:adjustRightInd/>
        <w:textAlignment w:val="auto"/>
        <w:rPr>
          <w:rFonts w:eastAsiaTheme="minorHAnsi"/>
          <w:b/>
          <w:color w:val="000000"/>
          <w:sz w:val="25"/>
          <w:szCs w:val="24"/>
        </w:rPr>
      </w:pPr>
      <w:r>
        <w:rPr>
          <w:b/>
          <w:sz w:val="25"/>
        </w:rPr>
        <w:br w:type="page"/>
      </w:r>
    </w:p>
    <w:p w14:paraId="26E7D30C" w14:textId="18743273" w:rsidR="00724C69" w:rsidRPr="00FE333B" w:rsidRDefault="00724C69" w:rsidP="005C076B">
      <w:pPr>
        <w:pStyle w:val="Default"/>
        <w:tabs>
          <w:tab w:val="left" w:pos="462"/>
          <w:tab w:val="left" w:pos="602"/>
        </w:tabs>
        <w:jc w:val="both"/>
        <w:rPr>
          <w:b/>
          <w:iCs/>
          <w:sz w:val="25"/>
          <w:szCs w:val="25"/>
        </w:rPr>
      </w:pPr>
      <w:r>
        <w:rPr>
          <w:b/>
          <w:sz w:val="25"/>
        </w:rPr>
        <w:lastRenderedPageBreak/>
        <w:t>Iné</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Oddiel 22</w:t>
      </w:r>
      <w:r>
        <w:rPr>
          <w:sz w:val="23"/>
        </w:rPr>
        <w:tab/>
        <w:t>SWEDAC môže v jednotlivých prípadoch a ak na to existujú osobitné dôvody udeliť výnimky z uplatňovania týchto predpisov.</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Tieto právne predpisy nadobúdajú účinnosť 1. augusta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Štatútom sa zrušujú predpisy a všeobecné odporúčania rady (STAFS 2012:5) o prídavných zariadeniach pre taxametre.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Certifikačné orgány akreditované na vykonávanie posudzovania zhody podľa STAFS 2012:5</w:t>
      </w:r>
      <w:r>
        <w:t xml:space="preserve"> </w:t>
      </w:r>
      <w:r>
        <w:rPr>
          <w:rFonts w:ascii="Times New Roman" w:hAnsi="Times New Roman"/>
          <w:sz w:val="23"/>
        </w:rPr>
        <w:t>na prídavných zariadeniach pre taxametre sa považujú za akreditované na vykonávanie posudzovania zhody podľa nového štatútu.</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Starý štatút sa môže naďalej uplatňovať, ak žiadosť o typovú skúšku dostal certifikačný orgán pred 1. augustom 2023. Osvedčenia vydané na základe takejto žiadosti sa však neobnovujú.</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V mene rady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Príloha</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Požiadavky na prídavné zariadenia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Prídavné zariadenie musí byť konštruované pre teplotné a vlhkostné podmienky, v ktorých sa má používať. Ako minimálne požiadavky musí byť navrhnuté tak, aby kondenzovalo vlhkosť vzduchu a odolávalo hornej teplote 55 °C a dolnej teplote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Prídavné zariadenie musí spĺňať triedu mechanického prostredia M3 v súlade s bodom 1.3.2 doplnku 1 k STAFS 2016:1 o meradlách.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Prídavné zariadenie nesmie mať vlastnosti, ktoré by mohli uľahčiť podvodné použitie.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Prídavné zariadenie musí byť robustné a jeho základné materiály musia byť vhodné pre prevádzkové podmienky a prostredie, v ktorom sa má používať. Musí byť navrhnuté tak, aby zbytočne nezvýšilo riziko zranenia osôb pri zrážke.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Predpísané charakteristiky prídavného zariadenia nesmú byť neprijateľným spôsobom ovplyvnené pripojením akéhokoľvek iného zariadenia k prídavnému zariadeniu, akoukoľvek charakteristikou samotného pripojeného zariadenia, alebo akýmkoľvek diaľkovým zariadením, ktoré komunikuje s prídavným zariadením.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Prídavné zariadenie musí byť možné fyzicky a elektronicky zaplombovať takým spôsobom, aby sa zabezpečili predpísané charakteristiky pri používaní taxametra. Komponenty v prídavnom zariadení, ktoré sú rozhodujúce pre predpísané charakteristiky, musia byť chránené pred vonkajším a vnútorným vplyvom. Každá činnosť na prídavnom zariadení a plombách musí byť ľahko viditeľná.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Tie časti funkcií prídavného zariadenia, ktoré sú regulované podľa týchto predpisov a sú určené softvérom, musia byť chránené pred zámernou alebo neúmyselnou modifikáciou takto:</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Kód sa uloží do pamäte, ktorej obsah nemôže používateľ ovplyvniť;</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Obsah pamäte programového kódu sa automaticky kontroluje, keď je prídavné zariadenie pripojené k napätiu.</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Prídavné zariadenie nesmie mať vplyv na funkciu alebo obsah sčítavacej jednotky.</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Softvér, ktorý je rozhodujúci pre predpísané charakteristiky, musí mať jedinečné označenie verzie softvéru a kontrolný súčet a musí byť zabezpečený pred inými vplyvmi, než sú predpísané. Znaky zásahu musia byť viditeľné počas primerane dlhého obdobia.</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Údaje, ktoré sa majú vyhotoviť na papieri alebo v elektronickej forme, alebo ako ich zobrazuje prídavné zariadenie, a softvér, ktorý je nevyhnutný pre predpísané charakteristiky a ktorý sa uchováva alebo prenáša, musia byť primerane chránené pred náhodným alebo úmyselným poškodením.</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t>10.</w:t>
      </w:r>
      <w:r>
        <w:rPr>
          <w:sz w:val="23"/>
        </w:rPr>
        <w:tab/>
        <w:t>Prídavné zariadenie musí byť navrhnuté tak, aby zariadenie taxametra v inštalovanom stave mohlo vykonávať všetky predpísané funkcie bez toho, aby došlo k prerušeniu alebo zmene pripojenia zariadenia.</w:t>
      </w:r>
    </w:p>
    <w:p w14:paraId="1ECF47A0" w14:textId="194EA1B1" w:rsidR="004D0F75" w:rsidRPr="00FE333B" w:rsidRDefault="00C30DE5" w:rsidP="0095151C">
      <w:pPr>
        <w:tabs>
          <w:tab w:val="left" w:pos="252"/>
          <w:tab w:val="left" w:pos="364"/>
        </w:tabs>
        <w:jc w:val="both"/>
        <w:rPr>
          <w:sz w:val="23"/>
          <w:szCs w:val="23"/>
        </w:rPr>
      </w:pPr>
      <w:r>
        <w:rPr>
          <w:sz w:val="23"/>
        </w:rPr>
        <w:lastRenderedPageBreak/>
        <w:tab/>
        <w:t xml:space="preserve">Prvý odsek sa nevzťahuje na funkcie určené výlučne na použitie počas inštalácie, alebo ak overovanie vykonáva akreditovaný orgán pre posudzovanie.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Ak má prídavné zariadenie pridružený softvér, ktorý tiež poskytuje iné funkcie, ako sú predpísané funkcie, softvér pre predpísané charakteristiky musí byť identifikovateľný a nesmie byť neprijateľným spôsobom ovplyvnený žiadnym iným softvérom.</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Ak sa taxameter presunie z prevádzkovej polohy „Zastavený“ do prevádzkovej polohy „Prenájom“, prídavné zariadenie musí vyhotoviť účtenku. Musí byť vždy schopné predložiť účtenku v papierovej forme a môže byť tiež schopné predložiť účtenku výlučne v elektronickej forme. Prídavné zariadenie môže byť schopné vyhotoviť niekoľko účteniek za čiastočnú platbu za priradenú jazdu. Ak sa má suma alebo sumy fakturovať, to isté platí aj pre dodacie listy. Každá vyhotovená účtenka alebo dodací list musí obsahovať aspoň tieto informácie:</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či ide o potvrdenie o účtenke alebo dodacom liste s uvedením „elektronická účtenka“ alebo „elektronický dodací list“, ak je potvrdenie vyhotovené v elektronickej forme;</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sériové číslo účtenky alebo dodacieho listu s najmenej šiestimi číslicami v tom istom neporušenom a vzostupnom rade poradových čísel, každé sériové číslo zodpovedajúce priradenej jazde a v prípade, že prídavné zariadenie je schopné vyhotoviť účtenky za čiastočnú platbu, sériové číslo, za ktorým nasleduje spojovník a sériové číslo pre aktuálnu sumu, ktorá sa má čiastočne zaplatiť, pričom sériové číslo prvej priradenej jazdy je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aktuálny dátum (rr.mm.dd),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meno taxislužby a osobné identifikačné číslo, koordinačné číslo alebo identifikačné číslo spoločnosti;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poštovú adresu taxislužby;</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kód vodiča alebo rozlišovacie číslo vodiča taxislužby;</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evidenčné číslo vozidla taxislužby;</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čas začatia priradenej jazdy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čas uskutočnenia čiastočnej platby (hh:mm);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čas dokončenia priradenej jazdy (hh:mm);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vzdialenosť prejdenú počas priradenej jazdy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tarify používané počas priradenej jazdy s osobitným uvedením tarifného typu a tarifných hodnôt;</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úplný prehľad o tom, ako a v akom rozsahu sa tarify a príslušné tarifné hodnoty použili na výpočet ceny za priradenú jazdu, stanovený tak, aby bol vzťah medzi účtovanou cenou a vykonaním, vrátane akýchkoľvek poplatkov, jasný a aby sa dal overiť ex post; a</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sumu, ktorá sa má zaplatiť s osobitným uvedením použitého spôsobu alebo spôsobov platby, sumu zaplatenú každým spôsobom platby, ako aj DPH a DPH sadzbu zahrnutú v celkovej sume;</w:t>
      </w:r>
    </w:p>
    <w:p w14:paraId="03EA8286" w14:textId="77777777" w:rsidR="00724C69" w:rsidRPr="00FE333B" w:rsidRDefault="00724C69" w:rsidP="00971891">
      <w:pPr>
        <w:tabs>
          <w:tab w:val="left" w:pos="252"/>
          <w:tab w:val="left" w:pos="350"/>
        </w:tabs>
        <w:ind w:firstLine="227"/>
        <w:jc w:val="both"/>
        <w:rPr>
          <w:sz w:val="23"/>
          <w:szCs w:val="23"/>
        </w:rPr>
      </w:pPr>
      <w:r>
        <w:rPr>
          <w:sz w:val="23"/>
        </w:rPr>
        <w:t>Prídavné zariadenie musí byť navrhnuté tak, aby sa kópie šiestich najnovších účteniek alebo dodacích listov mohli vyhotoviť na papieri. Kópia účtenky alebo dodacieho listu musí obsahovať slovo „KÓPIA“ v rovnakom riadku ako sériové číslo.</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Prídavné zariadenie musí byť navrhnuté tak, aby na konci doby jazdy bolo možné vyhotoviť správu o dobe jazdy na papieri, obsahujúcu tento obsah a náčrt:</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„SPRÁVA O DOBE JAZDY“,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sériové číslo najmenej so šiestimi číslicami,</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lastRenderedPageBreak/>
        <w:t>3.</w:t>
      </w:r>
      <w:r>
        <w:rPr>
          <w:sz w:val="23"/>
        </w:rPr>
        <w:tab/>
        <w:t>meno taxislužby a osobné identifikačné číslo, koordinačné číslo alebo identifikačné číslo spoločnosti;</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evidenčné číslo vozidla taxislužby;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kód vodiča alebo rozlišovacie číslo vodiča taxislužby;</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číslo certifikátu a sériové číslo taxametra a prídavného zariadenia, ako aj sériové číslo každej jednotky, ak prídavné zariadenie pozostáva z niekoľkých jednotiek;</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označenia verzií softvéru a kontrolné súčty pre softvér zahrnutý do taxametra a prídavného zariadenia,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konštantu taxametra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dátum poslednej pečate (rr.mm.dd);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dátum a čas začiatku doby jazdy (rr.mm.dd,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dátum a čas skončenia doby jazdy (rr.mm.dd,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vzdialenosť prejdenú počas doby jazdy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vzdialenosť prejdenú počas doby jazdy v prevádzkových nastaveniach „Prenajatý“ a „Zastavený“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počet priradených jázd zaevidovaných počas obdobia jazdy s osobitným uvedením sériových čísel prvej a poslednej priradenej jazdy;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nasledujúce sčítané hodnoty na konci doby jazdy, vyjadrené deviatimi číslicami bez medzimiestnych znakov, pričom každá číslica je spočiatku nula a postupne sa nahrádza inými číslicami, keď sa sčítavacie jednotky zvyšujú:</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celková vzdialenosť prejdená taxíkom;</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celková vzdialenosť prejdená taxíkom v prevádzkovej polohe „Prenajatý“;</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celkový počet priradených jázd;</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celková suma účtovaná ako dodatočné poplatky; a</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celková suma účtovaná ako cestovné;</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sumu vybranú počas doby jazdy za každý spôsob platby, ako aj DPH a sadzbu DPH zahrnutú v celkovej sume;</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priestor na špecifikovanie údajov týkajúcich sa doby jazdy; a</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predloženie všetkých priradených jázd, zaznamenaných počas doby jazdy, v poradí sériového čísla s následnými sériovými číslami príslušnej sumy, ktorá sa má zaplatiť čiastočne, ak je prídavné zariadenie schopné vyhotoviť účtenky za čiastočnú platbu, a s osobitným uvedením informácií uvedených v bodoch 12.1, 12.2, 12.8 až 12.12 a 12.14 tohto dodatku;</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Prídavné zariadenie musí byť navrhnuté tak, aby sa kópie hlásení o dobe jazdy z dvoch posledných dní prevádzky zariadenia taxametra a v každom prípade 10 posledných dôb jazdy mohli vyhotoviť na papieri. </w:t>
      </w:r>
    </w:p>
    <w:p w14:paraId="4D21DCBC" w14:textId="77777777" w:rsidR="00724C69" w:rsidRPr="00FE333B" w:rsidRDefault="00724C69" w:rsidP="00971891">
      <w:pPr>
        <w:tabs>
          <w:tab w:val="left" w:pos="252"/>
          <w:tab w:val="left" w:pos="350"/>
        </w:tabs>
        <w:ind w:firstLine="227"/>
        <w:jc w:val="both"/>
        <w:rPr>
          <w:sz w:val="23"/>
          <w:szCs w:val="23"/>
        </w:rPr>
      </w:pPr>
      <w:r>
        <w:rPr>
          <w:sz w:val="23"/>
        </w:rPr>
        <w:t>Kópia správy o dobe jazdy musí obsahovať slovo „KÓPIA“ („COPY“) v riadku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Informácie o všetkých priradených jazdách v súlade s bodom 12 tohto dodatku v poradí sériového čísla a o všetkých dobách jazdy v súlade s bodom 13 tohto dodatku v poradí sériového čísla sa môžu digitálne a bezdrôtovo preniesť do ohlasovacieho centra, ako sa uvádza v zákone (2014:1020) o oznamovacích centrách a rezervačných centrách pre taxi premávku.</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Prídavné zariadenie musí byť navrhnuté tak, aby bolo možné vyhotoviť správu o kontrole taxametra na papieri bez ohľadu na prevádzkovú polohu taxametra. Obsah a štruktúra správy sú tieto:</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„KONTROLA TAXAMETRA“.</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sériové číslo najmenej so štyrmi číslicami;</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lastRenderedPageBreak/>
        <w:t>3.</w:t>
      </w:r>
      <w:r>
        <w:rPr>
          <w:sz w:val="23"/>
        </w:rPr>
        <w:tab/>
        <w:t>identifikácia orgánu alebo orgánov, ktoré vykonali posúdenie zhody taxametra a prídavného zariadenia;</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číslo certifikátu a sériové číslo taxametra a prídavného zariadenia, ako aj sériové číslo každej jednotky, ak prídavné zariadenie pozostáva z niekoľkých jednotiek;</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označenia verzií softvéru a kontrolné súčty pre softvér zahrnutý do taxametra a prídavného zariadenia,</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meno taxislužby a osobné identifikačné číslo, koordinačné číslo alebo identifikačné číslo spoločnosti;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poštová adresa taxislužby;</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evidenčné číslo vozidla taxislužby;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kód vodiča alebo rozlišovacie číslo vodiča taxislužby;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nasledujúce sčítané hodnoty vyjadrené deviatimi číslicami bez medzimiestnych znakov, pričom každá číslica je spočiatku nula a postupne sa nahrádza inými číslicami, keď sa sčítavacie jednotky zvyšujú:</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celková vzdialenosť prejdená taxíkom;</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celková vzdialenosť prejdená taxíkom v prevádzkovej polohe „Prenajatý“;</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celkový počet priradených jázd;</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celková suma účtovaná ako dodatočné poplatky; a</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celková suma účtovaná ako cestovné;</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konštanta taxametra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dátum poslednej inšpekcie a tesnenia (rr.mm.dd).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názov a poštová adresa kontrolného orgánu;</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firemné identifikačné číslo kontrolného orgánu;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akreditačné číslo kontrolného orgánu,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sériové číslo inšpekčných správ na kontrolu taxametrového zariadenia;</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prezentácia všetkých taríf používaných v taxametri s uvedením druhu tarify a tarifných hodnôt;</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dátum a čas začiatku doby jazdy (rr.mm.dd,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čas začiatku priradenej jazdy a prejdenej vzdialenosti počas priradenej jazdy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dátum a čas výroby (rr.mm.dd,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miesto na pečiatku a úradný podpis kontrolného orgánu; a</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priestor na podpis vodiča taxislužby alebo iného zástupcu taxislužby.</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Prídavné zariadenie musí byť navrhnuté tak, aby sa kontrola prispôsobenia zariadenia taxametra na vozidlo taxislužby mohla vykonať nasledovne. Prídavné zariadenie počas kontroly nameranej vzdialenosti vypočíta vzťah medzi nastavenou konštantou taxametra a prejdenou vzdialenosťou meranou počas kontroly, po ktorej sa správa vyhotoví na papieri. Obsah a štruktúra správy sú tieto:</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„KONTROLA PRISPÔSOBENIA“.</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sériové číslo najmenej so štyrmi číslicami;</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uvedenie orgánu alebo orgánov, ktoré vykonali posúdenie zhody taxametra a prídavného zariadenia;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číslo certifikátu a sériové číslo taxametra a prídavného zariadenia, ako aj sériové číslo každej jednotky, ak prídavné zariadenie pozostáva z niekoľkých jednotiek;</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označenia verzií softvéru a kontrolné súčty pre softvér zahrnutý do taxametra a prídavného zariadenia,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evidenčné číslo vozidla taxislužby;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kód vodiča alebo rozlišovacie číslo vodiča taxislužby;</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nastavená konštanta taxametra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9.</w:t>
      </w:r>
      <w:r>
        <w:rPr>
          <w:sz w:val="23"/>
        </w:rPr>
        <w:tab/>
        <w:t>nameraná prejdená vzdialenosť (D).</w:t>
      </w:r>
    </w:p>
    <w:p w14:paraId="54860A18" w14:textId="404D0F8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T</w:t>
      </w:r>
      <w:r w:rsidR="008F1E7C">
        <w:rPr>
          <w:sz w:val="23"/>
        </w:rPr>
        <w:t>k</w:t>
      </w:r>
      <w:r>
        <w:rPr>
          <w:sz w:val="23"/>
        </w:rPr>
        <w:t xml:space="preserve"> delené Vt, vyjadrené v percentách.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dátum a čas výroby (rr.mm.dd,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miesto na pečiatku a úradný podpis kontrolného orgánu; a</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priestor na podpis vodiča taxislužby alebo iného zástupcu taxislužby.</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Na vypracovanie údajov v papierovej alebo elektronickej podobe sa pre prejdenú vzdialenosť a čas, ktorý uplynul, používajú tieto merné jednotky:</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prejdená vzdialenosť: kilometre; a</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uplynutý čas: sekundy, minúty alebo hodiny, podľa toho, čo je vhodné vziať do úvahy pri zohľadnení požadovaného rozlíšenia a potreby vyhnúť sa nedorozumeniam.</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Údaje vyhotovené na papieri alebo v elektronickej forme musia byť v prípade potreby konzistentné so sčítavacími jednotkami taxametra alebo s hodnotami pridanými k sčítavacím jednotkám taxametra, ako aj inak uloženými v taxametri.</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Ak je napájací zdroj do prídavného zariadenia odpojený, údaje, ktoré sa majú vyhotoviť v papierovej alebo elektronickej forme, sa uchovávajú najmenej dva</w:t>
      </w:r>
      <w:r>
        <w:t xml:space="preserve"> roky.</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Pozri smernicu Európskeho parlamentu a Rady (EÚ) 2015/1535 z 9. septembra 2015, ktorou sa stanovuje postup pri poskytovaní informácií v oblasti technických predpisov a pravidiel, vzťahujúcich sa na služby informačnej spoločnosti.</w:t>
      </w:r>
    </w:p>
  </w:footnote>
  <w:footnote w:id="2">
    <w:p w14:paraId="16617943" w14:textId="7B3140DD" w:rsidR="00D2004E" w:rsidRPr="008B1E1F" w:rsidRDefault="00D2004E" w:rsidP="00D2004E">
      <w:pPr>
        <w:pStyle w:val="FootnoteText"/>
      </w:pPr>
      <w:r>
        <w:rPr>
          <w:rStyle w:val="FootnoteReference"/>
        </w:rPr>
        <w:footnoteRef/>
      </w:r>
      <w:r>
        <w:t xml:space="preserve"> predpisy rady pre akreditáciu a posudzovanie zhody (STAFS </w:t>
      </w:r>
      <w:r>
        <w:rPr>
          <w:color w:val="FF0000"/>
        </w:rPr>
        <w:t>2022:Y</w:t>
      </w:r>
      <w:r>
        <w:t>) na taxametre.</w:t>
      </w:r>
    </w:p>
  </w:footnote>
  <w:footnote w:id="3">
    <w:p w14:paraId="3475B72A" w14:textId="77777777" w:rsidR="00724C69" w:rsidRPr="008B1E1F" w:rsidRDefault="00724C69" w:rsidP="00724C69">
      <w:pPr>
        <w:pStyle w:val="FootnoteText"/>
      </w:pPr>
      <w:r>
        <w:rPr>
          <w:rStyle w:val="FootnoteReference"/>
        </w:rPr>
        <w:footnoteRef/>
      </w:r>
      <w:r>
        <w:t xml:space="preserve"> Predpisy švédskej rady pre akreditáciu a posudzovanie zhody (SWEDAC) (STAFS 2016:1) o meradlách.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8F1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8F1E7C"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OZNAM O TECHNICKÝCH PRAVIDLÁCH"/>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8F1E7C">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OZNAM O TECHNICKÝCH PRAVIDLÁ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1E7C"/>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10</Pages>
  <Words>3178</Words>
  <Characters>18117</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50</cp:revision>
  <dcterms:created xsi:type="dcterms:W3CDTF">2021-06-08T13:25:00Z</dcterms:created>
  <dcterms:modified xsi:type="dcterms:W3CDTF">2022-03-09T18:22:00Z</dcterms:modified>
</cp:coreProperties>
</file>