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FRANCOSKA REPUBLIKA</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Ministrstvo za ekološki prehod in teritorialno kohezijo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Odredba</w:t>
      </w:r>
    </w:p>
    <w:p w14:paraId="6A8D6A8E" w14:textId="77777777" w:rsidR="005C3CFF" w:rsidRDefault="001F42AC">
      <w:pPr>
        <w:pStyle w:val="SNtitre"/>
      </w:pPr>
      <w:r>
        <w:t>o določitvi nevarnih snovi v proizvodih, iz katerih nastajajo odpadki</w:t>
      </w:r>
    </w:p>
    <w:p w14:paraId="4E3DCA9D" w14:textId="77777777" w:rsidR="005C3CFF" w:rsidRPr="00176A22" w:rsidRDefault="00B8106B">
      <w:pPr>
        <w:pStyle w:val="SNNORCentr"/>
      </w:pPr>
      <w:r>
        <w:t xml:space="preserve">Ref. št.: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Zadevna javnost: </w:t>
      </w:r>
      <w:r>
        <w:rPr>
          <w:rFonts w:ascii="Times New Roman" w:hAnsi="Times New Roman"/>
          <w:i/>
          <w:sz w:val="24"/>
        </w:rPr>
        <w:t>Vsak proizvajalec, uvoznik ali subjekt, ki daje na trg proizvode, iz katerih nastajajo odpadki, iz člena R. 541-220 okoljskega zakonika. Za okoljsko kakovost„nevarne snovi“ se izraz proizvod, iz katerega nastajajo odpadki, razume kot izdelek, zmes ali snov v smislu člena 3 Uredbe (ES) št. 1907/2006.</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Namen: </w:t>
      </w:r>
      <w:r>
        <w:rPr>
          <w:rFonts w:ascii="Times New Roman" w:hAnsi="Times New Roman"/>
          <w:i/>
          <w:sz w:val="24"/>
        </w:rPr>
        <w:t xml:space="preserve">Ta odredba določa seznam nevarnih snovi v smislu člena L. 541-9-1 okoljskega zakonika, katerih raven zaskrbljenosti je primerljiva s snovmi, ki vzbujajo veliko zaskrbljenost, in ki niso objavljene na seznamu iz člena 59(10) Uredbe (ES) št. 1907/2006.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Datum začetka veljavnosti: </w:t>
      </w:r>
      <w:r>
        <w:rPr>
          <w:rFonts w:ascii="Times New Roman" w:hAnsi="Times New Roman"/>
          <w:i/>
          <w:sz w:val="24"/>
        </w:rPr>
        <w:t>Dan po objavi odredbe v Uradnem listu.</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Obvestilo: </w:t>
      </w:r>
      <w:r>
        <w:rPr>
          <w:rFonts w:ascii="Times New Roman" w:hAnsi="Times New Roman"/>
          <w:i/>
          <w:sz w:val="24"/>
        </w:rPr>
        <w:t xml:space="preserve">Člen 33 Uredbe (ES) št. 1907/2006 (REACH) določa, da lahko potrošniki od dobavitelja izdelkov zahtevajo, da jih obvesti o prisotnosti snovi, ki vzbujajo veliko zaskrbljenost in katerih koncentracija presega 0,1 mas. %. Seznam snovi, ki vzbujajo veliko zaskrbljenost, se posodablja vsakih šest mesecev. Od 17. januarja 2022 je na seznamu 233 snovi. Teh 233 snovi velja za prednostno nalogo za nadomestitev na evropski ravni. Uredba (EU) št. 1272/2008 (CLP) razpolaga z obveznostmi v zvezi z razvrščanjem, označevanjem in pakiranjem kemičnih snovi in zmesi, pri čemer je označevanje glavno sredstvo za obveščanje potrošnikov. Cilj teh predpisov je zagotoviti visoko raven varovanja zdravja ljudi in okolja v korist potrošnikov, zlasti z njihovim obveščanjem o prisotnosti snovi, ki vzbujajo veliko zaskrbljenost, v izdelkih, in nevarnosti, ki jih predstavljajo zmesi in snovi. Člen L. 541-9-1 okoljskega zakonika, ki je bil uveden z Zakonom št. 2020-105 z dne 10. februarja 2020 o boju proti odpadkom in o krožnem gospodarstvu, določa možnost razširitve in okrepitve teh obveznosti obveščanja za proizvode, iz katerih nastajajo odpadki, zlasti v dematerializirani obliki. Ti proizvodi se razumejo kot izdelki, zmesi ali snovi v smislu člena 3 Uredbe (ES) št. 1907/2006. V skladu z opredelitvijo iz Odloka št. 2021-1285 z dne 1. oktobra 2021 o opredelitvi nevarnih snovi v proizvodih, iz katerih nastajajo odpadki, je seznam takih snovi sestavljen iz seznama snovi, ki vzbujajo veliko zaskrbljenost, dodanih na seznam snovi, katerih stopnja zaskrbljenosti je primerljiva, pri čemer je ta drugi seznam sestavljen na podlagi mnenja Nacionalne agencije za varnost hrane in okolja ter varnost pri delu. Ta odredba določa prvi </w:t>
      </w:r>
      <w:r>
        <w:rPr>
          <w:rFonts w:ascii="Times New Roman" w:hAnsi="Times New Roman"/>
          <w:i/>
          <w:sz w:val="24"/>
        </w:rPr>
        <w:lastRenderedPageBreak/>
        <w:t>seznam snovi, katerih stopnja zaskrbljenosti je primerljiva s snovmi, ki vzbujajo veliko zaskrbljenost, v skladu s priporočili ANSES iz mnenja z dne 25. marca 2021.</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Minister za ekološki prehod in teritorialno kohezijo –</w:t>
      </w:r>
    </w:p>
    <w:p w14:paraId="1BA61EAC" w14:textId="77777777" w:rsidR="00BC4BCE" w:rsidRDefault="00B8106B" w:rsidP="0068723C">
      <w:pPr>
        <w:pStyle w:val="SNRapport"/>
        <w:jc w:val="both"/>
      </w:pPr>
      <w:r>
        <w:t>ob upoštevanju poročila generalnega direktorja za preprečevanje tveganj;</w:t>
      </w:r>
    </w:p>
    <w:p w14:paraId="4EF37F21" w14:textId="77777777" w:rsidR="00FA067A" w:rsidRDefault="00FA067A" w:rsidP="00FA067A">
      <w:pPr>
        <w:pStyle w:val="SNVisa"/>
        <w:rPr>
          <w:bCs/>
        </w:rPr>
      </w:pPr>
      <w:r>
        <w:t>ob upoštevanju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14:paraId="19B9958A" w14:textId="065AAC06" w:rsidR="00FA067A" w:rsidRPr="00AC5C8E" w:rsidRDefault="00FA067A" w:rsidP="00FA067A">
      <w:pPr>
        <w:pStyle w:val="SNVisa"/>
        <w:rPr>
          <w:shd w:val="clear" w:color="auto" w:fill="FFFFFF"/>
        </w:rPr>
      </w:pPr>
      <w:r>
        <w:t xml:space="preserve">ob upoštevanju Direktive (EU) 2015/1535 Evropskega parlamenta in Sveta </w:t>
      </w:r>
      <w:r>
        <w:rPr>
          <w:shd w:val="clear" w:color="auto" w:fill="FFFFFF"/>
        </w:rPr>
        <w:t>z dne 9. septembra 2015 o določitvi postopka za zbiranje informacij na področju tehničnih predpisov in pravil za storitve informacijske družbe,</w:t>
      </w:r>
      <w:r>
        <w:t xml:space="preserve"> zlasti uradnega obvestila št. </w:t>
      </w:r>
      <w:r>
        <w:rPr>
          <w:highlight w:val="yellow"/>
        </w:rPr>
        <w:t>2023/XXX/F</w:t>
      </w:r>
      <w:r>
        <w:rPr>
          <w:shd w:val="clear" w:color="auto" w:fill="FFFFFF"/>
        </w:rPr>
        <w:t>;</w:t>
      </w:r>
    </w:p>
    <w:p w14:paraId="7FAA9FD4" w14:textId="77777777" w:rsidR="00FA067A" w:rsidRDefault="00FA067A" w:rsidP="00FA067A">
      <w:pPr>
        <w:pStyle w:val="SNVisa"/>
        <w:rPr>
          <w:bCs/>
        </w:rPr>
      </w:pPr>
      <w:r>
        <w:t>ob upoštevanju Direktive (EU) 2018/851 Evropskega parlamenta in Sveta z dne 30. maja 2018 o spremembi Direktive 2008/98/ES o odpadkih;</w:t>
      </w:r>
    </w:p>
    <w:p w14:paraId="4FC279E8" w14:textId="7E3F171B" w:rsidR="00FA067A" w:rsidRDefault="00FA067A" w:rsidP="00FA067A">
      <w:pPr>
        <w:pStyle w:val="SNVisa"/>
        <w:rPr>
          <w:bCs/>
        </w:rPr>
      </w:pPr>
      <w:r>
        <w:t>ob upoštevanju okoljskega zakonika, zlasti člena L. 541-9-1;</w:t>
      </w:r>
    </w:p>
    <w:p w14:paraId="16EBB9A6" w14:textId="32017DAD" w:rsidR="009D219E" w:rsidRPr="00646164" w:rsidRDefault="009D219E" w:rsidP="00FA067A">
      <w:pPr>
        <w:pStyle w:val="SNVisa"/>
        <w:rPr>
          <w:bCs/>
        </w:rPr>
      </w:pPr>
      <w:r>
        <w:t>ob upoštevanju okoljskega zakonika, zlasti člena R. 541-221,</w:t>
      </w:r>
    </w:p>
    <w:p w14:paraId="291EB9A3" w14:textId="6247425E" w:rsidR="001509DC" w:rsidRDefault="00F92020" w:rsidP="001509DC">
      <w:pPr>
        <w:pStyle w:val="SNVisa"/>
        <w:rPr>
          <w:bCs/>
        </w:rPr>
      </w:pPr>
      <w:r>
        <w:t>ob upoštevanju Odloka št. 2021-1285 z dne 1. oktobra 2021 o opredelitvi nevarnih snovi v proizvodih, iz katerih nastajajo odpadki, sprejetega v skladu s členom L. 541-9-1 okoljskega zakonika;</w:t>
      </w:r>
    </w:p>
    <w:p w14:paraId="62C9F107" w14:textId="671C1C40" w:rsidR="00351A7D" w:rsidRDefault="00351A7D" w:rsidP="001509DC">
      <w:pPr>
        <w:pStyle w:val="SNVisa"/>
        <w:rPr>
          <w:bCs/>
        </w:rPr>
      </w:pPr>
      <w:r>
        <w:t>ob upoštevanju Odloka št. 2022-748 z dne 29. aprila 2022 o obveščanju potrošnikov o okoljski kakovosti in značilnostih proizvodov, iz katerih nastajajo odpadki;</w:t>
      </w:r>
    </w:p>
    <w:p w14:paraId="4F9A831F" w14:textId="77777777" w:rsidR="001509DC" w:rsidRDefault="001509DC" w:rsidP="00ED414C">
      <w:pPr>
        <w:pStyle w:val="SNVisa"/>
        <w:rPr>
          <w:bCs/>
        </w:rPr>
      </w:pPr>
      <w:r>
        <w:t>ob upoštevanju seznama snovi, ki ga je Evropska agencija za kemikalije objavila na svojem spletnem mestu 10. junija 2022 v skladu s členom 59 Uredbe (ES) št. 1907/2006;</w:t>
      </w:r>
    </w:p>
    <w:p w14:paraId="0761D7BB" w14:textId="21EE575E" w:rsidR="00093D84" w:rsidRDefault="00CD2D5F" w:rsidP="00ED414C">
      <w:pPr>
        <w:pStyle w:val="SNVisa"/>
        <w:rPr>
          <w:bCs/>
        </w:rPr>
      </w:pPr>
      <w:r>
        <w:t>ob upoštevanju mnenja Nacionalne agencije za varnost hrane in okolja ter varnost pri delu z dne 25. marca 2021 po napotitvi generalnega direktorja za preprečevanje tveganj in generalnega direktorja za zdravje z dne 26. avgusta 2020;</w:t>
      </w:r>
    </w:p>
    <w:p w14:paraId="515AAA36" w14:textId="38651439" w:rsidR="00C57297" w:rsidRPr="00646164" w:rsidRDefault="00C57297" w:rsidP="00C57297">
      <w:pPr>
        <w:pStyle w:val="SNVisa"/>
        <w:rPr>
          <w:bCs/>
        </w:rPr>
      </w:pPr>
      <w:r>
        <w:t>glede na to, da je bisfenol B snov, ki je bila 8. julija 2021 vključena na seznam snovi, ki vzbujajo zaskrbljenost, zaradi svojih lastnosti endokrinih motilcev za okolje in zdravje ljudi;</w:t>
      </w:r>
    </w:p>
    <w:p w14:paraId="339681F1" w14:textId="7AE8D5B0" w:rsidR="00B1037F" w:rsidRPr="00646164" w:rsidRDefault="00B1037F" w:rsidP="00ED414C">
      <w:pPr>
        <w:pStyle w:val="SNVisa"/>
        <w:rPr>
          <w:bCs/>
        </w:rPr>
      </w:pPr>
      <w:r>
        <w:t>glede na to, da je diizooktil ftalat snov, razvrščena kot snov, strupena za razmnoževanje kategorije 1B, ki izpolnjuje merila za opredelitev snovi, ki vzbuja veliko zaskrbljenost;</w:t>
      </w:r>
    </w:p>
    <w:p w14:paraId="6E61F2A2" w14:textId="02557EE0" w:rsidR="00E95D8C" w:rsidRPr="00646164" w:rsidRDefault="00E95D8C" w:rsidP="00ED414C">
      <w:pPr>
        <w:pStyle w:val="SNVisa"/>
        <w:rPr>
          <w:bCs/>
        </w:rPr>
      </w:pPr>
      <w:r>
        <w:t>glede na to, da je rezorcinol snov, katere lastnosti endokrinih motilcev za ljudi sta priznala Nacionalna agencija za varnost hrane in okolja ter varnost pri delu (ANSES) v svojem mnenju z dne 9. marca 2020 in Odbor držav članic dne 12. junija 2020 in ker ta snov izpolnjuje merila za opredelitev snovi, ki vzbuja veliko zaskrbljenost, v skladu z ANSES;</w:t>
      </w:r>
    </w:p>
    <w:p w14:paraId="6E47FDEA" w14:textId="23EF0599" w:rsidR="00C57297" w:rsidRDefault="00C57297" w:rsidP="00ED414C">
      <w:pPr>
        <w:pStyle w:val="SNVisa"/>
        <w:rPr>
          <w:bCs/>
        </w:rPr>
      </w:pPr>
      <w:r>
        <w:t>glede na to, da je treba iz teh razlogov diizooktil ftalat in rezorcinol opredeliti kot nevarne snovi v smislu Odloka št. 2021-1285 z dne 1. oktobra 2021 o opredelitvi nevarnih snovi v proizvodih, iz katerih nastajajo odpadki, sprejetega v skladu s členom L. 541-9-1 okoljskega zakonika –</w:t>
      </w:r>
    </w:p>
    <w:p w14:paraId="4F9DCE1D" w14:textId="77777777" w:rsidR="005C3CFF" w:rsidRDefault="005C3CFF">
      <w:pPr>
        <w:pStyle w:val="SNVisa"/>
        <w:rPr>
          <w:bCs/>
        </w:rPr>
      </w:pPr>
    </w:p>
    <w:p w14:paraId="73F91CAD" w14:textId="77777777" w:rsidR="005C3CFF" w:rsidRPr="007C2FA5" w:rsidRDefault="00F92020" w:rsidP="007C2FA5">
      <w:pPr>
        <w:pStyle w:val="SNActe"/>
      </w:pPr>
      <w:r>
        <w:lastRenderedPageBreak/>
        <w:t>odreja:</w:t>
      </w:r>
    </w:p>
    <w:p w14:paraId="36CE1980" w14:textId="77777777" w:rsidR="005C3CFF" w:rsidRPr="007C2FA5" w:rsidRDefault="00B8106B" w:rsidP="007C2FA5">
      <w:pPr>
        <w:pStyle w:val="SNArticle"/>
      </w:pPr>
      <w:r>
        <w:t>Člen 1</w:t>
      </w:r>
    </w:p>
    <w:p w14:paraId="1BB518B2" w14:textId="17DC1A4D" w:rsidR="004635A2" w:rsidRDefault="004635A2">
      <w:pPr>
        <w:pStyle w:val="BodyText"/>
        <w:spacing w:after="0"/>
        <w:ind w:firstLine="708"/>
      </w:pPr>
      <w:r>
        <w:t>Snovi z ravnjo zaskrbljenosti, primerljivo s snovmi, ki vzbujajo veliko zaskrbljenost in so v skladu s členom 59(10) Uredbe (ES) št. 1907/2006 navedene na spletni strani Evropske agencije za kemikalije, se navedejo v Prilogi skupaj z datumom njihove vključitve v Prilogo.</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Člen 2</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Minister za ekološki prehod in teritorialno kohezijo je pristojen za izvajanje te odredbe, ki se objavi v Uradnem listu (</w:t>
      </w:r>
      <w:r>
        <w:rPr>
          <w:rStyle w:val="Accentuationforte"/>
          <w:rFonts w:ascii="Times New Roman" w:hAnsi="Times New Roman"/>
          <w:b w:val="0"/>
          <w:i/>
          <w:sz w:val="24"/>
        </w:rPr>
        <w:t>Journal officiel</w:t>
      </w:r>
      <w:r>
        <w:rPr>
          <w:rStyle w:val="Accentuationforte"/>
          <w:rFonts w:ascii="Times New Roman" w:hAnsi="Times New Roman"/>
          <w:b w:val="0"/>
          <w:sz w:val="24"/>
        </w:rPr>
        <w:t>) Francoske republike.</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77777777" w:rsidR="007E33DE" w:rsidRDefault="00B8106B" w:rsidP="00646164">
      <w:pPr>
        <w:pStyle w:val="SNDate"/>
      </w:pPr>
      <w:r>
        <w:t>Dne […]</w:t>
      </w:r>
    </w:p>
    <w:p w14:paraId="4B0FC850" w14:textId="355E66B0" w:rsidR="005C3CFF" w:rsidRDefault="00E865E1" w:rsidP="00646164">
      <w:pPr>
        <w:pStyle w:val="SNDate"/>
      </w:pPr>
      <w:r>
        <w:t>Za ministra za ekološki prehod in teritorialno kohezijo:</w:t>
      </w:r>
    </w:p>
    <w:p w14:paraId="37848D37" w14:textId="7C15FCEE" w:rsidR="005C3CFF" w:rsidRDefault="00B8106B" w:rsidP="00646164">
      <w:pPr>
        <w:pStyle w:val="SNDate"/>
        <w:rPr>
          <w:highlight w:val="yellow"/>
        </w:rPr>
      </w:pPr>
      <w:r>
        <w:t>generalni direktor za preprečevanje tveganja,</w:t>
      </w:r>
    </w:p>
    <w:p w14:paraId="732A53E4" w14:textId="729526ED" w:rsidR="005C3CFF" w:rsidRDefault="00E865E1" w:rsidP="007C2FA5">
      <w:pPr>
        <w:pStyle w:val="SNSignatureGauche"/>
      </w:pPr>
      <w:r>
        <w:t>Cédric BOURILLET</w:t>
      </w:r>
    </w:p>
    <w:p w14:paraId="2DF0F575" w14:textId="36642C69" w:rsidR="00F95951" w:rsidRDefault="00F95951">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br w:type="page"/>
      </w:r>
    </w:p>
    <w:p w14:paraId="3C088CF7" w14:textId="77777777" w:rsidR="00B1037F" w:rsidRDefault="00B1037F">
      <w:pPr>
        <w:spacing w:after="0" w:line="240" w:lineRule="auto"/>
        <w:rPr>
          <w:rFonts w:ascii="Times New Roman" w:hAnsi="Times New Roman" w:cs="Times New Roman"/>
          <w:color w:val="00000A"/>
          <w:sz w:val="24"/>
          <w:szCs w:val="24"/>
        </w:rPr>
      </w:pPr>
    </w:p>
    <w:p w14:paraId="38F201F4" w14:textId="61944257" w:rsidR="00B1037F" w:rsidRDefault="00B1037F" w:rsidP="00B1037F">
      <w:pPr>
        <w:pStyle w:val="BodyText"/>
        <w:spacing w:after="0"/>
        <w:ind w:firstLine="708"/>
      </w:pPr>
      <w:r>
        <w:t>Priloga</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Dopolnilni seznam nevarnih snovi v smislu člena L. 541-9-1 okoljskega zakonika, opredeljenih v skladu z drugo alineo člena 1 Odloka št. 2021-1285 z dne 1. oktobra 2021 o opredelitvi nevarnih snovi v proizvodih, iz katerih nastajajo odpadki.</w:t>
      </w:r>
    </w:p>
    <w:p w14:paraId="3FD72AB2" w14:textId="77777777" w:rsidR="00A40310" w:rsidRDefault="00A40310" w:rsidP="00B1037F">
      <w:pPr>
        <w:pStyle w:val="BodyText"/>
        <w:spacing w:after="0"/>
        <w:ind w:firstLine="708"/>
      </w:pPr>
    </w:p>
    <w:tbl>
      <w:tblPr>
        <w:tblStyle w:val="TableGrid"/>
        <w:tblW w:w="9918" w:type="dxa"/>
        <w:tblLook w:val="04A0" w:firstRow="1" w:lastRow="0" w:firstColumn="1" w:lastColumn="0" w:noHBand="0" w:noVBand="1"/>
      </w:tblPr>
      <w:tblGrid>
        <w:gridCol w:w="4531"/>
        <w:gridCol w:w="1843"/>
        <w:gridCol w:w="3544"/>
      </w:tblGrid>
      <w:tr w:rsidR="00C57297" w14:paraId="675038F4" w14:textId="77777777" w:rsidTr="00F95951">
        <w:trPr>
          <w:tblHeader/>
        </w:trPr>
        <w:tc>
          <w:tcPr>
            <w:tcW w:w="4531" w:type="dxa"/>
          </w:tcPr>
          <w:p w14:paraId="7F39AFE5" w14:textId="0FA344EA" w:rsidR="00C57297" w:rsidRPr="00C57297" w:rsidRDefault="00C57297" w:rsidP="00B1037F">
            <w:pPr>
              <w:pStyle w:val="BodyText"/>
              <w:spacing w:after="0"/>
              <w:rPr>
                <w:b/>
              </w:rPr>
            </w:pPr>
            <w:r>
              <w:rPr>
                <w:b/>
              </w:rPr>
              <w:t>Ime snovi</w:t>
            </w:r>
          </w:p>
        </w:tc>
        <w:tc>
          <w:tcPr>
            <w:tcW w:w="1843" w:type="dxa"/>
          </w:tcPr>
          <w:p w14:paraId="0E007ABC" w14:textId="332DCBB9" w:rsidR="00C57297" w:rsidRPr="00C57297" w:rsidRDefault="00C57297" w:rsidP="00B1037F">
            <w:pPr>
              <w:pStyle w:val="BodyText"/>
              <w:spacing w:after="0"/>
              <w:rPr>
                <w:b/>
              </w:rPr>
            </w:pPr>
            <w:r>
              <w:rPr>
                <w:b/>
              </w:rPr>
              <w:t>Št. CAS</w:t>
            </w:r>
          </w:p>
        </w:tc>
        <w:tc>
          <w:tcPr>
            <w:tcW w:w="3544" w:type="dxa"/>
          </w:tcPr>
          <w:p w14:paraId="43712975" w14:textId="0B1CB8C8" w:rsidR="00C57297" w:rsidRPr="00C57297" w:rsidRDefault="00C57297" w:rsidP="00B1037F">
            <w:pPr>
              <w:pStyle w:val="BodyText"/>
              <w:spacing w:after="0"/>
              <w:rPr>
                <w:b/>
              </w:rPr>
            </w:pPr>
            <w:r>
              <w:rPr>
                <w:b/>
              </w:rPr>
              <w:t>Datum vključitve</w:t>
            </w:r>
          </w:p>
        </w:tc>
      </w:tr>
      <w:tr w:rsidR="00C57297" w14:paraId="00307371" w14:textId="77777777" w:rsidTr="00F95951">
        <w:tc>
          <w:tcPr>
            <w:tcW w:w="4531" w:type="dxa"/>
          </w:tcPr>
          <w:p w14:paraId="0BA5E57A" w14:textId="270E11A4" w:rsidR="00C57297" w:rsidRDefault="00C57297" w:rsidP="00C57297">
            <w:pPr>
              <w:pStyle w:val="BodyText"/>
              <w:spacing w:after="0"/>
              <w:jc w:val="left"/>
            </w:pPr>
            <w:r>
              <w:t>Diizooktil ftalat (DIOP)</w:t>
            </w:r>
          </w:p>
        </w:tc>
        <w:tc>
          <w:tcPr>
            <w:tcW w:w="1843" w:type="dxa"/>
          </w:tcPr>
          <w:p w14:paraId="06C73964" w14:textId="3BF759A9" w:rsidR="00C57297" w:rsidRDefault="00C57297" w:rsidP="00B1037F">
            <w:pPr>
              <w:pStyle w:val="BodyText"/>
              <w:spacing w:after="0"/>
            </w:pPr>
            <w:r>
              <w:t>27554-26-3</w:t>
            </w:r>
          </w:p>
        </w:tc>
        <w:tc>
          <w:tcPr>
            <w:tcW w:w="3544" w:type="dxa"/>
          </w:tcPr>
          <w:p w14:paraId="23F16EB2" w14:textId="32AE2CE0" w:rsidR="00C57297" w:rsidRDefault="00631556" w:rsidP="00631556">
            <w:pPr>
              <w:pStyle w:val="BodyText"/>
              <w:spacing w:after="0"/>
            </w:pPr>
            <w:r>
              <w:t>&lt;dan po datumu objave v JORF&gt;</w:t>
            </w:r>
          </w:p>
        </w:tc>
      </w:tr>
      <w:tr w:rsidR="00C57297" w14:paraId="02D5BFC3" w14:textId="77777777" w:rsidTr="00F95951">
        <w:tc>
          <w:tcPr>
            <w:tcW w:w="4531" w:type="dxa"/>
          </w:tcPr>
          <w:p w14:paraId="5DC9622F" w14:textId="1622AFE8" w:rsidR="00C57297" w:rsidRDefault="00C57297" w:rsidP="00C57297">
            <w:pPr>
              <w:pStyle w:val="BodyText"/>
              <w:spacing w:after="0"/>
              <w:jc w:val="left"/>
            </w:pPr>
            <w:r>
              <w:t>1,3-benzendiol (rezorcinol)</w:t>
            </w:r>
          </w:p>
        </w:tc>
        <w:tc>
          <w:tcPr>
            <w:tcW w:w="1843" w:type="dxa"/>
          </w:tcPr>
          <w:p w14:paraId="53A597F8" w14:textId="2CE5635F" w:rsidR="00C57297" w:rsidRDefault="00C57297" w:rsidP="00B1037F">
            <w:pPr>
              <w:pStyle w:val="BodyText"/>
              <w:spacing w:after="0"/>
            </w:pPr>
            <w:r>
              <w:t>108-46-3</w:t>
            </w:r>
          </w:p>
        </w:tc>
        <w:tc>
          <w:tcPr>
            <w:tcW w:w="3544" w:type="dxa"/>
          </w:tcPr>
          <w:p w14:paraId="12C3F68A" w14:textId="3F91B58B" w:rsidR="00C57297" w:rsidRDefault="00631556" w:rsidP="00B1037F">
            <w:pPr>
              <w:pStyle w:val="BodyText"/>
              <w:spacing w:after="0"/>
            </w:pPr>
            <w:r>
              <w:t>&lt;dan po datumu objave v JORF&gt;</w:t>
            </w:r>
          </w:p>
        </w:tc>
      </w:tr>
    </w:tbl>
    <w:p w14:paraId="74E98D3D" w14:textId="77777777" w:rsidR="00B1037F" w:rsidRDefault="00B1037F" w:rsidP="00B1037F">
      <w:pPr>
        <w:pStyle w:val="BodyText"/>
        <w:spacing w:after="0"/>
        <w:ind w:firstLine="708"/>
      </w:pPr>
    </w:p>
    <w:p w14:paraId="03536BCA" w14:textId="77777777" w:rsidR="00B1037F" w:rsidRPr="007C2FA5" w:rsidRDefault="00B1037F" w:rsidP="00B1037F">
      <w:pPr>
        <w:pStyle w:val="BodyText"/>
        <w:spacing w:after="0"/>
        <w:ind w:firstLine="708"/>
      </w:pPr>
    </w:p>
    <w:sectPr w:rsidR="00B1037F" w:rsidRPr="007C2FA5"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14128A"/>
    <w:rsid w:val="001509DC"/>
    <w:rsid w:val="00176A22"/>
    <w:rsid w:val="001B00EC"/>
    <w:rsid w:val="001F2CA7"/>
    <w:rsid w:val="001F42AC"/>
    <w:rsid w:val="001F4F6F"/>
    <w:rsid w:val="00230B02"/>
    <w:rsid w:val="00251902"/>
    <w:rsid w:val="0025560A"/>
    <w:rsid w:val="002A2F6F"/>
    <w:rsid w:val="002A6556"/>
    <w:rsid w:val="002B525C"/>
    <w:rsid w:val="002E09DC"/>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95951"/>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646164"/>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646164"/>
    <w:pPr>
      <w:spacing w:before="480" w:after="180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984</Words>
  <Characters>5609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4</cp:revision>
  <dcterms:created xsi:type="dcterms:W3CDTF">2023-01-20T09:24:00Z</dcterms:created>
  <dcterms:modified xsi:type="dcterms:W3CDTF">2023-01-30T15:21:00Z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