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C8FF7" w14:textId="77777777" w:rsidR="009811D9" w:rsidRPr="009811D9" w:rsidRDefault="009811D9" w:rsidP="009811D9">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Nařízení č. 2021-1943 ze dne 31. prosince 2021 o době dostupnosti náhradních dílů pro notebooky a chytré telefony</w:t>
      </w:r>
    </w:p>
    <w:p w14:paraId="192BF00B" w14:textId="77777777" w:rsidR="009811D9" w:rsidRPr="009811D9" w:rsidRDefault="009811D9" w:rsidP="009811D9">
      <w:pPr>
        <w:spacing w:after="0" w:line="240" w:lineRule="auto"/>
        <w:rPr>
          <w:rFonts w:ascii="Times New Roman" w:eastAsia="Times New Roman" w:hAnsi="Times New Roman" w:cs="Times New Roman"/>
          <w:sz w:val="24"/>
          <w:szCs w:val="24"/>
        </w:rPr>
      </w:pPr>
      <w:r>
        <w:rPr>
          <w:rFonts w:ascii="Times New Roman" w:hAnsi="Times New Roman"/>
          <w:sz w:val="24"/>
        </w:rPr>
        <w:t>NOR: ECOC2105006D</w:t>
      </w:r>
      <w:r>
        <w:rPr>
          <w:rFonts w:ascii="Times New Roman" w:hAnsi="Times New Roman"/>
          <w:sz w:val="24"/>
        </w:rPr>
        <w:br/>
        <w:t>ELI: https://www.legifrance.gouv.fr/eli/decret/2021/12/31/ECOC2105006D/jo/texte</w:t>
      </w:r>
      <w:r>
        <w:rPr>
          <w:rFonts w:ascii="Times New Roman" w:hAnsi="Times New Roman"/>
          <w:sz w:val="24"/>
        </w:rPr>
        <w:br/>
        <w:t>Alias: https://www.legifrance.gouv.fr/eli/decret/2021/12/31/2021-1943/jo/texte</w:t>
      </w:r>
      <w:r>
        <w:rPr>
          <w:rFonts w:ascii="Times New Roman" w:hAnsi="Times New Roman"/>
          <w:sz w:val="24"/>
        </w:rPr>
        <w:br/>
        <w:t>Úřední věstník Francouzské republiky č. 0001 ze dne 1. ledna 2022</w:t>
      </w:r>
      <w:r>
        <w:rPr>
          <w:rFonts w:ascii="Times New Roman" w:hAnsi="Times New Roman"/>
          <w:sz w:val="24"/>
        </w:rPr>
        <w:br/>
        <w:t>Text č. 17</w:t>
      </w:r>
    </w:p>
    <w:p w14:paraId="45A48C65"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 xml:space="preserve">Dotčené skupiny obyvatelstva: výrobci a dovozci notebooků a chytrých telefonů; </w:t>
      </w:r>
      <w:r>
        <w:rPr>
          <w:rFonts w:ascii="Times New Roman" w:hAnsi="Times New Roman"/>
          <w:sz w:val="24"/>
        </w:rPr>
        <w:br/>
        <w:t xml:space="preserve">Předmět: sestavení seznamu kategorií zařízení (notebooků a chytrých telefonů) a náhradních dílů, které mají být dodávány na trh po dobu nejméně pěti let ode dne uvedení posledního kusu daného modelu zařízení na trh; </w:t>
      </w:r>
      <w:r>
        <w:rPr>
          <w:rFonts w:ascii="Times New Roman" w:hAnsi="Times New Roman"/>
          <w:sz w:val="24"/>
        </w:rPr>
        <w:br/>
        <w:t xml:space="preserve">Nabytí účinnosti: 1. ledna 2022; </w:t>
      </w:r>
      <w:r>
        <w:rPr>
          <w:rFonts w:ascii="Times New Roman" w:hAnsi="Times New Roman"/>
          <w:sz w:val="24"/>
        </w:rPr>
        <w:br/>
        <w:t xml:space="preserve">Poznámka: Nařízení se vydává za účelem provedení článku L. 111-4 spotřebitelského zákoníku, který ukládá producentům (výrobcům a dovozcům) domácích spotřebičů, malých počítačových a telekomunikačních zařízení, obrazovek a monitorů, aby zajistili dostupnost náhradních dílů po dobu uvádění na trh dotčených modelů výrobků a také po další minimální období ode dne uvedení posledního kusu těchto modelů na trh. Toto dodatečné minimální období nesmí být kratší než pět let. Ustanovení týkající se doby dostupnosti součástí některých domácích spotřebičů, obrazovek a monitorů jsou rovněž stanovena prováděcími nařízeními ke směrnici Evropského parlamentu a Rady 2009/125/ES ze dne 21. října 2009 o stanovení rámce pro určení požadavků na ekodesign výrobků spojených se spotřebou energie. </w:t>
      </w:r>
      <w:r>
        <w:rPr>
          <w:rFonts w:ascii="Times New Roman" w:hAnsi="Times New Roman"/>
          <w:sz w:val="24"/>
        </w:rPr>
        <w:br/>
        <w:t xml:space="preserve">Odkaz: Toto nařízení je k dispozici k nahlédnutí na internetových stránkách Légifrance (http://www.legifrance.gouv.fr). </w:t>
      </w:r>
    </w:p>
    <w:p w14:paraId="54AAD396"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Předseda vlády,</w:t>
      </w:r>
      <w:r>
        <w:rPr>
          <w:rFonts w:ascii="Times New Roman" w:hAnsi="Times New Roman"/>
          <w:sz w:val="24"/>
        </w:rPr>
        <w:br/>
        <w:t>v návaznosti na zprávu ministra hospodářství, financí a oživení,</w:t>
      </w:r>
      <w:r>
        <w:rPr>
          <w:rFonts w:ascii="Times New Roman" w:hAnsi="Times New Roman"/>
          <w:sz w:val="24"/>
        </w:rPr>
        <w:br/>
        <w:t>s ohledem na směrnici Evropského parlamentu a Rady (EU) 2015/1535 ze dne 9. září 2015 o postupu při poskytování informací v oblasti technických předpisů a předpisů pro služby informační společnosti, jakož i na oznámení zaslané Evropské komisi dne 28. června 2021;</w:t>
      </w:r>
      <w:r>
        <w:rPr>
          <w:rFonts w:ascii="Times New Roman" w:hAnsi="Times New Roman"/>
          <w:sz w:val="24"/>
        </w:rPr>
        <w:br/>
        <w:t>s ohledem na občanský zákoník, a zejména na článek 1 tohoto zákoníku;</w:t>
      </w:r>
      <w:r>
        <w:rPr>
          <w:rFonts w:ascii="Times New Roman" w:hAnsi="Times New Roman"/>
          <w:sz w:val="24"/>
        </w:rPr>
        <w:br/>
        <w:t>s ohledem na spotřebitelský zákoník, a zejména na článek L. 111-4, ve znění článku 19 zákona č. 2020-105 ze dne 10. února 2020 o boji proti plýtvání a o oběhovém hospodářství; ve znění článku 30 zákona č. 2021-1104 ze dne 22. srpna 2021 o boji proti změně klimatu a posílení odolnosti vůči jejím účinkům;</w:t>
      </w:r>
      <w:r>
        <w:rPr>
          <w:rFonts w:ascii="Times New Roman" w:hAnsi="Times New Roman"/>
          <w:sz w:val="24"/>
        </w:rPr>
        <w:br/>
        <w:t>s ohledem na zákon č. 2020-105 o boji proti plýtvání a o oběhovém hospodářství, a zejména na články 19 a 130 tohoto zákona;</w:t>
      </w:r>
      <w:r>
        <w:rPr>
          <w:rFonts w:ascii="Times New Roman" w:hAnsi="Times New Roman"/>
          <w:sz w:val="24"/>
        </w:rPr>
        <w:br/>
        <w:t>po vyslechnutí Státní rady (finanční odbor);</w:t>
      </w:r>
      <w:r>
        <w:rPr>
          <w:rFonts w:ascii="Times New Roman" w:hAnsi="Times New Roman"/>
          <w:sz w:val="24"/>
        </w:rPr>
        <w:br/>
        <w:t>vzhledem k naléhavosti,</w:t>
      </w:r>
      <w:r>
        <w:rPr>
          <w:rFonts w:ascii="Times New Roman" w:hAnsi="Times New Roman"/>
          <w:sz w:val="24"/>
        </w:rPr>
        <w:br/>
        <w:t>tímto nařizuje:</w:t>
      </w:r>
    </w:p>
    <w:p w14:paraId="3883F39D"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1</w:t>
      </w:r>
    </w:p>
    <w:p w14:paraId="3925AA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Za článek D. 111-4 spotřebitelského zákoníku se vkládají tři nové články, které znějí: </w:t>
      </w:r>
    </w:p>
    <w:p w14:paraId="751908DF"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 xml:space="preserve">„Čl. R. 111-4-1. - Pro účely článku L. 111-4 se použijí tyto definice: </w:t>
      </w:r>
      <w:r>
        <w:rPr>
          <w:rFonts w:ascii="Times New Roman" w:hAnsi="Times New Roman"/>
          <w:sz w:val="24"/>
        </w:rPr>
        <w:br/>
        <w:t xml:space="preserve">„notebookem“ se rozumí počítač speciálně konstruovaný jako přenosný a koncipovaný tak, aby mohl být provozován delší dobu jak s přímým připojením ke zdroji střídavého proudu, tak i bez něho. Notebooky mají integrovaný displej, s viditelným diagonálním rozměrem obrazovky nejméně 22,86 cm (9 palců), a jsou napájeny z integrované baterie nebo jiného přenosného zdroje napájení; </w:t>
      </w:r>
      <w:r>
        <w:rPr>
          <w:rFonts w:ascii="Times New Roman" w:hAnsi="Times New Roman"/>
          <w:sz w:val="24"/>
        </w:rPr>
        <w:br/>
        <w:t xml:space="preserve">„počítačem typu tablet“ se rozumí druh notebooku, který má připojený dotykový displej a připojenou fyzickou klávesnici; </w:t>
      </w:r>
      <w:r>
        <w:rPr>
          <w:rFonts w:ascii="Times New Roman" w:hAnsi="Times New Roman"/>
          <w:sz w:val="24"/>
        </w:rPr>
        <w:br/>
        <w:t xml:space="preserve">„počítač typu slate“ se rozumí druh notebooku, který má integrovaný dotykový displej, ale nemá trvale připojenou fyzickou klávesnici; </w:t>
      </w:r>
      <w:r>
        <w:rPr>
          <w:rFonts w:ascii="Times New Roman" w:hAnsi="Times New Roman"/>
          <w:sz w:val="24"/>
        </w:rPr>
        <w:br/>
        <w:t xml:space="preserve">„mobilním počítačem typu tenký klient“ se rozumí druh notebooku, jehož primární funkčnost zajišťuje připojení ke vzdáleným výpočetním zařízením (např. k počítačovému serveru, ke vzdálené pracovní stanici) a ve kterém není zabudováno žádné rotační paměťové médium; </w:t>
      </w:r>
      <w:r>
        <w:rPr>
          <w:rFonts w:ascii="Times New Roman" w:hAnsi="Times New Roman"/>
          <w:sz w:val="24"/>
        </w:rPr>
        <w:br/>
        <w:t xml:space="preserve">„chytrým telefonem“ se rozumí elektronické zařízení používané k dálkové komunikaci prostřednictvím mobilní sítě základnových stanic s podobnými vlastnostmi jako bezdrátový notebook určený především pro bateriový režim, které je vybaveno hmatovým rozhraním. </w:t>
      </w:r>
    </w:p>
    <w:p w14:paraId="5C764760" w14:textId="38C522F9"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„článek R. 111-4-2 </w:t>
      </w:r>
      <w:r w:rsidR="009A05AD">
        <w:rPr>
          <w:rFonts w:ascii="Times New Roman" w:hAnsi="Times New Roman"/>
          <w:sz w:val="24"/>
        </w:rPr>
        <w:t>-</w:t>
      </w:r>
      <w:r>
        <w:rPr>
          <w:rFonts w:ascii="Times New Roman" w:hAnsi="Times New Roman"/>
          <w:sz w:val="24"/>
        </w:rPr>
        <w:t xml:space="preserve"> Výrobci a dovozci notebooků s výjimkou počítačů typu tablet, počítačů typu slate a mobilních počítačů typu tenký klient zajistí: </w:t>
      </w:r>
      <w:r>
        <w:rPr>
          <w:rFonts w:ascii="Times New Roman" w:hAnsi="Times New Roman"/>
          <w:sz w:val="24"/>
        </w:rPr>
        <w:br/>
        <w:t xml:space="preserve">„1. Ode dne uvedení prvního kusu modelu na vnitrostátní trh dostupnost těchto náhradních dílů tohoto modelu: </w:t>
      </w:r>
      <w:r>
        <w:rPr>
          <w:rFonts w:ascii="Times New Roman" w:hAnsi="Times New Roman"/>
          <w:sz w:val="24"/>
        </w:rPr>
        <w:br/>
        <w:t xml:space="preserve">„a) velkokapacitní paměťová komponenta (HDD – SSD); </w:t>
      </w:r>
      <w:r>
        <w:rPr>
          <w:rFonts w:ascii="Times New Roman" w:hAnsi="Times New Roman"/>
          <w:sz w:val="24"/>
        </w:rPr>
        <w:br/>
        <w:t xml:space="preserve">„b) zobrazovací zařízení; </w:t>
      </w:r>
      <w:r>
        <w:rPr>
          <w:rFonts w:ascii="Times New Roman" w:hAnsi="Times New Roman"/>
          <w:sz w:val="24"/>
        </w:rPr>
        <w:br/>
        <w:t xml:space="preserve">„c) baterie; </w:t>
      </w:r>
      <w:r>
        <w:rPr>
          <w:rFonts w:ascii="Times New Roman" w:hAnsi="Times New Roman"/>
          <w:sz w:val="24"/>
        </w:rPr>
        <w:br/>
        <w:t xml:space="preserve">„d) napájecí konektory; </w:t>
      </w:r>
      <w:r>
        <w:rPr>
          <w:rFonts w:ascii="Times New Roman" w:hAnsi="Times New Roman"/>
          <w:sz w:val="24"/>
        </w:rPr>
        <w:br/>
        <w:t xml:space="preserve">„e) nabíječky; </w:t>
      </w:r>
      <w:r>
        <w:rPr>
          <w:rFonts w:ascii="Times New Roman" w:hAnsi="Times New Roman"/>
          <w:sz w:val="24"/>
        </w:rPr>
        <w:br/>
        <w:t xml:space="preserve">„2. Nejpozději dva roky ode dne uvedení prvního kusu modelu na vnitrostátní trh dostupnost těchto náhradních dílů tohoto modelu: </w:t>
      </w:r>
      <w:r>
        <w:rPr>
          <w:rFonts w:ascii="Times New Roman" w:hAnsi="Times New Roman"/>
          <w:sz w:val="24"/>
        </w:rPr>
        <w:br/>
        <w:t xml:space="preserve">„a) základní desky; </w:t>
      </w:r>
      <w:r>
        <w:rPr>
          <w:rFonts w:ascii="Times New Roman" w:hAnsi="Times New Roman"/>
          <w:sz w:val="24"/>
        </w:rPr>
        <w:br/>
        <w:t xml:space="preserve">„b) paměti RAM; </w:t>
      </w:r>
      <w:r>
        <w:rPr>
          <w:rFonts w:ascii="Times New Roman" w:hAnsi="Times New Roman"/>
          <w:sz w:val="24"/>
        </w:rPr>
        <w:br/>
        <w:t xml:space="preserve">„c) ventilátory; </w:t>
      </w:r>
      <w:r>
        <w:rPr>
          <w:rFonts w:ascii="Times New Roman" w:hAnsi="Times New Roman"/>
          <w:sz w:val="24"/>
        </w:rPr>
        <w:br/>
        <w:t xml:space="preserve">„d) chladiče; </w:t>
      </w:r>
      <w:r>
        <w:rPr>
          <w:rFonts w:ascii="Times New Roman" w:hAnsi="Times New Roman"/>
          <w:sz w:val="24"/>
        </w:rPr>
        <w:br/>
        <w:t xml:space="preserve">„e) klávesnice; </w:t>
      </w:r>
      <w:r>
        <w:rPr>
          <w:rFonts w:ascii="Times New Roman" w:hAnsi="Times New Roman"/>
          <w:sz w:val="24"/>
        </w:rPr>
        <w:br/>
        <w:t xml:space="preserve">„f) porty, konektory. </w:t>
      </w:r>
      <w:r>
        <w:rPr>
          <w:rFonts w:ascii="Times New Roman" w:hAnsi="Times New Roman"/>
          <w:sz w:val="24"/>
        </w:rPr>
        <w:br/>
        <w:t xml:space="preserve">„Také zajistí, aby náhradní díly uvedené v bodech 1 a 2 byly k dispozici po dobu nejméně pěti let ode dne uvedení posledního kusu daného modelu na vnitrostátní trh. </w:t>
      </w:r>
    </w:p>
    <w:p w14:paraId="409D0B29" w14:textId="7EE30C5A"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„Články R. 111-4-3 </w:t>
      </w:r>
      <w:r w:rsidR="00221059">
        <w:rPr>
          <w:rFonts w:ascii="Times New Roman" w:hAnsi="Times New Roman"/>
          <w:sz w:val="24"/>
        </w:rPr>
        <w:t>-</w:t>
      </w:r>
      <w:r>
        <w:rPr>
          <w:rFonts w:ascii="Times New Roman" w:hAnsi="Times New Roman"/>
          <w:sz w:val="24"/>
        </w:rPr>
        <w:t xml:space="preserve"> Výrobci a dovozci chytrých telefonů zajistí: </w:t>
      </w:r>
      <w:r>
        <w:rPr>
          <w:rFonts w:ascii="Times New Roman" w:hAnsi="Times New Roman"/>
          <w:sz w:val="24"/>
        </w:rPr>
        <w:br/>
        <w:t xml:space="preserve">„1. Ode dne uvedení prvního kusu modelu na vnitrostátní trh dostupnost těchto náhradních dílů tohoto modelu: </w:t>
      </w:r>
      <w:r>
        <w:rPr>
          <w:rFonts w:ascii="Times New Roman" w:hAnsi="Times New Roman"/>
          <w:sz w:val="24"/>
        </w:rPr>
        <w:br/>
        <w:t xml:space="preserve">„a) zobrazovací jednotky; </w:t>
      </w:r>
      <w:r>
        <w:rPr>
          <w:rFonts w:ascii="Times New Roman" w:hAnsi="Times New Roman"/>
          <w:sz w:val="24"/>
        </w:rPr>
        <w:br/>
        <w:t xml:space="preserve">„b) baterie; </w:t>
      </w:r>
      <w:r>
        <w:rPr>
          <w:rFonts w:ascii="Times New Roman" w:hAnsi="Times New Roman"/>
          <w:sz w:val="24"/>
        </w:rPr>
        <w:br/>
        <w:t xml:space="preserve">„c) přední fotoaparáty; </w:t>
      </w:r>
      <w:r>
        <w:rPr>
          <w:rFonts w:ascii="Times New Roman" w:hAnsi="Times New Roman"/>
          <w:sz w:val="24"/>
        </w:rPr>
        <w:br/>
        <w:t xml:space="preserve">„d) zadní fotoaparáty; </w:t>
      </w:r>
      <w:r>
        <w:rPr>
          <w:rFonts w:ascii="Times New Roman" w:hAnsi="Times New Roman"/>
          <w:sz w:val="24"/>
        </w:rPr>
        <w:br/>
        <w:t xml:space="preserve">„e) nabíječky; </w:t>
      </w:r>
      <w:r>
        <w:rPr>
          <w:rFonts w:ascii="Times New Roman" w:hAnsi="Times New Roman"/>
          <w:sz w:val="24"/>
        </w:rPr>
        <w:br/>
      </w:r>
      <w:r>
        <w:rPr>
          <w:rFonts w:ascii="Times New Roman" w:hAnsi="Times New Roman"/>
          <w:sz w:val="24"/>
        </w:rPr>
        <w:lastRenderedPageBreak/>
        <w:t xml:space="preserve">„2. Nejpozději dva roky ode dne uvedení prvního kusu modelu na vnitrostátní trh dostupnost těchto náhradních dílů tohoto modelu: </w:t>
      </w:r>
      <w:r>
        <w:rPr>
          <w:rFonts w:ascii="Times New Roman" w:hAnsi="Times New Roman"/>
          <w:sz w:val="24"/>
        </w:rPr>
        <w:br/>
        <w:t xml:space="preserve">„a) konektory nabíječky; </w:t>
      </w:r>
      <w:r>
        <w:rPr>
          <w:rFonts w:ascii="Times New Roman" w:hAnsi="Times New Roman"/>
          <w:sz w:val="24"/>
        </w:rPr>
        <w:br/>
        <w:t xml:space="preserve">„b) konektory; </w:t>
      </w:r>
      <w:r>
        <w:rPr>
          <w:rFonts w:ascii="Times New Roman" w:hAnsi="Times New Roman"/>
          <w:sz w:val="24"/>
        </w:rPr>
        <w:br/>
        <w:t xml:space="preserve">„c) základní desky; </w:t>
      </w:r>
      <w:r>
        <w:rPr>
          <w:rFonts w:ascii="Times New Roman" w:hAnsi="Times New Roman"/>
          <w:sz w:val="24"/>
        </w:rPr>
        <w:br/>
        <w:t xml:space="preserve">„d) tlačítka; </w:t>
      </w:r>
      <w:r>
        <w:rPr>
          <w:rFonts w:ascii="Times New Roman" w:hAnsi="Times New Roman"/>
          <w:sz w:val="24"/>
        </w:rPr>
        <w:br/>
        <w:t xml:space="preserve">„e) mikrofony; </w:t>
      </w:r>
      <w:r>
        <w:rPr>
          <w:rFonts w:ascii="Times New Roman" w:hAnsi="Times New Roman"/>
          <w:sz w:val="24"/>
        </w:rPr>
        <w:br/>
        <w:t xml:space="preserve">„f) reproduktory. </w:t>
      </w:r>
      <w:r>
        <w:rPr>
          <w:rFonts w:ascii="Times New Roman" w:hAnsi="Times New Roman"/>
          <w:sz w:val="24"/>
        </w:rPr>
        <w:br/>
        <w:t>„Také zajistí, aby náhradní díly uvedené v bodech 1 a 2 byly k dispozici po dobu nejméně pěti let ode dne uvedení posledního kusu daného modelu na vnitrostátní trh.’</w:t>
      </w:r>
    </w:p>
    <w:p w14:paraId="63C20334" w14:textId="77777777" w:rsidR="009811D9" w:rsidRPr="009811D9" w:rsidRDefault="009811D9" w:rsidP="009811D9">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Článek 2</w:t>
      </w:r>
    </w:p>
    <w:p w14:paraId="2501BD88" w14:textId="77777777" w:rsidR="009811D9" w:rsidRPr="009811D9" w:rsidRDefault="009811D9" w:rsidP="009811D9">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Prováděním tohoto nařízení, které bude vyhlášeno v Úředním věstníku Francouzské republiky a nabývá účinnosti okamžitě, odpovídá ministr hospodářství, financí a oživení.</w:t>
      </w:r>
    </w:p>
    <w:p w14:paraId="4ED0C380"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Dne 31. prosince 2021.</w:t>
      </w:r>
    </w:p>
    <w:p w14:paraId="39E8EF13" w14:textId="77777777"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Jean Castex</w:t>
      </w:r>
      <w:r>
        <w:rPr>
          <w:rFonts w:ascii="Times New Roman" w:hAnsi="Times New Roman"/>
          <w:sz w:val="24"/>
        </w:rPr>
        <w:br/>
        <w:t>Za ministerského předsedu:</w:t>
      </w:r>
    </w:p>
    <w:p w14:paraId="3828831F" w14:textId="3DB7C91E" w:rsidR="009811D9" w:rsidRPr="009811D9" w:rsidRDefault="009811D9" w:rsidP="009811D9">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Ministr hospodářství, financí a</w:t>
      </w:r>
      <w:r w:rsidR="00AC0CFA">
        <w:rPr>
          <w:rFonts w:ascii="Times New Roman" w:hAnsi="Times New Roman"/>
          <w:sz w:val="24"/>
        </w:rPr>
        <w:t xml:space="preserve"> </w:t>
      </w:r>
      <w:r>
        <w:rPr>
          <w:rFonts w:ascii="Times New Roman" w:hAnsi="Times New Roman"/>
          <w:sz w:val="24"/>
        </w:rPr>
        <w:t>oživení</w:t>
      </w:r>
      <w:r>
        <w:rPr>
          <w:rFonts w:ascii="Times New Roman" w:hAnsi="Times New Roman"/>
          <w:sz w:val="24"/>
        </w:rPr>
        <w:br/>
        <w:t xml:space="preserve">Bruno </w:t>
      </w:r>
      <w:r w:rsidR="00221059">
        <w:rPr>
          <w:rFonts w:ascii="Times New Roman" w:hAnsi="Times New Roman"/>
          <w:sz w:val="24"/>
        </w:rPr>
        <w:t>Le Maire</w:t>
      </w:r>
    </w:p>
    <w:p w14:paraId="053B003A" w14:textId="77777777" w:rsidR="00AB5D0A" w:rsidRDefault="00AB5D0A"/>
    <w:sectPr w:rsidR="00AB5D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02DCD" w14:textId="77777777" w:rsidR="001D313E" w:rsidRDefault="001D313E" w:rsidP="009309DA">
      <w:pPr>
        <w:spacing w:after="0" w:line="240" w:lineRule="auto"/>
      </w:pPr>
      <w:r>
        <w:separator/>
      </w:r>
    </w:p>
  </w:endnote>
  <w:endnote w:type="continuationSeparator" w:id="0">
    <w:p w14:paraId="2371956C" w14:textId="77777777" w:rsidR="001D313E" w:rsidRDefault="001D313E" w:rsidP="00930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7D8A0" w14:textId="77777777" w:rsidR="001D313E" w:rsidRDefault="001D313E" w:rsidP="009309DA">
      <w:pPr>
        <w:spacing w:after="0" w:line="240" w:lineRule="auto"/>
      </w:pPr>
      <w:r>
        <w:separator/>
      </w:r>
    </w:p>
  </w:footnote>
  <w:footnote w:type="continuationSeparator" w:id="0">
    <w:p w14:paraId="64CE156F" w14:textId="77777777" w:rsidR="001D313E" w:rsidRDefault="001D313E" w:rsidP="009309D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D9"/>
    <w:rsid w:val="001D313E"/>
    <w:rsid w:val="00221059"/>
    <w:rsid w:val="003E4C59"/>
    <w:rsid w:val="009309DA"/>
    <w:rsid w:val="009811D9"/>
    <w:rsid w:val="009A05AD"/>
    <w:rsid w:val="00AB5D0A"/>
    <w:rsid w:val="00AC0CFA"/>
    <w:rsid w:val="00BE6D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F5137"/>
  <w15:chartTrackingRefBased/>
  <w15:docId w15:val="{4EFA3766-1A45-4A3F-AA36-24CE8901F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09DA"/>
    <w:pPr>
      <w:tabs>
        <w:tab w:val="center" w:pos="4536"/>
        <w:tab w:val="right" w:pos="9072"/>
      </w:tabs>
      <w:spacing w:after="0" w:line="240" w:lineRule="auto"/>
    </w:pPr>
  </w:style>
  <w:style w:type="character" w:customStyle="1" w:styleId="HeaderChar">
    <w:name w:val="Header Char"/>
    <w:basedOn w:val="DefaultParagraphFont"/>
    <w:link w:val="Header"/>
    <w:uiPriority w:val="99"/>
    <w:rsid w:val="009309DA"/>
  </w:style>
  <w:style w:type="paragraph" w:styleId="Footer">
    <w:name w:val="footer"/>
    <w:basedOn w:val="Normal"/>
    <w:link w:val="FooterChar"/>
    <w:uiPriority w:val="99"/>
    <w:unhideWhenUsed/>
    <w:rsid w:val="009309DA"/>
    <w:pPr>
      <w:tabs>
        <w:tab w:val="center" w:pos="4536"/>
        <w:tab w:val="right" w:pos="9072"/>
      </w:tabs>
      <w:spacing w:after="0" w:line="240" w:lineRule="auto"/>
    </w:pPr>
  </w:style>
  <w:style w:type="character" w:customStyle="1" w:styleId="FooterChar">
    <w:name w:val="Footer Char"/>
    <w:basedOn w:val="DefaultParagraphFont"/>
    <w:link w:val="Footer"/>
    <w:uiPriority w:val="99"/>
    <w:rsid w:val="009309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6919352">
      <w:bodyDiv w:val="1"/>
      <w:marLeft w:val="0"/>
      <w:marRight w:val="0"/>
      <w:marTop w:val="0"/>
      <w:marBottom w:val="0"/>
      <w:divBdr>
        <w:top w:val="none" w:sz="0" w:space="0" w:color="auto"/>
        <w:left w:val="none" w:sz="0" w:space="0" w:color="auto"/>
        <w:bottom w:val="none" w:sz="0" w:space="0" w:color="auto"/>
        <w:right w:val="none" w:sz="0" w:space="0" w:color="auto"/>
      </w:divBdr>
      <w:divsChild>
        <w:div w:id="128859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4852</Characters>
  <Application>Microsoft Office Word</Application>
  <DocSecurity>0</DocSecurity>
  <Lines>118</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Antonia Čarija</cp:lastModifiedBy>
  <cp:revision>3</cp:revision>
  <dcterms:created xsi:type="dcterms:W3CDTF">2022-03-07T09:11:00Z</dcterms:created>
  <dcterms:modified xsi:type="dcterms:W3CDTF">2022-03-07T10:09:00Z</dcterms:modified>
</cp:coreProperties>
</file>