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8FF7" w14:textId="77777777" w:rsidR="009811D9" w:rsidRPr="009811D9" w:rsidRDefault="009811D9" w:rsidP="009811D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Rozporządzenie nr 2021-1943 z dnia 31 grudnia 2021 roku w sprawie okresu dostępności części zamiennych do wielofunkcyjnych telefonów komórkowych i laptopów</w:t>
      </w:r>
    </w:p>
    <w:p w14:paraId="192BF00B" w14:textId="77777777" w:rsidR="009811D9" w:rsidRPr="009811D9" w:rsidRDefault="009811D9" w:rsidP="009811D9">
      <w:pPr>
        <w:spacing w:after="0" w:line="240" w:lineRule="auto"/>
        <w:rPr>
          <w:rFonts w:ascii="Times New Roman" w:eastAsia="Times New Roman" w:hAnsi="Times New Roman" w:cs="Times New Roman"/>
          <w:sz w:val="24"/>
          <w:szCs w:val="24"/>
        </w:rPr>
      </w:pPr>
      <w:r>
        <w:rPr>
          <w:rFonts w:ascii="Times New Roman" w:hAnsi="Times New Roman"/>
          <w:sz w:val="24"/>
        </w:rPr>
        <w:t>NOR: ECOC2105006D</w:t>
      </w:r>
      <w:r>
        <w:rPr>
          <w:rFonts w:ascii="Times New Roman" w:hAnsi="Times New Roman"/>
          <w:sz w:val="24"/>
        </w:rPr>
        <w:br/>
        <w:t>ELI: https://www.legifrance.gouv.fr/eli/decret/2021/12/31/ECOC2105006D/jo/texte</w:t>
      </w:r>
      <w:r>
        <w:rPr>
          <w:rFonts w:ascii="Times New Roman" w:hAnsi="Times New Roman"/>
          <w:sz w:val="24"/>
        </w:rPr>
        <w:br/>
        <w:t>Alias: https://www.legifrance.gouv.fr/eli/decret/2021/12/31/2021-1943/jo/texte</w:t>
      </w:r>
      <w:r>
        <w:rPr>
          <w:rFonts w:ascii="Times New Roman" w:hAnsi="Times New Roman"/>
          <w:sz w:val="24"/>
        </w:rPr>
        <w:br/>
        <w:t>JORF nr 0001 z dnia 1 stycznia 2022 roku</w:t>
      </w:r>
      <w:r>
        <w:rPr>
          <w:rFonts w:ascii="Times New Roman" w:hAnsi="Times New Roman"/>
          <w:sz w:val="24"/>
        </w:rPr>
        <w:br/>
        <w:t>Tekst nr 17</w:t>
      </w:r>
    </w:p>
    <w:p w14:paraId="45A48C65"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Docelowe grupy odbiorców: producenci i importerzy laptopów i smartfonów; </w:t>
      </w:r>
      <w:r>
        <w:rPr>
          <w:rFonts w:ascii="Times New Roman" w:hAnsi="Times New Roman"/>
          <w:sz w:val="24"/>
        </w:rPr>
        <w:br/>
        <w:t xml:space="preserve">Przedmiot: ustanowienie wykazu kategorii urządzeń (laptopy i smartfony) oraz części zamiennych, które mają być udostępniane na rynku przez okres co najmniej pięciu lat od daty wprowadzenia do obrotu ostatniego egzemplarza danego modelu urządzenia; </w:t>
      </w:r>
      <w:r>
        <w:rPr>
          <w:rFonts w:ascii="Times New Roman" w:hAnsi="Times New Roman"/>
          <w:sz w:val="24"/>
        </w:rPr>
        <w:br/>
        <w:t xml:space="preserve">Wejście w życie: 1 stycznia 2022 r; </w:t>
      </w:r>
      <w:r>
        <w:rPr>
          <w:rFonts w:ascii="Times New Roman" w:hAnsi="Times New Roman"/>
          <w:sz w:val="24"/>
        </w:rPr>
        <w:br/>
        <w:t xml:space="preserve">Uwagi: Niniejsze rozporządzenie zostało wydane w celu zastosowania art. L. 111-4 kodeksu konsumenckiego, który nakłada na producentów (wytwórców i importerów) urządzeń gospodarstwa domowego, małych urządzeń komputerowych i telekomunikacyjnych, ekranów i monitorów obowiązek udostępniania części zamiennych przez okres wprowadzenia do obrotu danych modeli produktów, jak również przez dodatkowy minimalny okres od daty wprowadzenia do obrotu ostatniego egzemplarza danego modelu. Czas trwania tego dodatkowego minimalnego okresu nie może być krótszy niż pięć lat. Przepisy dotyczące okresu dostępności części do niektórych urządzeń gospodarstwa domowego, ekranów i monitorów są również określone w rozporządzeniach wykonawczych do dyrektywy Parlamentu Europejskiego i Rady 2009/125/WE z dnia 21 października 2009 r. ustanawiającej ogólne zasady ustalania wymogów dotyczących ekoprojektu dla produktów związanych z energią. </w:t>
      </w:r>
      <w:r>
        <w:rPr>
          <w:rFonts w:ascii="Times New Roman" w:hAnsi="Times New Roman"/>
          <w:sz w:val="24"/>
        </w:rPr>
        <w:br/>
        <w:t xml:space="preserve">Odsyłacz: Z treścią niniejszego rozporządzenia można zapoznać się na stronie internetowej Légifrance (http://www.legifrance.gouv.fr). </w:t>
      </w:r>
    </w:p>
    <w:p w14:paraId="54AAD396"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Premier,</w:t>
      </w:r>
      <w:r>
        <w:rPr>
          <w:rFonts w:ascii="Times New Roman" w:hAnsi="Times New Roman"/>
          <w:sz w:val="24"/>
        </w:rPr>
        <w:br/>
        <w:t>W następstwie sprawozdania Ministra Gospodarki, Finansów i Odbudowy,</w:t>
      </w:r>
      <w:r>
        <w:rPr>
          <w:rFonts w:ascii="Times New Roman" w:hAnsi="Times New Roman"/>
          <w:sz w:val="24"/>
        </w:rPr>
        <w:br/>
        <w:t>uwzględniając dyrektywę Parlamentu Europejskiego i Rady (UE) 2015/1535 z dnia 9 września 2015 r. ustanawiającą procedurę udzielania informacji w dziedzinie przepisów technicznych oraz zasad dotyczących usług społeczeństwa informacyjnego, jak również notyfikację wysłaną do Komisji Europejskiej z dnia 28 czerwca 2021 r.;</w:t>
      </w:r>
      <w:r>
        <w:rPr>
          <w:rFonts w:ascii="Times New Roman" w:hAnsi="Times New Roman"/>
          <w:sz w:val="24"/>
        </w:rPr>
        <w:br/>
        <w:t>uwzględniając kodeks cywilny, w szczególności jego art. 1,</w:t>
      </w:r>
      <w:r>
        <w:rPr>
          <w:rFonts w:ascii="Times New Roman" w:hAnsi="Times New Roman"/>
          <w:sz w:val="24"/>
        </w:rPr>
        <w:br/>
        <w:t>uwzględniając kodeks konsumencki, w szczególności art. L. 111-4, zmieniony art. 19 ustawy nr 2020-105 z dnia 10 lutego 2020 r. w sprawie zwalczania odpadów i gospodarki o obiegu zamkniętym, zmieniony art. 30 ustawy nr 2021-1104 z dnia 22 sierpnia 2021 r. o zwalczaniu zakłóceń klimatu i wzmacnianiu odporności na ich skutki;</w:t>
      </w:r>
      <w:r>
        <w:rPr>
          <w:rFonts w:ascii="Times New Roman" w:hAnsi="Times New Roman"/>
          <w:sz w:val="24"/>
        </w:rPr>
        <w:br/>
        <w:t>uwzględniając ustawę nr 2020-105 o zwalczaniu marnotrawstwa i gospodarce o obiegu zamkniętym, w szczególności jej art. 19 i 130;</w:t>
      </w:r>
      <w:r>
        <w:rPr>
          <w:rFonts w:ascii="Times New Roman" w:hAnsi="Times New Roman"/>
          <w:sz w:val="24"/>
        </w:rPr>
        <w:br/>
        <w:t>po wysłuchaniu Rady Państwa (Sekcja Finansów);</w:t>
      </w:r>
      <w:r>
        <w:rPr>
          <w:rFonts w:ascii="Times New Roman" w:hAnsi="Times New Roman"/>
          <w:sz w:val="24"/>
        </w:rPr>
        <w:br/>
        <w:t>Z uwagi na pilny charakter sprawy,</w:t>
      </w:r>
      <w:r>
        <w:rPr>
          <w:rFonts w:ascii="Times New Roman" w:hAnsi="Times New Roman"/>
          <w:sz w:val="24"/>
        </w:rPr>
        <w:br/>
        <w:t>Niniejszym rozporządza, co następuje:</w:t>
      </w:r>
    </w:p>
    <w:p w14:paraId="3883F39D"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Artykuł 1</w:t>
      </w:r>
    </w:p>
    <w:p w14:paraId="3925AADF"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Po art. D. 111-4 kodeksu konsumenckiego dodaje się trzy artykuły w brzmieniu: </w:t>
      </w:r>
    </w:p>
    <w:p w14:paraId="751908DF"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111-4-1. - Do celów art. L. 111-4 stosuje się następujące definicje: </w:t>
      </w:r>
      <w:r>
        <w:rPr>
          <w:rFonts w:ascii="Times New Roman" w:hAnsi="Times New Roman"/>
          <w:sz w:val="24"/>
        </w:rPr>
        <w:br/>
        <w:t xml:space="preserve">„Laptop” definiuje się jako komputer specjalnie zaprojektowany, aby był przenośny i działał przez długi czas z bezpośrednim podłączeniem do źródła prądu przemiennego lub bez niego. Laptopy wykorzystują zintegrowany ekran o widocznej przekątnej co najmniej 22,86 cm (9 cali) i mogą pracować na zintegrowanej baterii lub innym przenośnym źródle zasilania; </w:t>
      </w:r>
      <w:r>
        <w:rPr>
          <w:rFonts w:ascii="Times New Roman" w:hAnsi="Times New Roman"/>
          <w:sz w:val="24"/>
        </w:rPr>
        <w:br/>
        <w:t xml:space="preserve">„Tablet” oznacza laptop z ekranem dotykowym i klawiaturą fizyczną; </w:t>
      </w:r>
      <w:r>
        <w:rPr>
          <w:rFonts w:ascii="Times New Roman" w:hAnsi="Times New Roman"/>
          <w:sz w:val="24"/>
        </w:rPr>
        <w:br/>
        <w:t xml:space="preserve">„Komputer typu slate” oznacza laptop z wbudowanym wyświetlaczem dotykowym, ale bez dołączonej na stałe klawiatury fizycznej; </w:t>
      </w:r>
      <w:r>
        <w:rPr>
          <w:rFonts w:ascii="Times New Roman" w:hAnsi="Times New Roman"/>
          <w:sz w:val="24"/>
        </w:rPr>
        <w:br/>
        <w:t xml:space="preserve">„Komputer znany jako przenośne urządzenie typu cienki klient” definiuje się jako laptop, którego podstawowe funkcje są zależne od połączenia ze zdalnymi zasobami przetwarzania (serwer komputerowy, zdalna stacja robocza) i który nie posiada zintegrowanych wirujących pamięci masowych; </w:t>
      </w:r>
      <w:r>
        <w:rPr>
          <w:rFonts w:ascii="Times New Roman" w:hAnsi="Times New Roman"/>
          <w:sz w:val="24"/>
        </w:rPr>
        <w:br/>
        <w:t xml:space="preserve">„Wielofunkcyjny telefon komórkowy” oznacza urządzenie elektroniczne służące do komunikacji na duże odległości za pośrednictwem sieci komórkowej stacji bazowych i posiadające cechy podobne do bezprzewodowego laptopa, przeznaczone głównie do pracy na baterii i posiadające dotykowy interfejs. </w:t>
      </w:r>
    </w:p>
    <w:p w14:paraId="5C764760"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111-4-2.-Producenci i importerzy laptopów, z wyjątkiem tabletów, komputerów typu slate i komputerów znanych jako przenośne urządzenie typu cienki klient, zapewniają: </w:t>
      </w:r>
      <w:r>
        <w:rPr>
          <w:rFonts w:ascii="Times New Roman" w:hAnsi="Times New Roman"/>
          <w:sz w:val="24"/>
        </w:rPr>
        <w:br/>
        <w:t xml:space="preserve">„1. Od daty wprowadzenia na rynek krajowy pierwszego egzemplarza modelu, dostępność następujących części zamiennych do tego modelu: </w:t>
      </w:r>
      <w:r>
        <w:rPr>
          <w:rFonts w:ascii="Times New Roman" w:hAnsi="Times New Roman"/>
          <w:sz w:val="24"/>
        </w:rPr>
        <w:br/>
        <w:t xml:space="preserve">„a) Komponent pamięci masowej (HDD - SSD); </w:t>
      </w:r>
      <w:r>
        <w:rPr>
          <w:rFonts w:ascii="Times New Roman" w:hAnsi="Times New Roman"/>
          <w:sz w:val="24"/>
        </w:rPr>
        <w:br/>
        <w:t xml:space="preserve">„b) Urządzenie wyświetlające; </w:t>
      </w:r>
      <w:r>
        <w:rPr>
          <w:rFonts w:ascii="Times New Roman" w:hAnsi="Times New Roman"/>
          <w:sz w:val="24"/>
        </w:rPr>
        <w:br/>
        <w:t xml:space="preserve">„c) Baterie; </w:t>
      </w:r>
      <w:r>
        <w:rPr>
          <w:rFonts w:ascii="Times New Roman" w:hAnsi="Times New Roman"/>
          <w:sz w:val="24"/>
        </w:rPr>
        <w:br/>
        <w:t xml:space="preserve">„d) Złącza zasilające; </w:t>
      </w:r>
      <w:r>
        <w:rPr>
          <w:rFonts w:ascii="Times New Roman" w:hAnsi="Times New Roman"/>
          <w:sz w:val="24"/>
        </w:rPr>
        <w:br/>
        <w:t xml:space="preserve">„e) Ładowarki; </w:t>
      </w:r>
      <w:r>
        <w:rPr>
          <w:rFonts w:ascii="Times New Roman" w:hAnsi="Times New Roman"/>
          <w:sz w:val="24"/>
        </w:rPr>
        <w:br/>
        <w:t xml:space="preserve">„2. Najpóźniej dwa lata po wprowadzeniu do obrotu na rynku krajowym pierwszego egzemplarza modelu, dostępność następujących części zamiennych do tego modelu: </w:t>
      </w:r>
      <w:r>
        <w:rPr>
          <w:rFonts w:ascii="Times New Roman" w:hAnsi="Times New Roman"/>
          <w:sz w:val="24"/>
        </w:rPr>
        <w:br/>
        <w:t xml:space="preserve">„a) Płyty główne; </w:t>
      </w:r>
      <w:r>
        <w:rPr>
          <w:rFonts w:ascii="Times New Roman" w:hAnsi="Times New Roman"/>
          <w:sz w:val="24"/>
        </w:rPr>
        <w:br/>
        <w:t xml:space="preserve">„b) Pamięci o dostępie bezpośrednim; </w:t>
      </w:r>
      <w:r>
        <w:rPr>
          <w:rFonts w:ascii="Times New Roman" w:hAnsi="Times New Roman"/>
          <w:sz w:val="24"/>
        </w:rPr>
        <w:br/>
        <w:t xml:space="preserve">„c) Wentylatory; </w:t>
      </w:r>
      <w:r>
        <w:rPr>
          <w:rFonts w:ascii="Times New Roman" w:hAnsi="Times New Roman"/>
          <w:sz w:val="24"/>
        </w:rPr>
        <w:br/>
        <w:t xml:space="preserve">„d) Rozpraszacze ciepła; </w:t>
      </w:r>
      <w:r>
        <w:rPr>
          <w:rFonts w:ascii="Times New Roman" w:hAnsi="Times New Roman"/>
          <w:sz w:val="24"/>
        </w:rPr>
        <w:br/>
        <w:t xml:space="preserve">„e) Klawiatury; </w:t>
      </w:r>
      <w:r>
        <w:rPr>
          <w:rFonts w:ascii="Times New Roman" w:hAnsi="Times New Roman"/>
          <w:sz w:val="24"/>
        </w:rPr>
        <w:br/>
        <w:t xml:space="preserve">„f) Porty, złącza. </w:t>
      </w:r>
      <w:r>
        <w:rPr>
          <w:rFonts w:ascii="Times New Roman" w:hAnsi="Times New Roman"/>
          <w:sz w:val="24"/>
        </w:rPr>
        <w:br/>
        <w:t xml:space="preserve">„Zapewnią oni również dostępność części zamiennych określonych w pkt. 1 i 2 przez okres co najmniej pięciu lat od daty wprowadzenia na rynek krajowy ostatniego egzemplarza danego modelu. </w:t>
      </w:r>
    </w:p>
    <w:p w14:paraId="409D0B29"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111-4-3.-Producenci i importerzy wielofunkcyjnych telefonów komórkowych zapewnią: </w:t>
      </w:r>
      <w:r>
        <w:rPr>
          <w:rFonts w:ascii="Times New Roman" w:hAnsi="Times New Roman"/>
          <w:sz w:val="24"/>
        </w:rPr>
        <w:br/>
      </w:r>
      <w:r>
        <w:rPr>
          <w:rFonts w:ascii="Times New Roman" w:hAnsi="Times New Roman"/>
          <w:sz w:val="24"/>
        </w:rPr>
        <w:lastRenderedPageBreak/>
        <w:t xml:space="preserve">„1. Od daty wprowadzenia na rynek krajowy pierwszego egzemplarza modelu, dostępność następujących części zamiennych do tego modelu: </w:t>
      </w:r>
      <w:r>
        <w:rPr>
          <w:rFonts w:ascii="Times New Roman" w:hAnsi="Times New Roman"/>
          <w:sz w:val="24"/>
        </w:rPr>
        <w:br/>
        <w:t xml:space="preserve">„a) Wyświetlacze; </w:t>
      </w:r>
      <w:r>
        <w:rPr>
          <w:rFonts w:ascii="Times New Roman" w:hAnsi="Times New Roman"/>
          <w:sz w:val="24"/>
        </w:rPr>
        <w:br/>
        <w:t xml:space="preserve">„b) Baterie; </w:t>
      </w:r>
      <w:r>
        <w:rPr>
          <w:rFonts w:ascii="Times New Roman" w:hAnsi="Times New Roman"/>
          <w:sz w:val="24"/>
        </w:rPr>
        <w:br/>
        <w:t xml:space="preserve">„c) Kamery przednie; </w:t>
      </w:r>
      <w:r>
        <w:rPr>
          <w:rFonts w:ascii="Times New Roman" w:hAnsi="Times New Roman"/>
          <w:sz w:val="24"/>
        </w:rPr>
        <w:br/>
        <w:t xml:space="preserve">„d) Kamery tylne; </w:t>
      </w:r>
      <w:r>
        <w:rPr>
          <w:rFonts w:ascii="Times New Roman" w:hAnsi="Times New Roman"/>
          <w:sz w:val="24"/>
        </w:rPr>
        <w:br/>
        <w:t xml:space="preserve">„e) Ładowarki; </w:t>
      </w:r>
      <w:r>
        <w:rPr>
          <w:rFonts w:ascii="Times New Roman" w:hAnsi="Times New Roman"/>
          <w:sz w:val="24"/>
        </w:rPr>
        <w:br/>
        <w:t xml:space="preserve">„2. Najpóźniej dwa lata po wprowadzeniu do obrotu na rynku krajowym pierwszego egzemplarza modelu, dostępność następujących części zamiennych do tego modelu: </w:t>
      </w:r>
      <w:r>
        <w:rPr>
          <w:rFonts w:ascii="Times New Roman" w:hAnsi="Times New Roman"/>
          <w:sz w:val="24"/>
        </w:rPr>
        <w:br/>
        <w:t xml:space="preserve">„a) Złącza ładowarki; </w:t>
      </w:r>
      <w:r>
        <w:rPr>
          <w:rFonts w:ascii="Times New Roman" w:hAnsi="Times New Roman"/>
          <w:sz w:val="24"/>
        </w:rPr>
        <w:br/>
        <w:t xml:space="preserve">„b) Złącza; </w:t>
      </w:r>
      <w:r>
        <w:rPr>
          <w:rFonts w:ascii="Times New Roman" w:hAnsi="Times New Roman"/>
          <w:sz w:val="24"/>
        </w:rPr>
        <w:br/>
        <w:t xml:space="preserve">„c) Płyty główne; </w:t>
      </w:r>
      <w:r>
        <w:rPr>
          <w:rFonts w:ascii="Times New Roman" w:hAnsi="Times New Roman"/>
          <w:sz w:val="24"/>
        </w:rPr>
        <w:br/>
        <w:t xml:space="preserve">„d) Klawisze; </w:t>
      </w:r>
      <w:r>
        <w:rPr>
          <w:rFonts w:ascii="Times New Roman" w:hAnsi="Times New Roman"/>
          <w:sz w:val="24"/>
        </w:rPr>
        <w:br/>
        <w:t xml:space="preserve">„e) Mikrofony; </w:t>
      </w:r>
      <w:r>
        <w:rPr>
          <w:rFonts w:ascii="Times New Roman" w:hAnsi="Times New Roman"/>
          <w:sz w:val="24"/>
        </w:rPr>
        <w:br/>
        <w:t xml:space="preserve">„f) Głośniki. </w:t>
      </w:r>
      <w:r>
        <w:rPr>
          <w:rFonts w:ascii="Times New Roman" w:hAnsi="Times New Roman"/>
          <w:sz w:val="24"/>
        </w:rPr>
        <w:br/>
        <w:t>„Zapewniają oni również dostępność części zamiennych, o których mowa w pkt. 1 i 2 przez okres co najmniej pięciu lat od daty wprowadzenia na rynek krajowy ostatniego egzemplarza danego modelu.”.</w:t>
      </w:r>
    </w:p>
    <w:p w14:paraId="63C20334"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2</w:t>
      </w:r>
    </w:p>
    <w:p w14:paraId="2501BD88"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Minister Gospodarki, Finansów i Odbudowy jest odpowiedzialny za stosowanie niniejszego rozporządzenia, które zostanie opublikowane w Dzienniku Urzędowym Republiki Francuskiej i wejdzie w życie ze skutkiem natychmiastowym.</w:t>
      </w:r>
    </w:p>
    <w:p w14:paraId="4ED0C380"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Sporządzono w dniu 31 grudnia 2021 r.</w:t>
      </w:r>
    </w:p>
    <w:p w14:paraId="39E8EF13"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Premier:</w:t>
      </w:r>
    </w:p>
    <w:p w14:paraId="3828831F" w14:textId="32D7E0A1"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Gospodarki, Finansów i</w:t>
      </w:r>
      <w:r w:rsidR="00303083">
        <w:rPr>
          <w:rFonts w:ascii="Times New Roman" w:hAnsi="Times New Roman"/>
          <w:sz w:val="24"/>
        </w:rPr>
        <w:t xml:space="preserve"> </w:t>
      </w:r>
      <w:r>
        <w:rPr>
          <w:rFonts w:ascii="Times New Roman" w:hAnsi="Times New Roman"/>
          <w:sz w:val="24"/>
        </w:rPr>
        <w:t>Odbudowy</w:t>
      </w:r>
      <w:r>
        <w:rPr>
          <w:rFonts w:ascii="Times New Roman" w:hAnsi="Times New Roman"/>
          <w:sz w:val="24"/>
        </w:rPr>
        <w:br/>
      </w:r>
      <w:r w:rsidR="00303083" w:rsidRPr="009811D9">
        <w:rPr>
          <w:rFonts w:ascii="Times New Roman" w:eastAsia="Times New Roman" w:hAnsi="Times New Roman" w:cs="Times New Roman"/>
          <w:sz w:val="24"/>
          <w:szCs w:val="24"/>
          <w:lang w:eastAsia="fr-FR"/>
        </w:rPr>
        <w:t>Bruno Le Maire</w:t>
      </w:r>
    </w:p>
    <w:p w14:paraId="053B003A" w14:textId="77777777" w:rsidR="00AB5D0A" w:rsidRDefault="00AB5D0A"/>
    <w:sectPr w:rsidR="00AB5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D9"/>
    <w:rsid w:val="00303083"/>
    <w:rsid w:val="003E4C59"/>
    <w:rsid w:val="009811D9"/>
    <w:rsid w:val="00AB5D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5137"/>
  <w15:chartTrackingRefBased/>
  <w15:docId w15:val="{4EFA3766-1A45-4A3F-AA36-24CE8901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19352">
      <w:bodyDiv w:val="1"/>
      <w:marLeft w:val="0"/>
      <w:marRight w:val="0"/>
      <w:marTop w:val="0"/>
      <w:marBottom w:val="0"/>
      <w:divBdr>
        <w:top w:val="none" w:sz="0" w:space="0" w:color="auto"/>
        <w:left w:val="none" w:sz="0" w:space="0" w:color="auto"/>
        <w:bottom w:val="none" w:sz="0" w:space="0" w:color="auto"/>
        <w:right w:val="none" w:sz="0" w:space="0" w:color="auto"/>
      </w:divBdr>
      <w:divsChild>
        <w:div w:id="12885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922</Words>
  <Characters>5259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3</cp:revision>
  <dcterms:created xsi:type="dcterms:W3CDTF">2022-01-03T15:20:00Z</dcterms:created>
  <dcterms:modified xsi:type="dcterms:W3CDTF">2022-04-07T08:38:00Z</dcterms:modified>
</cp:coreProperties>
</file>