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0A093" w14:textId="77777777" w:rsidR="00F3442A" w:rsidRPr="00006360" w:rsidRDefault="00E8180F" w:rsidP="0074486B">
      <w:r>
        <w:t>Preambule</w:t>
      </w:r>
    </w:p>
    <w:p w14:paraId="6C4CF8C6" w14:textId="77777777" w:rsidR="00F3442A" w:rsidRPr="00006360" w:rsidRDefault="00F3442A" w:rsidP="0074486B"/>
    <w:p w14:paraId="2F406B97" w14:textId="59272201" w:rsidR="00EA20C6" w:rsidRPr="00006360" w:rsidRDefault="00E8180F" w:rsidP="0074486B">
      <w:r>
        <w:t>Plasty usnadňují naše životy několika způsoby a jsou často lehčí a levnější než jiné alternativní materiály, pouze s přihlédnutím k jejich výrobním nákladům. Tato výhoda ve spojení s jinou dynamikou trhu však vede k nadměrnému používání plastů a k podpoře kultury disponibility.</w:t>
      </w:r>
    </w:p>
    <w:p w14:paraId="2E628EFC" w14:textId="76705B00" w:rsidR="00F3442A" w:rsidRPr="00006360" w:rsidRDefault="00EA20C6" w:rsidP="0074486B">
      <w:r>
        <w:t>Pokud nejsou zlikvidovány nebo recyklovány správně, mohou plasty skončit v prostředí, kde zůstávají po staletí, degradovat na menší kusy. Když tyto malé kousky měří méně než 5 mm, nazývají se „</w:t>
      </w:r>
      <w:r>
        <w:rPr>
          <w:rStyle w:val="Strong"/>
          <w:b w:val="0"/>
        </w:rPr>
        <w:t>mikroplasty</w:t>
      </w:r>
      <w:r>
        <w:t>“ a stávají se důvodem k obavám z důvodu jejich dlouhé životnosti a potenciálu hromadění v životním prostředí.</w:t>
      </w:r>
    </w:p>
    <w:p w14:paraId="1EB99D83" w14:textId="60DBC92C" w:rsidR="00F3442A" w:rsidRPr="00006360" w:rsidRDefault="00E8180F" w:rsidP="0074486B">
      <w:r>
        <w:t xml:space="preserve">Mikroplasty jsou pevné částice složené ze směsí polymerů a funkčních přísad. Mikroplasty se mohou </w:t>
      </w:r>
      <w:r>
        <w:rPr>
          <w:rStyle w:val="Strong"/>
          <w:b w:val="0"/>
        </w:rPr>
        <w:t>tvořit neúmyslně,</w:t>
      </w:r>
      <w:r>
        <w:t xml:space="preserve"> například kvůli oxidaci polymerních materiálů používaných v plastových předmětech, pneumatikách nebo syntetických textiliích. Jsou však také </w:t>
      </w:r>
      <w:r>
        <w:rPr>
          <w:rStyle w:val="Strong"/>
          <w:b w:val="0"/>
        </w:rPr>
        <w:t>záměrně vyráběny</w:t>
      </w:r>
      <w:r>
        <w:t xml:space="preserve"> a </w:t>
      </w:r>
      <w:r>
        <w:rPr>
          <w:rStyle w:val="Strong"/>
          <w:b w:val="0"/>
        </w:rPr>
        <w:t>přidávány</w:t>
      </w:r>
      <w:r>
        <w:t xml:space="preserve"> do výrobků pro specifické účely, jako jsou například exfoliační mikročástice v obličejových nebo tělesných exfoliačních prostředcích.</w:t>
      </w:r>
    </w:p>
    <w:p w14:paraId="2E262D6B" w14:textId="17837B55" w:rsidR="00F3442A" w:rsidRPr="008F4FB8" w:rsidRDefault="00E8180F" w:rsidP="008F4FB8">
      <w:r>
        <w:t>Několik členských států EU, které jsou motivovány zájmy životního prostředí a zdraví, již přijalo nebo navrhlo vnitrostátní zákaz úmyslného používání mikroplastů ve spotřebitelských výrobcích. Zákazy se týkají zejména používání kosmetických mikročástic, které odtékají s vodou po použití a v nichž se používají jako brusné a lešticí prostředky.</w:t>
      </w:r>
    </w:p>
    <w:p w14:paraId="6449E11D" w14:textId="6BEC7738" w:rsidR="00F3442A" w:rsidRPr="00006360" w:rsidRDefault="00EA20C6" w:rsidP="0074486B">
      <w:r>
        <w:t>Aniž jsou dotčeny vnitrostátní právní předpisy platné v několika členských státech, vypracovává se na úrovni Evropské unie návrh omezení mikroplastů v rámci nařízení Evropského parlamentu a Rady (ES) č. 1907/2006 ze dne 18. prosince 2006 o registraci, hodnocení, povolování a omezování chemických látek (nařízení o REACH) se širším rozsahem, než na který se vztahuje tento akt.</w:t>
      </w:r>
    </w:p>
    <w:p w14:paraId="61239819" w14:textId="3AEFBF48" w:rsidR="00814203" w:rsidRPr="008F4FB8" w:rsidRDefault="00BF7812" w:rsidP="0074486B">
      <w:pPr>
        <w:rPr>
          <w:iCs/>
        </w:rPr>
      </w:pPr>
      <w:r>
        <w:t xml:space="preserve">V roce 2017 požádala Evropská komise Evropskou agenturu pro chemické látky (ECHA), aby posoudila vědecké důkazy pro přijetí regulačních opatření na úrovni EU týkajících se </w:t>
      </w:r>
      <w:r>
        <w:lastRenderedPageBreak/>
        <w:t xml:space="preserve">mikroplastů, jež jsou záměrně přidávány do produktů, a v lednu 2019 navrhla ECHA rozsáhlý zákaz mikroplastů ve výrobcích uváděných na trh v Evropské unii s cílem zabránit jejich uvolňování do životního prostředí nebo omezit jeho uvolňování. </w:t>
      </w:r>
    </w:p>
    <w:p w14:paraId="22ED419D" w14:textId="69A685EB" w:rsidR="00814203" w:rsidRPr="008F4FB8" w:rsidRDefault="00814203" w:rsidP="0074486B">
      <w:r>
        <w:t>Posouzení provedené agenturou ECHA dospělo k závěru, že pro některá použití mikroplastů již existují na trhu alternativy, zejména pro mikročástice s exfoliační přípravky a čisticími funkcemi používanými v kosmetice, které se oplachují vodou.</w:t>
      </w:r>
    </w:p>
    <w:p w14:paraId="25269A95" w14:textId="38FF5B8E" w:rsidR="00F3442A" w:rsidRPr="008F4FB8" w:rsidRDefault="00E8180F" w:rsidP="0074486B">
      <w:pPr>
        <w:rPr>
          <w:iCs/>
        </w:rPr>
      </w:pPr>
      <w:r>
        <w:t>Evropská komise připraví svůj legislativní návrh na změnu seznamu látek, na které se vztahuje zákaz, v souladu s přílohou XVII nařízení o REACH, a to na základě návrhu ECHA a stanoviska příslušných vědeckých výborů.</w:t>
      </w:r>
    </w:p>
    <w:p w14:paraId="24AED4FB" w14:textId="77CE7ED8" w:rsidR="00927820" w:rsidRPr="008F4FB8" w:rsidRDefault="00927820" w:rsidP="0074486B">
      <w:r>
        <w:t>Článek 321 zákona č. 75-B/2020 ze dne 31. prosince, kterým se schvaluje státní rozpočet na rok 2021, ukládá vládě povinnost zakázat uvádění na trh kosmetiky, osobních hygienických prostředků, detergentů a čisticích prostředků obsahujících plastové mikročástice sestávající ze syntetických částic o velikosti menší než 5 mm, což je povinnost, kterou tento zákon splňuje. Pokud jde o uvedené kategorie výrobků, pojmy „kosmetické výrobky“ a „detergent“ obsažené v předpisech Evropské unie zahrnují ty, které se běžně označují jako osobní hygienické prostředky a čisticí prostředky, a z důvodů stejnorodosti se vztahují výhradně na prvně jmenované.</w:t>
      </w:r>
    </w:p>
    <w:p w14:paraId="3B669B8C" w14:textId="77777777" w:rsidR="00586237" w:rsidRPr="008F4FB8" w:rsidRDefault="00586237" w:rsidP="008F4FB8">
      <w:r>
        <w:t>Státy musí podporovat udržitelné vzorce výroby, spotřeby a ochranu životního prostředí, veřejného zdraví a pracovníků.</w:t>
      </w:r>
    </w:p>
    <w:p w14:paraId="3E50E9BB" w14:textId="346C7BD6" w:rsidR="00F3442A" w:rsidRPr="008F4FB8" w:rsidRDefault="00E8180F" w:rsidP="008F4FB8">
      <w:r>
        <w:t>Toto nařízení s mocí zákona bylo předmětem veřejné konzultace mezi xxx a xxx a předloženo informačnímu postupu v oblasti technických předpisů a pravidel pro služby informační společnosti podle směrnice Evropského parlamentu a Rady (EU) 2015/1535 ze dne 9. září 2015.</w:t>
      </w:r>
    </w:p>
    <w:p w14:paraId="4123805A" w14:textId="67EDAA1A" w:rsidR="00F3442A" w:rsidRPr="008F4FB8" w:rsidRDefault="00E8180F" w:rsidP="0074486B">
      <w:pPr>
        <w:pStyle w:val="NormalWeb"/>
        <w:rPr>
          <w:rFonts w:ascii="Garamond" w:hAnsi="Garamond"/>
        </w:rPr>
      </w:pPr>
      <w:r>
        <w:rPr>
          <w:rFonts w:ascii="Garamond" w:hAnsi="Garamond"/>
        </w:rPr>
        <w:t>Byly vyslyšeny správní orgány autonomních oblastí.</w:t>
      </w:r>
    </w:p>
    <w:p w14:paraId="2C120D7B" w14:textId="77777777" w:rsidR="008E7F87" w:rsidRPr="00006360" w:rsidRDefault="008E7F87" w:rsidP="0074486B">
      <w:r>
        <w:t>V souladu s čl. 198 odst. 1 písm. a) Ústavy nařizuje vláda:</w:t>
      </w:r>
    </w:p>
    <w:p w14:paraId="15C1DCD5" w14:textId="5522C137" w:rsidR="00F3442A" w:rsidRPr="00006360" w:rsidRDefault="00F44F9F" w:rsidP="00055843">
      <w:pPr>
        <w:pStyle w:val="Heading1"/>
      </w:pPr>
      <w:r>
        <w:lastRenderedPageBreak/>
        <w:t xml:space="preserve"> </w:t>
      </w:r>
    </w:p>
    <w:p w14:paraId="79244DF6" w14:textId="00CFDC45" w:rsidR="00055843" w:rsidRDefault="00055843" w:rsidP="00055843">
      <w:pPr>
        <w:jc w:val="center"/>
      </w:pPr>
      <w:r w:rsidRPr="00055843">
        <w:rPr>
          <w:b/>
        </w:rPr>
        <w:t>Předmět</w:t>
      </w:r>
    </w:p>
    <w:p w14:paraId="49419678" w14:textId="2520DF54" w:rsidR="00F3442A" w:rsidRPr="0074486B" w:rsidRDefault="00793018" w:rsidP="0074486B">
      <w:r>
        <w:t>Toto nařízení se vztahuje na kosmetické prostředky a detergenty obsahující plastové mikročástice.</w:t>
      </w:r>
    </w:p>
    <w:p w14:paraId="2EA5994F" w14:textId="77777777" w:rsidR="00F3442A" w:rsidRPr="00006360" w:rsidRDefault="00F3442A" w:rsidP="0074486B"/>
    <w:p w14:paraId="22C6D840" w14:textId="79D09107" w:rsidR="00F3442A" w:rsidRPr="00006360" w:rsidRDefault="00F44F9F" w:rsidP="0074486B">
      <w:pPr>
        <w:pStyle w:val="Heading1"/>
      </w:pPr>
      <w:r>
        <w:t xml:space="preserve"> </w:t>
      </w:r>
      <w:r>
        <w:br/>
        <w:t>Vymezení pojmů</w:t>
      </w:r>
    </w:p>
    <w:p w14:paraId="4162DF93" w14:textId="3FB417B2" w:rsidR="00F3442A" w:rsidRPr="0074486B" w:rsidRDefault="00E8180F" w:rsidP="0074486B">
      <w:r>
        <w:t>Pro účely tohoto nařízení s mocí zákona se použijí tyto definice:</w:t>
      </w:r>
    </w:p>
    <w:p w14:paraId="0927D975" w14:textId="167548C8" w:rsidR="00F3442A" w:rsidRPr="00006360" w:rsidRDefault="00E8180F" w:rsidP="0074486B">
      <w:pPr>
        <w:pStyle w:val="ListParagraph"/>
        <w:numPr>
          <w:ilvl w:val="0"/>
          <w:numId w:val="3"/>
        </w:numPr>
        <w:ind w:left="284" w:firstLine="425"/>
      </w:pPr>
      <w:r>
        <w:rPr>
          <w:highlight w:val="white"/>
        </w:rPr>
        <w:t xml:space="preserve">„uvedením na trh“ se rozumí první dodání produktu na trh na vnitrostátní území v rámci profesní činnosti; </w:t>
      </w:r>
    </w:p>
    <w:p w14:paraId="58CE02D1" w14:textId="2C75E49E" w:rsidR="00F3442A" w:rsidRPr="0074486B" w:rsidRDefault="00E8180F" w:rsidP="0074486B">
      <w:pPr>
        <w:pStyle w:val="ListParagraph"/>
        <w:numPr>
          <w:ilvl w:val="0"/>
          <w:numId w:val="3"/>
        </w:numPr>
        <w:ind w:left="284" w:firstLine="425"/>
        <w:rPr>
          <w:highlight w:val="white"/>
        </w:rPr>
      </w:pPr>
      <w:r>
        <w:rPr>
          <w:highlight w:val="white"/>
        </w:rPr>
        <w:t>„mycím prostředkem“ se rozumí detergent ve smyslu nařízení Evropského parlamentu a Rady (ES) č. 648/2004 ze dne 31. března 2004 o detergentech;</w:t>
      </w:r>
    </w:p>
    <w:p w14:paraId="1D364A13" w14:textId="044C69FA" w:rsidR="00441FBB" w:rsidRPr="0074486B" w:rsidRDefault="00441FBB" w:rsidP="0074486B">
      <w:pPr>
        <w:pStyle w:val="ListParagraph"/>
        <w:numPr>
          <w:ilvl w:val="0"/>
          <w:numId w:val="3"/>
        </w:numPr>
        <w:ind w:left="284" w:firstLine="425"/>
        <w:rPr>
          <w:highlight w:val="white"/>
        </w:rPr>
      </w:pPr>
      <w:r>
        <w:rPr>
          <w:highlight w:val="white"/>
        </w:rPr>
        <w:t>„Dodáním na trh“ se rozumí dodání produktu za účelem distribuce, spotřeby nebo použití na trhu v Portugalsku v rámci obchodní činnosti, ať už za úplatu nebo bezplatně;</w:t>
      </w:r>
    </w:p>
    <w:p w14:paraId="5A72039D" w14:textId="40D7970F" w:rsidR="00F3442A" w:rsidRPr="0074486B" w:rsidRDefault="00816786" w:rsidP="0074486B">
      <w:pPr>
        <w:pStyle w:val="ListParagraph"/>
        <w:numPr>
          <w:ilvl w:val="0"/>
          <w:numId w:val="3"/>
        </w:numPr>
        <w:ind w:left="284" w:firstLine="425"/>
        <w:rPr>
          <w:highlight w:val="white"/>
        </w:rPr>
      </w:pPr>
      <w:r>
        <w:t xml:space="preserve">„Polymerem“ se rozum látka ve smyslu čl. 3 odst. 5 </w:t>
      </w:r>
      <w:hyperlink r:id="rId7" w:tgtFrame="Link para Regulamento da União Europeia">
        <w:r>
          <w:rPr>
            <w:highlight w:val="white"/>
          </w:rPr>
          <w:t>nařízení Evropského parlamentu a Rady (ES) č. 1907/2006</w:t>
        </w:r>
      </w:hyperlink>
      <w:r>
        <w:t xml:space="preserve"> ze dne 18. prosince 2006 o registraci, hodnocení, povolování a omezování chemických látek;</w:t>
      </w:r>
      <w:r>
        <w:rPr>
          <w:highlight w:val="white"/>
        </w:rPr>
        <w:t xml:space="preserve">  </w:t>
      </w:r>
    </w:p>
    <w:p w14:paraId="6301722E" w14:textId="1737CFE7" w:rsidR="00F3442A" w:rsidRPr="0074486B" w:rsidRDefault="0003023D" w:rsidP="0074486B">
      <w:pPr>
        <w:pStyle w:val="ListParagraph"/>
        <w:numPr>
          <w:ilvl w:val="0"/>
          <w:numId w:val="3"/>
        </w:numPr>
        <w:ind w:left="284" w:firstLine="425"/>
        <w:rPr>
          <w:highlight w:val="white"/>
        </w:rPr>
      </w:pPr>
      <w:r>
        <w:rPr>
          <w:highlight w:val="white"/>
        </w:rPr>
        <w:t xml:space="preserve">„kosmetickým prostředkem“ se rozumí kosmetický přípravek ve smyslu nařízení Evropského parlamentu a Rady (ES) č. 1223/2009 ze dne 30. listopadu 2009 o kosmetických prostředcích ve stávajícím znění; </w:t>
      </w:r>
    </w:p>
    <w:p w14:paraId="56A66EC0" w14:textId="1E422C31" w:rsidR="0054554D" w:rsidRDefault="00816786" w:rsidP="0074486B">
      <w:pPr>
        <w:pStyle w:val="ListParagraph"/>
        <w:numPr>
          <w:ilvl w:val="0"/>
          <w:numId w:val="3"/>
        </w:numPr>
        <w:ind w:left="284" w:firstLine="425"/>
        <w:rPr>
          <w:highlight w:val="white"/>
        </w:rPr>
      </w:pPr>
      <w:r>
        <w:rPr>
          <w:highlight w:val="white"/>
        </w:rPr>
        <w:t>„Plastickými mikročásticemi“ se rozumí částice obsahující pevné polymery jakékoli velikosti rovné 5 mm nebo menší, k nimž mohly být přidány přísady nebo jiné látky, s výjimkou přírodních polymerů, jež nebyly chemicky upraveny, používány jako brusivo, tj. k exfoliaci, leštění nebo čištění.</w:t>
      </w:r>
    </w:p>
    <w:p w14:paraId="1A0E5587" w14:textId="77777777" w:rsidR="008F4FB8" w:rsidRPr="0074486B" w:rsidRDefault="008F4FB8" w:rsidP="008F4FB8">
      <w:pPr>
        <w:pStyle w:val="ListParagraph"/>
        <w:ind w:left="709" w:firstLine="0"/>
        <w:rPr>
          <w:highlight w:val="white"/>
        </w:rPr>
      </w:pPr>
    </w:p>
    <w:p w14:paraId="5F44AEB1" w14:textId="7B250D1E" w:rsidR="00F3442A" w:rsidRPr="00006360" w:rsidRDefault="004F08B1" w:rsidP="00055843">
      <w:pPr>
        <w:pStyle w:val="Heading1"/>
        <w:ind w:firstLine="360"/>
      </w:pPr>
      <w:r>
        <w:lastRenderedPageBreak/>
        <w:br/>
        <w:t>Zákazy</w:t>
      </w:r>
    </w:p>
    <w:p w14:paraId="68EE9EC2" w14:textId="61796683" w:rsidR="00F3442A" w:rsidRPr="00006360" w:rsidRDefault="008C61F9" w:rsidP="0074486B">
      <w:pPr>
        <w:pStyle w:val="ListParagraph"/>
        <w:numPr>
          <w:ilvl w:val="0"/>
          <w:numId w:val="10"/>
        </w:numPr>
        <w:ind w:left="284" w:firstLine="425"/>
      </w:pPr>
      <w:r>
        <w:t xml:space="preserve">— Uvádění kosmetických prostředků nebo čisticích prostředků obsahujících plastové mikročástice na trh je zakázáno. </w:t>
      </w:r>
    </w:p>
    <w:p w14:paraId="7F5A858B" w14:textId="40B16146" w:rsidR="003D3843" w:rsidRPr="00006360" w:rsidRDefault="003D3843" w:rsidP="0074486B">
      <w:pPr>
        <w:pStyle w:val="ListParagraph"/>
        <w:numPr>
          <w:ilvl w:val="0"/>
          <w:numId w:val="10"/>
        </w:numPr>
        <w:ind w:left="284" w:firstLine="425"/>
      </w:pPr>
      <w:r>
        <w:t xml:space="preserve">— </w:t>
      </w:r>
      <w:bookmarkStart w:id="0" w:name="_Hlk66093173"/>
      <w:r>
        <w:t>Zákazem uvedeným v předchozím odstavci není dotčeno zpřístupnění nebo použití produktů v něm obsažených za předpokladu, že jsou uvedeny na trh před vstupem tohoto nařízení s mocí zákona v platnost.</w:t>
      </w:r>
      <w:bookmarkEnd w:id="0"/>
    </w:p>
    <w:p w14:paraId="5278702E" w14:textId="783C81B6" w:rsidR="00F65A0D" w:rsidRPr="00006360" w:rsidRDefault="00442515" w:rsidP="0074486B">
      <w:pPr>
        <w:pStyle w:val="ListParagraph"/>
        <w:numPr>
          <w:ilvl w:val="0"/>
          <w:numId w:val="10"/>
        </w:numPr>
        <w:ind w:left="284" w:firstLine="425"/>
        <w:contextualSpacing w:val="0"/>
      </w:pPr>
      <w:r>
        <w:t>— z oblasti působnosti zákazu uvedeného v odstavci 1 jsou rovněž vyloučeny tyto výrobky:</w:t>
      </w:r>
    </w:p>
    <w:p w14:paraId="466B660A" w14:textId="29CAFDE1" w:rsidR="00F65A0D" w:rsidRPr="0074486B" w:rsidRDefault="00F65A0D" w:rsidP="0074486B">
      <w:pPr>
        <w:pStyle w:val="ListParagraph"/>
        <w:numPr>
          <w:ilvl w:val="0"/>
          <w:numId w:val="17"/>
        </w:numPr>
        <w:spacing w:before="120"/>
        <w:ind w:left="284" w:firstLine="425"/>
        <w:rPr>
          <w:highlight w:val="white"/>
        </w:rPr>
      </w:pPr>
      <w:r>
        <w:rPr>
          <w:highlight w:val="white"/>
        </w:rPr>
        <w:t>Výrobky vyrobené na území státu přede dnem vstupu tohoto nařízení s mocí zákona v platnost;</w:t>
      </w:r>
    </w:p>
    <w:p w14:paraId="05929774" w14:textId="54F3EEFB" w:rsidR="00442515" w:rsidRPr="0074486B" w:rsidRDefault="00F65A0D" w:rsidP="0074486B">
      <w:pPr>
        <w:pStyle w:val="ListParagraph"/>
        <w:numPr>
          <w:ilvl w:val="0"/>
          <w:numId w:val="17"/>
        </w:numPr>
        <w:ind w:left="284" w:firstLine="425"/>
        <w:rPr>
          <w:highlight w:val="white"/>
        </w:rPr>
      </w:pPr>
      <w:r>
        <w:rPr>
          <w:highlight w:val="white"/>
        </w:rPr>
        <w:t>Produkty, jejichž zpřístupnění bylo dohodnuto přede dnem vstupu tohoto nařízení s mocí zákona v platnost a nastanou před koncem roku 2021.</w:t>
      </w:r>
    </w:p>
    <w:p w14:paraId="3057F9FD" w14:textId="77777777" w:rsidR="00F3442A" w:rsidRPr="00006360" w:rsidRDefault="00F3442A" w:rsidP="0074486B"/>
    <w:p w14:paraId="312C9530" w14:textId="1042E4FA" w:rsidR="00F3442A" w:rsidRPr="00006360" w:rsidRDefault="004F08B1" w:rsidP="0074486B">
      <w:pPr>
        <w:pStyle w:val="Heading1"/>
      </w:pPr>
      <w:r>
        <w:br/>
        <w:t>Inspekce a monitorování</w:t>
      </w:r>
    </w:p>
    <w:p w14:paraId="1664138E" w14:textId="1855F9A7" w:rsidR="00F3442A" w:rsidRPr="00006360" w:rsidRDefault="00E46D1A" w:rsidP="0074486B">
      <w:pPr>
        <w:pStyle w:val="ListParagraph"/>
        <w:numPr>
          <w:ilvl w:val="0"/>
          <w:numId w:val="18"/>
        </w:numPr>
        <w:ind w:left="284" w:firstLine="425"/>
      </w:pPr>
      <w:r>
        <w:t>— Za kontrolu dodržování ustanovení tohoto nařízení s mocí zákona odpovídá Úřad pro potravinovou a hospodářskou bezpečnost (ASAE) a daňový a celní úřad (AT).</w:t>
      </w:r>
    </w:p>
    <w:p w14:paraId="184EDC25" w14:textId="6F89EFA6" w:rsidR="00F3442A" w:rsidRDefault="00E46D1A" w:rsidP="0074486B">
      <w:pPr>
        <w:pStyle w:val="ListParagraph"/>
        <w:numPr>
          <w:ilvl w:val="0"/>
          <w:numId w:val="18"/>
        </w:numPr>
        <w:ind w:left="284" w:firstLine="425"/>
      </w:pPr>
      <w:r>
        <w:t>Ustanovením předchozího odstavce není dotčen výkon kontrolních a policejních pravomocí udělených jiným orgánům veřejné moci.</w:t>
      </w:r>
    </w:p>
    <w:p w14:paraId="32F3C8C7" w14:textId="77777777" w:rsidR="008F4FB8" w:rsidRPr="00006360" w:rsidRDefault="008F4FB8" w:rsidP="008F4FB8">
      <w:pPr>
        <w:pStyle w:val="ListParagraph"/>
        <w:ind w:left="709" w:firstLine="0"/>
      </w:pPr>
    </w:p>
    <w:p w14:paraId="7EF765E4" w14:textId="275F5B6B" w:rsidR="00F3442A" w:rsidRPr="00006360" w:rsidRDefault="004F08B1" w:rsidP="0074486B">
      <w:pPr>
        <w:pStyle w:val="Heading1"/>
      </w:pPr>
      <w:r>
        <w:br/>
        <w:t>Správní delikty</w:t>
      </w:r>
    </w:p>
    <w:p w14:paraId="740CD79B" w14:textId="6FCEB11C" w:rsidR="00F3442A" w:rsidRPr="00006360" w:rsidRDefault="00E46D1A" w:rsidP="0074486B">
      <w:pPr>
        <w:pStyle w:val="ListParagraph"/>
        <w:numPr>
          <w:ilvl w:val="0"/>
          <w:numId w:val="19"/>
        </w:numPr>
        <w:ind w:left="284" w:firstLine="425"/>
      </w:pPr>
      <w:r>
        <w:t xml:space="preserve">— Nesplnění ustanovení čl. 3 odst. 1 představuje závažný hospodářský správní delikt, který lze trestat podle právního rámce pro hospodářské správní delikty schváleného nařízením s mocí zákona č. 9/2021 ze dne 29. ledna. </w:t>
      </w:r>
    </w:p>
    <w:p w14:paraId="1E582BAB" w14:textId="6D9CE48D" w:rsidR="00F3442A" w:rsidRPr="00006360" w:rsidRDefault="00E8180F" w:rsidP="0074486B">
      <w:pPr>
        <w:pStyle w:val="ListParagraph"/>
        <w:numPr>
          <w:ilvl w:val="0"/>
          <w:numId w:val="19"/>
        </w:numPr>
        <w:ind w:left="284" w:firstLine="425"/>
      </w:pPr>
      <w:r>
        <w:lastRenderedPageBreak/>
        <w:t xml:space="preserve">— Pokus o spáchání deliktu a nedbalost se trestá, přičemž minimální a maximální výše pokuty se sníží na polovinu. </w:t>
      </w:r>
    </w:p>
    <w:p w14:paraId="378FF05A" w14:textId="2776DB1F" w:rsidR="00F3442A" w:rsidRPr="00006360" w:rsidRDefault="00F3442A" w:rsidP="0074486B"/>
    <w:p w14:paraId="4CDB9348" w14:textId="715711C6" w:rsidR="00F3442A" w:rsidRPr="00006360" w:rsidRDefault="004F08B1" w:rsidP="0074486B">
      <w:pPr>
        <w:pStyle w:val="Heading1"/>
      </w:pPr>
      <w:r>
        <w:br/>
        <w:t>Vyšetřování a vymáhání sankcí</w:t>
      </w:r>
    </w:p>
    <w:p w14:paraId="1EAE1A82" w14:textId="1D8E778D" w:rsidR="00F3442A" w:rsidRPr="00006360" w:rsidRDefault="00E8180F" w:rsidP="0074486B">
      <w:r>
        <w:t>Je odpovědností ASAE a AT v rámci svých pravomocí provádět vyšetřování týkající se správních deliktů uvedených v předchozím článku a rozhodnout o uložení odpovídajících pokut a doplňkových sankcí.</w:t>
      </w:r>
    </w:p>
    <w:p w14:paraId="183BAF8A" w14:textId="22CB72F2" w:rsidR="00F3442A" w:rsidRPr="00006360" w:rsidRDefault="00F3442A" w:rsidP="0074486B"/>
    <w:p w14:paraId="170C848E" w14:textId="179FA7C7" w:rsidR="00F3442A" w:rsidRPr="0074486B" w:rsidRDefault="0074486B" w:rsidP="0074486B">
      <w:pPr>
        <w:pStyle w:val="Heading1"/>
      </w:pPr>
      <w:r>
        <w:br/>
        <w:t>Výnosy z pokut</w:t>
      </w:r>
    </w:p>
    <w:p w14:paraId="56460743" w14:textId="7881F983" w:rsidR="00F3442A" w:rsidRPr="00006360" w:rsidRDefault="00E8180F" w:rsidP="0074486B">
      <w:r>
        <w:t xml:space="preserve">Výnosy z pokut stanovených v článku 5 tohoto nařízení s mocí zákona se rozdělí takto: </w:t>
      </w:r>
    </w:p>
    <w:p w14:paraId="65198DD7" w14:textId="77777777" w:rsidR="003D3843" w:rsidRPr="0074486B" w:rsidRDefault="003D3843" w:rsidP="0074486B">
      <w:pPr>
        <w:pStyle w:val="ListParagraph"/>
        <w:numPr>
          <w:ilvl w:val="0"/>
          <w:numId w:val="20"/>
        </w:numPr>
        <w:spacing w:before="120"/>
        <w:ind w:left="284" w:firstLine="425"/>
        <w:rPr>
          <w:highlight w:val="white"/>
        </w:rPr>
      </w:pPr>
      <w:r>
        <w:rPr>
          <w:highlight w:val="white"/>
        </w:rPr>
        <w:t>60 % vládě;</w:t>
      </w:r>
    </w:p>
    <w:p w14:paraId="206360D3" w14:textId="77777777" w:rsidR="003D3843" w:rsidRPr="0074486B" w:rsidRDefault="003D3843" w:rsidP="0074486B">
      <w:pPr>
        <w:pStyle w:val="ListParagraph"/>
        <w:numPr>
          <w:ilvl w:val="0"/>
          <w:numId w:val="20"/>
        </w:numPr>
        <w:spacing w:before="120"/>
        <w:ind w:left="284" w:firstLine="425"/>
        <w:rPr>
          <w:highlight w:val="white"/>
        </w:rPr>
      </w:pPr>
      <w:r>
        <w:rPr>
          <w:highlight w:val="white"/>
        </w:rPr>
        <w:t>10 % orgánu, který zahájí řízení;</w:t>
      </w:r>
    </w:p>
    <w:p w14:paraId="1F8651D3" w14:textId="77777777" w:rsidR="003D3843" w:rsidRPr="0074486B" w:rsidRDefault="003D3843" w:rsidP="0074486B">
      <w:pPr>
        <w:pStyle w:val="ListParagraph"/>
        <w:numPr>
          <w:ilvl w:val="0"/>
          <w:numId w:val="20"/>
        </w:numPr>
        <w:spacing w:before="120"/>
        <w:ind w:left="284" w:firstLine="425"/>
        <w:rPr>
          <w:highlight w:val="white"/>
        </w:rPr>
      </w:pPr>
      <w:r>
        <w:rPr>
          <w:highlight w:val="white"/>
        </w:rPr>
        <w:t>10 % pro vyšetřující subjekt;</w:t>
      </w:r>
    </w:p>
    <w:p w14:paraId="7D907198" w14:textId="4B0654B6" w:rsidR="00F3442A" w:rsidRPr="0074486B" w:rsidRDefault="003D3843" w:rsidP="0074486B">
      <w:pPr>
        <w:pStyle w:val="ListParagraph"/>
        <w:numPr>
          <w:ilvl w:val="0"/>
          <w:numId w:val="20"/>
        </w:numPr>
        <w:spacing w:before="120"/>
        <w:ind w:left="284" w:firstLine="425"/>
        <w:rPr>
          <w:highlight w:val="white"/>
        </w:rPr>
      </w:pPr>
      <w:r>
        <w:rPr>
          <w:highlight w:val="white"/>
        </w:rPr>
        <w:t>20 % pro rozhodovací orgán.</w:t>
      </w:r>
    </w:p>
    <w:p w14:paraId="2962D2C6" w14:textId="77777777" w:rsidR="00F3442A" w:rsidRPr="00006360" w:rsidRDefault="00F3442A" w:rsidP="0074486B"/>
    <w:p w14:paraId="25CB4724" w14:textId="086CF13F" w:rsidR="00F3442A" w:rsidRPr="0074486B" w:rsidRDefault="0074486B" w:rsidP="0074486B">
      <w:pPr>
        <w:pStyle w:val="Heading1"/>
      </w:pPr>
      <w:r>
        <w:br/>
        <w:t>Autonomní oblasti</w:t>
      </w:r>
    </w:p>
    <w:p w14:paraId="0274FCF5" w14:textId="33493140" w:rsidR="00F3442A" w:rsidRPr="00006360" w:rsidRDefault="0074486B" w:rsidP="0074486B">
      <w:pPr>
        <w:pStyle w:val="ListParagraph"/>
        <w:numPr>
          <w:ilvl w:val="0"/>
          <w:numId w:val="21"/>
        </w:numPr>
        <w:ind w:left="284" w:firstLine="425"/>
        <w:contextualSpacing w:val="0"/>
      </w:pPr>
      <w:r>
        <w:t xml:space="preserve"> — Toto nařízení s mocí zákona se vztahuje na autonomní oblasti Azory a Madeiru, aniž by byla dotčena jejich vhodnost k regionálním specifičnostem souladu s jejich politickou a správní autonomií, a provádění tohoto nařízení se vztahuje na útvary a orgány jejich příslušných regionálních správních orgánů, aniž by byly dotčeny pravomoci vnitrostátních orgánů.</w:t>
      </w:r>
    </w:p>
    <w:p w14:paraId="5D19046A" w14:textId="4C0F0DC6" w:rsidR="00F3442A" w:rsidRPr="00006360" w:rsidRDefault="0074486B" w:rsidP="0074486B">
      <w:pPr>
        <w:pStyle w:val="ListParagraph"/>
        <w:numPr>
          <w:ilvl w:val="0"/>
          <w:numId w:val="21"/>
        </w:numPr>
        <w:ind w:left="284" w:firstLine="425"/>
        <w:contextualSpacing w:val="0"/>
      </w:pPr>
      <w:r>
        <w:t xml:space="preserve">Výnosy z pokut uplatňovaných v autonomních regionech jdou výhradně do </w:t>
      </w:r>
      <w:r>
        <w:lastRenderedPageBreak/>
        <w:t>uvedených regionů.</w:t>
      </w:r>
    </w:p>
    <w:p w14:paraId="05A06D96" w14:textId="77777777" w:rsidR="0037390A" w:rsidRPr="00006360" w:rsidRDefault="0037390A" w:rsidP="0074486B"/>
    <w:p w14:paraId="7D63ED44" w14:textId="640AE1C9" w:rsidR="00F3442A" w:rsidRPr="00006360" w:rsidRDefault="008F4FB8" w:rsidP="0058448A">
      <w:pPr>
        <w:pStyle w:val="Heading1"/>
      </w:pPr>
      <w:r>
        <w:br/>
        <w:t>Vstoupení v platnost a účinnost</w:t>
      </w:r>
    </w:p>
    <w:p w14:paraId="7D923A77" w14:textId="57F41419" w:rsidR="00F3442A" w:rsidRPr="00006360" w:rsidRDefault="008F4FB8" w:rsidP="008F4FB8">
      <w:pPr>
        <w:pStyle w:val="ListParagraph"/>
        <w:numPr>
          <w:ilvl w:val="0"/>
          <w:numId w:val="22"/>
        </w:numPr>
        <w:ind w:left="284" w:firstLine="425"/>
        <w:contextualSpacing w:val="0"/>
      </w:pPr>
      <w:r>
        <w:t>Tento zákon vstoupí v platnost následující den po jeho zveřejnění.</w:t>
      </w:r>
    </w:p>
    <w:p w14:paraId="250D74D0" w14:textId="186ACAA7" w:rsidR="008C45E1" w:rsidRPr="00006360" w:rsidRDefault="008F4FB8" w:rsidP="008F4FB8">
      <w:pPr>
        <w:pStyle w:val="ListParagraph"/>
        <w:numPr>
          <w:ilvl w:val="0"/>
          <w:numId w:val="22"/>
        </w:numPr>
        <w:ind w:left="284" w:firstLine="425"/>
        <w:contextualSpacing w:val="0"/>
      </w:pPr>
      <w:r>
        <w:t>— Aniž by byl dotčen článek 183 nařízení s mocí zákona č. 9/2021 ze dne 29. ledna, kterým byly schváleny právní podmínky hospodářských správních deliktů, použije se tento režim okamžitě v případě správních deliktů stanovených v čl. 5 odst. 1 tohoto nařízení s mocí zákona.</w:t>
      </w:r>
    </w:p>
    <w:sectPr w:rsidR="008C45E1" w:rsidRPr="0000636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6C4DEE" w14:textId="77777777" w:rsidR="007752CB" w:rsidRDefault="007752CB" w:rsidP="0074486B">
      <w:r>
        <w:separator/>
      </w:r>
    </w:p>
  </w:endnote>
  <w:endnote w:type="continuationSeparator" w:id="0">
    <w:p w14:paraId="6291A56F" w14:textId="77777777" w:rsidR="007752CB" w:rsidRDefault="007752CB" w:rsidP="00744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30B56" w14:textId="77777777" w:rsidR="0074486B" w:rsidRDefault="0074486B" w:rsidP="0074486B">
    <w:pPr>
      <w:pStyle w:val="Footer"/>
    </w:pPr>
    <w:r>
      <w:fldChar w:fldCharType="begin"/>
    </w:r>
    <w:r>
      <w:instrText>PAGE</w:instrText>
    </w:r>
    <w:r>
      <w:fldChar w:fldCharType="separate"/>
    </w:r>
    <w:r w:rsidR="00923317"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0883F" w14:textId="77777777" w:rsidR="007752CB" w:rsidRDefault="007752CB" w:rsidP="0074486B">
      <w:r>
        <w:separator/>
      </w:r>
    </w:p>
  </w:footnote>
  <w:footnote w:type="continuationSeparator" w:id="0">
    <w:p w14:paraId="4A91F5D0" w14:textId="77777777" w:rsidR="007752CB" w:rsidRDefault="007752CB" w:rsidP="00744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2286F" w14:textId="77777777" w:rsidR="0074486B" w:rsidRPr="00EF0262" w:rsidRDefault="0074486B" w:rsidP="0074486B">
    <w:pPr>
      <w:jc w:val="center"/>
    </w:pPr>
    <w:r>
      <w:rPr>
        <w:noProof/>
      </w:rPr>
      <w:drawing>
        <wp:inline distT="0" distB="0" distL="0" distR="0" wp14:anchorId="0E743FC7" wp14:editId="1CBF634D">
          <wp:extent cx="361950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D5E166" w14:textId="71BAF3D3" w:rsidR="0074486B" w:rsidRPr="00EF0262" w:rsidRDefault="0074486B" w:rsidP="0074486B">
    <w:pPr>
      <w:jc w:val="center"/>
    </w:pPr>
    <w:r>
      <w:t>Ministr</w:t>
    </w:r>
  </w:p>
  <w:p w14:paraId="6134CCEF" w14:textId="3737DD9E" w:rsidR="0074486B" w:rsidRPr="00EF0262" w:rsidRDefault="0074486B" w:rsidP="0074486B">
    <w:pPr>
      <w:jc w:val="center"/>
    </w:pPr>
    <w:r>
      <w:object w:dxaOrig="1311" w:dyaOrig="279" w14:anchorId="78E263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65.45pt;height:14.05pt;mso-width-percent:0;mso-height-percent:0;mso-width-percent:0;mso-height-percent:0">
          <v:imagedata r:id="rId2" o:title=""/>
        </v:shape>
        <o:OLEObject Type="Embed" ProgID="Word.Picture.8" ShapeID="_x0000_i1025" DrawAspect="Content" ObjectID="_1678023267" r:id="rId3"/>
      </w:object>
    </w:r>
  </w:p>
  <w:p w14:paraId="41A6E695" w14:textId="77777777" w:rsidR="0074486B" w:rsidRPr="00EF0262" w:rsidRDefault="0074486B" w:rsidP="0074486B">
    <w:pPr>
      <w:jc w:val="center"/>
    </w:pPr>
  </w:p>
  <w:p w14:paraId="3AE8C256" w14:textId="753DCC90" w:rsidR="0074486B" w:rsidRPr="00EF0262" w:rsidRDefault="0074486B" w:rsidP="0074486B">
    <w:pPr>
      <w:jc w:val="center"/>
      <w:rPr>
        <w:rFonts w:asciiTheme="minorHAnsi" w:hAnsiTheme="minorHAnsi"/>
        <w:sz w:val="32"/>
        <w:szCs w:val="32"/>
      </w:rPr>
    </w:pPr>
    <w:r>
      <w:t>Nařízení</w:t>
    </w:r>
    <w:r>
      <w:rPr>
        <w:rFonts w:asciiTheme="minorHAnsi" w:hAnsiTheme="minorHAnsi"/>
        <w:sz w:val="32"/>
        <w:u w:val="dotted"/>
        <w:vertAlign w:val="subscript"/>
      </w:rPr>
      <w:tab/>
    </w:r>
    <w:r>
      <w:t xml:space="preserve"> č.</w:t>
    </w:r>
  </w:p>
  <w:p w14:paraId="410BACD8" w14:textId="77777777" w:rsidR="0074486B" w:rsidRDefault="0074486B" w:rsidP="007448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F7D49"/>
    <w:multiLevelType w:val="multilevel"/>
    <w:tmpl w:val="5D82C0EA"/>
    <w:lvl w:ilvl="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F6C18"/>
    <w:multiLevelType w:val="hybridMultilevel"/>
    <w:tmpl w:val="80CA639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A08CB"/>
    <w:multiLevelType w:val="hybridMultilevel"/>
    <w:tmpl w:val="D6700D4C"/>
    <w:lvl w:ilvl="0" w:tplc="66DEC1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A0AF6"/>
    <w:multiLevelType w:val="hybridMultilevel"/>
    <w:tmpl w:val="D6700D4C"/>
    <w:lvl w:ilvl="0" w:tplc="66DEC1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23E78"/>
    <w:multiLevelType w:val="multilevel"/>
    <w:tmpl w:val="5D82C0EA"/>
    <w:lvl w:ilvl="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127E0"/>
    <w:multiLevelType w:val="multilevel"/>
    <w:tmpl w:val="DEC849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3C06E1C"/>
    <w:multiLevelType w:val="hybridMultilevel"/>
    <w:tmpl w:val="406A79F6"/>
    <w:lvl w:ilvl="0" w:tplc="EF96D516">
      <w:start w:val="1"/>
      <w:numFmt w:val="decimal"/>
      <w:lvlText w:val="%1 -"/>
      <w:lvlJc w:val="left"/>
      <w:pPr>
        <w:ind w:left="360" w:hanging="360"/>
      </w:pPr>
      <w:rPr>
        <w:rFonts w:hint="default"/>
      </w:rPr>
    </w:lvl>
    <w:lvl w:ilvl="1" w:tplc="509493F6">
      <w:start w:val="1"/>
      <w:numFmt w:val="lowerLetter"/>
      <w:lvlText w:val="%2."/>
      <w:lvlJc w:val="left"/>
      <w:pPr>
        <w:ind w:left="-2813" w:hanging="360"/>
      </w:pPr>
    </w:lvl>
    <w:lvl w:ilvl="2" w:tplc="B74206BC" w:tentative="1">
      <w:start w:val="1"/>
      <w:numFmt w:val="lowerRoman"/>
      <w:lvlText w:val="%3."/>
      <w:lvlJc w:val="right"/>
      <w:pPr>
        <w:ind w:left="-2093" w:hanging="180"/>
      </w:pPr>
    </w:lvl>
    <w:lvl w:ilvl="3" w:tplc="D090E1C6" w:tentative="1">
      <w:start w:val="1"/>
      <w:numFmt w:val="decimal"/>
      <w:lvlText w:val="%4."/>
      <w:lvlJc w:val="left"/>
      <w:pPr>
        <w:ind w:left="-1373" w:hanging="360"/>
      </w:pPr>
    </w:lvl>
    <w:lvl w:ilvl="4" w:tplc="0FAC9E4E" w:tentative="1">
      <w:start w:val="1"/>
      <w:numFmt w:val="lowerLetter"/>
      <w:lvlText w:val="%5."/>
      <w:lvlJc w:val="left"/>
      <w:pPr>
        <w:ind w:left="-653" w:hanging="360"/>
      </w:pPr>
    </w:lvl>
    <w:lvl w:ilvl="5" w:tplc="B8BA5ED0" w:tentative="1">
      <w:start w:val="1"/>
      <w:numFmt w:val="lowerRoman"/>
      <w:lvlText w:val="%6."/>
      <w:lvlJc w:val="right"/>
      <w:pPr>
        <w:ind w:left="67" w:hanging="180"/>
      </w:pPr>
    </w:lvl>
    <w:lvl w:ilvl="6" w:tplc="A800B2CC" w:tentative="1">
      <w:start w:val="1"/>
      <w:numFmt w:val="decimal"/>
      <w:lvlText w:val="%7."/>
      <w:lvlJc w:val="left"/>
      <w:pPr>
        <w:ind w:left="787" w:hanging="360"/>
      </w:pPr>
    </w:lvl>
    <w:lvl w:ilvl="7" w:tplc="CFA6C1C2" w:tentative="1">
      <w:start w:val="1"/>
      <w:numFmt w:val="lowerLetter"/>
      <w:lvlText w:val="%8."/>
      <w:lvlJc w:val="left"/>
      <w:pPr>
        <w:ind w:left="1507" w:hanging="360"/>
      </w:pPr>
    </w:lvl>
    <w:lvl w:ilvl="8" w:tplc="A8D0C14E" w:tentative="1">
      <w:start w:val="1"/>
      <w:numFmt w:val="lowerRoman"/>
      <w:lvlText w:val="%9."/>
      <w:lvlJc w:val="right"/>
      <w:pPr>
        <w:ind w:left="2227" w:hanging="180"/>
      </w:pPr>
    </w:lvl>
  </w:abstractNum>
  <w:abstractNum w:abstractNumId="7" w15:restartNumberingAfterBreak="0">
    <w:nsid w:val="19AB5D74"/>
    <w:multiLevelType w:val="hybridMultilevel"/>
    <w:tmpl w:val="D6700D4C"/>
    <w:lvl w:ilvl="0" w:tplc="66DEC1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A07FD"/>
    <w:multiLevelType w:val="multilevel"/>
    <w:tmpl w:val="5D82C0EA"/>
    <w:lvl w:ilvl="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C321A"/>
    <w:multiLevelType w:val="hybridMultilevel"/>
    <w:tmpl w:val="D6700D4C"/>
    <w:lvl w:ilvl="0" w:tplc="66DEC1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55934"/>
    <w:multiLevelType w:val="multilevel"/>
    <w:tmpl w:val="51E07D1C"/>
    <w:lvl w:ilvl="0">
      <w:start w:val="1"/>
      <w:numFmt w:val="lowerLetter"/>
      <w:lvlText w:val="%1)"/>
      <w:lvlJc w:val="left"/>
      <w:pPr>
        <w:ind w:left="1440" w:hanging="720"/>
      </w:pPr>
      <w:rPr>
        <w:rFonts w:ascii="Garamond" w:eastAsia="Calibri" w:hAnsi="Garamond" w:cs="DejaVu Sans" w:hint="default"/>
        <w:i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AC797D"/>
    <w:multiLevelType w:val="hybridMultilevel"/>
    <w:tmpl w:val="D6700D4C"/>
    <w:lvl w:ilvl="0" w:tplc="66DEC1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961F6"/>
    <w:multiLevelType w:val="multilevel"/>
    <w:tmpl w:val="5D82C0EA"/>
    <w:lvl w:ilvl="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177DF"/>
    <w:multiLevelType w:val="hybridMultilevel"/>
    <w:tmpl w:val="69CE72B6"/>
    <w:lvl w:ilvl="0" w:tplc="B0F2D60E">
      <w:start w:val="1"/>
      <w:numFmt w:val="decimal"/>
      <w:pStyle w:val="Heading1"/>
      <w:lvlText w:val="Článek %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F3E30"/>
    <w:multiLevelType w:val="hybridMultilevel"/>
    <w:tmpl w:val="D6700D4C"/>
    <w:lvl w:ilvl="0" w:tplc="66DEC1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9372E"/>
    <w:multiLevelType w:val="multilevel"/>
    <w:tmpl w:val="5D82C0EA"/>
    <w:lvl w:ilvl="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961E8"/>
    <w:multiLevelType w:val="multilevel"/>
    <w:tmpl w:val="BF84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8F1B65"/>
    <w:multiLevelType w:val="hybridMultilevel"/>
    <w:tmpl w:val="46EA029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57FE6"/>
    <w:multiLevelType w:val="multilevel"/>
    <w:tmpl w:val="6FB88990"/>
    <w:lvl w:ilvl="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4E35DD"/>
    <w:multiLevelType w:val="multilevel"/>
    <w:tmpl w:val="5D82C0EA"/>
    <w:lvl w:ilvl="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828EB"/>
    <w:multiLevelType w:val="hybridMultilevel"/>
    <w:tmpl w:val="D6700D4C"/>
    <w:lvl w:ilvl="0" w:tplc="66DEC1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8"/>
  </w:num>
  <w:num w:numId="4">
    <w:abstractNumId w:val="5"/>
  </w:num>
  <w:num w:numId="5">
    <w:abstractNumId w:val="6"/>
  </w:num>
  <w:num w:numId="6">
    <w:abstractNumId w:val="16"/>
  </w:num>
  <w:num w:numId="7">
    <w:abstractNumId w:val="1"/>
  </w:num>
  <w:num w:numId="8">
    <w:abstractNumId w:val="4"/>
  </w:num>
  <w:num w:numId="9">
    <w:abstractNumId w:val="17"/>
  </w:num>
  <w:num w:numId="10">
    <w:abstractNumId w:val="11"/>
  </w:num>
  <w:num w:numId="11">
    <w:abstractNumId w:val="0"/>
  </w:num>
  <w:num w:numId="12">
    <w:abstractNumId w:val="3"/>
  </w:num>
  <w:num w:numId="13">
    <w:abstractNumId w:val="9"/>
  </w:num>
  <w:num w:numId="14">
    <w:abstractNumId w:val="13"/>
  </w:num>
  <w:num w:numId="15">
    <w:abstractNumId w:val="13"/>
  </w:num>
  <w:num w:numId="16">
    <w:abstractNumId w:val="19"/>
  </w:num>
  <w:num w:numId="17">
    <w:abstractNumId w:val="15"/>
  </w:num>
  <w:num w:numId="18">
    <w:abstractNumId w:val="20"/>
  </w:num>
  <w:num w:numId="19">
    <w:abstractNumId w:val="14"/>
  </w:num>
  <w:num w:numId="20">
    <w:abstractNumId w:val="12"/>
  </w:num>
  <w:num w:numId="21">
    <w:abstractNumId w:val="2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1152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42A"/>
    <w:rsid w:val="00006360"/>
    <w:rsid w:val="0003023D"/>
    <w:rsid w:val="00034ED1"/>
    <w:rsid w:val="00050D9B"/>
    <w:rsid w:val="00055843"/>
    <w:rsid w:val="00077B88"/>
    <w:rsid w:val="001053A5"/>
    <w:rsid w:val="00123731"/>
    <w:rsid w:val="00123ECC"/>
    <w:rsid w:val="0012554C"/>
    <w:rsid w:val="00132921"/>
    <w:rsid w:val="0018541E"/>
    <w:rsid w:val="001A27AA"/>
    <w:rsid w:val="001B40C5"/>
    <w:rsid w:val="001D05C2"/>
    <w:rsid w:val="0027617A"/>
    <w:rsid w:val="00277564"/>
    <w:rsid w:val="00280546"/>
    <w:rsid w:val="002A3096"/>
    <w:rsid w:val="002A4FB2"/>
    <w:rsid w:val="002B26EF"/>
    <w:rsid w:val="002B5031"/>
    <w:rsid w:val="002E3F73"/>
    <w:rsid w:val="002E5F14"/>
    <w:rsid w:val="002F0A7B"/>
    <w:rsid w:val="00310001"/>
    <w:rsid w:val="00347636"/>
    <w:rsid w:val="003710CA"/>
    <w:rsid w:val="0037380C"/>
    <w:rsid w:val="0037390A"/>
    <w:rsid w:val="00381FB7"/>
    <w:rsid w:val="003A7739"/>
    <w:rsid w:val="003D3843"/>
    <w:rsid w:val="003E42C6"/>
    <w:rsid w:val="003F2867"/>
    <w:rsid w:val="003F2944"/>
    <w:rsid w:val="0040360B"/>
    <w:rsid w:val="00404F3B"/>
    <w:rsid w:val="00441FBB"/>
    <w:rsid w:val="00442062"/>
    <w:rsid w:val="00442515"/>
    <w:rsid w:val="004563E9"/>
    <w:rsid w:val="0048150C"/>
    <w:rsid w:val="004F08B1"/>
    <w:rsid w:val="004F3FAB"/>
    <w:rsid w:val="005279C9"/>
    <w:rsid w:val="0054554D"/>
    <w:rsid w:val="00560167"/>
    <w:rsid w:val="00577305"/>
    <w:rsid w:val="00586237"/>
    <w:rsid w:val="00586ABD"/>
    <w:rsid w:val="005901FA"/>
    <w:rsid w:val="005A173F"/>
    <w:rsid w:val="005B2A0F"/>
    <w:rsid w:val="005D6D4F"/>
    <w:rsid w:val="006204CA"/>
    <w:rsid w:val="006259F9"/>
    <w:rsid w:val="0063732C"/>
    <w:rsid w:val="006438D2"/>
    <w:rsid w:val="00676A1B"/>
    <w:rsid w:val="006B2431"/>
    <w:rsid w:val="006D3B1C"/>
    <w:rsid w:val="006D4598"/>
    <w:rsid w:val="00704C6E"/>
    <w:rsid w:val="007314BD"/>
    <w:rsid w:val="00736D72"/>
    <w:rsid w:val="0074486B"/>
    <w:rsid w:val="007752CB"/>
    <w:rsid w:val="00793018"/>
    <w:rsid w:val="007E30D8"/>
    <w:rsid w:val="00810470"/>
    <w:rsid w:val="00814203"/>
    <w:rsid w:val="00816786"/>
    <w:rsid w:val="008224AC"/>
    <w:rsid w:val="00881FF0"/>
    <w:rsid w:val="008867AF"/>
    <w:rsid w:val="00897BA8"/>
    <w:rsid w:val="008B6317"/>
    <w:rsid w:val="008C45E1"/>
    <w:rsid w:val="008C61F9"/>
    <w:rsid w:val="008C6843"/>
    <w:rsid w:val="008D6CB0"/>
    <w:rsid w:val="008E7F87"/>
    <w:rsid w:val="008F4FB8"/>
    <w:rsid w:val="00915636"/>
    <w:rsid w:val="00922804"/>
    <w:rsid w:val="00923317"/>
    <w:rsid w:val="00927820"/>
    <w:rsid w:val="0094463C"/>
    <w:rsid w:val="00971462"/>
    <w:rsid w:val="009749B4"/>
    <w:rsid w:val="009845FE"/>
    <w:rsid w:val="009A4759"/>
    <w:rsid w:val="009B336D"/>
    <w:rsid w:val="009F7922"/>
    <w:rsid w:val="00A02D68"/>
    <w:rsid w:val="00A330E4"/>
    <w:rsid w:val="00A506A5"/>
    <w:rsid w:val="00A54130"/>
    <w:rsid w:val="00A5670B"/>
    <w:rsid w:val="00A73E4D"/>
    <w:rsid w:val="00A94281"/>
    <w:rsid w:val="00A9649F"/>
    <w:rsid w:val="00AE2712"/>
    <w:rsid w:val="00AF150A"/>
    <w:rsid w:val="00B07A51"/>
    <w:rsid w:val="00B12E71"/>
    <w:rsid w:val="00B16F42"/>
    <w:rsid w:val="00B260BA"/>
    <w:rsid w:val="00B42E19"/>
    <w:rsid w:val="00B6463C"/>
    <w:rsid w:val="00BC33AC"/>
    <w:rsid w:val="00BE0D3D"/>
    <w:rsid w:val="00BF7812"/>
    <w:rsid w:val="00C33041"/>
    <w:rsid w:val="00C8696D"/>
    <w:rsid w:val="00CD7454"/>
    <w:rsid w:val="00D215E0"/>
    <w:rsid w:val="00D22FB5"/>
    <w:rsid w:val="00D304B8"/>
    <w:rsid w:val="00D53F20"/>
    <w:rsid w:val="00D64044"/>
    <w:rsid w:val="00D71678"/>
    <w:rsid w:val="00D73E8E"/>
    <w:rsid w:val="00D80392"/>
    <w:rsid w:val="00DD7AD7"/>
    <w:rsid w:val="00DE0642"/>
    <w:rsid w:val="00DE0C46"/>
    <w:rsid w:val="00DF1296"/>
    <w:rsid w:val="00DF1766"/>
    <w:rsid w:val="00E45811"/>
    <w:rsid w:val="00E46D1A"/>
    <w:rsid w:val="00E8180F"/>
    <w:rsid w:val="00EA20C6"/>
    <w:rsid w:val="00EA4B8E"/>
    <w:rsid w:val="00EC1940"/>
    <w:rsid w:val="00EF0262"/>
    <w:rsid w:val="00EF5296"/>
    <w:rsid w:val="00EF7C20"/>
    <w:rsid w:val="00F011C7"/>
    <w:rsid w:val="00F0599C"/>
    <w:rsid w:val="00F26AD4"/>
    <w:rsid w:val="00F3442A"/>
    <w:rsid w:val="00F44F9F"/>
    <w:rsid w:val="00F5553A"/>
    <w:rsid w:val="00F65A0D"/>
    <w:rsid w:val="00F67874"/>
    <w:rsid w:val="00F754B3"/>
    <w:rsid w:val="00F77B3C"/>
    <w:rsid w:val="00FB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5880CD"/>
  <w15:docId w15:val="{596893BB-5E8A-441B-9548-F3C630D2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DejaVu Sans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86B"/>
    <w:pPr>
      <w:widowControl w:val="0"/>
      <w:spacing w:after="120" w:line="360" w:lineRule="auto"/>
      <w:ind w:firstLine="284"/>
      <w:jc w:val="both"/>
    </w:pPr>
    <w:rPr>
      <w:rFonts w:ascii="Garamond" w:eastAsiaTheme="minorHAnsi" w:hAnsi="Garamond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6360"/>
    <w:pPr>
      <w:numPr>
        <w:numId w:val="14"/>
      </w:numPr>
      <w:tabs>
        <w:tab w:val="left" w:pos="1276"/>
      </w:tabs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arter">
    <w:name w:val="Cabeçalho Caráter"/>
    <w:basedOn w:val="DefaultParagraphFont"/>
    <w:qFormat/>
  </w:style>
  <w:style w:type="character" w:customStyle="1" w:styleId="RodapCarter">
    <w:name w:val="Rodapé Caráter"/>
    <w:basedOn w:val="DefaultParagraphFont"/>
    <w:qFormat/>
  </w:style>
  <w:style w:type="character" w:customStyle="1" w:styleId="LigaodeInternet">
    <w:name w:val="Ligação de Internet"/>
    <w:basedOn w:val="DefaultParagraphFont"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TextodecomentrioCarter">
    <w:name w:val="Texto de comentário Caráter"/>
    <w:basedOn w:val="DefaultParagraphFont"/>
    <w:qFormat/>
    <w:rPr>
      <w:sz w:val="20"/>
      <w:szCs w:val="20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TextodebaloCarter">
    <w:name w:val="Texto de balão Caráter"/>
    <w:basedOn w:val="DefaultParagraphFont"/>
    <w:qFormat/>
    <w:rPr>
      <w:rFonts w:ascii="Segoe UI" w:hAnsi="Segoe UI" w:cs="Segoe UI"/>
      <w:sz w:val="18"/>
      <w:szCs w:val="18"/>
    </w:rPr>
  </w:style>
  <w:style w:type="character" w:customStyle="1" w:styleId="AvanodecorpodetextoCarter">
    <w:name w:val="Avanço de corpo de texto Caráter"/>
    <w:basedOn w:val="DefaultParagraphFont"/>
    <w:qFormat/>
    <w:rPr>
      <w:rFonts w:ascii="Times New Roman" w:hAnsi="Times New Roman" w:cs="Times New Roman"/>
      <w:sz w:val="24"/>
      <w:szCs w:val="24"/>
      <w:lang w:eastAsia="pt-PT" w:bidi="pt-PT"/>
    </w:rPr>
  </w:style>
  <w:style w:type="character" w:customStyle="1" w:styleId="AssuntodecomentrioCarter">
    <w:name w:val="Assunto de comentário Caráter"/>
    <w:basedOn w:val="TextodecomentrioCarter"/>
    <w:qFormat/>
    <w:rPr>
      <w:b/>
      <w:bCs/>
      <w:sz w:val="20"/>
      <w:szCs w:val="20"/>
    </w:rPr>
  </w:style>
  <w:style w:type="character" w:customStyle="1" w:styleId="ListLabel1">
    <w:name w:val="ListLabel 1"/>
    <w:qFormat/>
    <w:rPr>
      <w:rFonts w:ascii="Verdana" w:eastAsia="Calibri" w:hAnsi="Verdana" w:cs="DejaVu Sans"/>
      <w:sz w:val="20"/>
    </w:rPr>
  </w:style>
  <w:style w:type="character" w:customStyle="1" w:styleId="ListLabel2">
    <w:name w:val="ListLabel 2"/>
    <w:qFormat/>
    <w:rPr>
      <w:rFonts w:ascii="Verdana" w:eastAsia="Calibri" w:hAnsi="Verdana" w:cs="DejaVu Sans"/>
      <w:sz w:val="20"/>
      <w:szCs w:val="20"/>
      <w:highlight w:val="yellow"/>
      <w:lang w:eastAsia="en-US"/>
    </w:rPr>
  </w:style>
  <w:style w:type="character" w:customStyle="1" w:styleId="ListLabel3">
    <w:name w:val="ListLabel 3"/>
    <w:qFormat/>
    <w:rPr>
      <w:rFonts w:ascii="Verdana" w:hAnsi="Verdana"/>
      <w:color w:val="006633"/>
      <w:sz w:val="20"/>
      <w:szCs w:val="20"/>
      <w:highlight w:val="white"/>
    </w:rPr>
  </w:style>
  <w:style w:type="character" w:customStyle="1" w:styleId="ListLabel4">
    <w:name w:val="ListLabel 4"/>
    <w:qFormat/>
    <w:rPr>
      <w:rFonts w:ascii="Verdana" w:eastAsia="Calibri" w:hAnsi="Verdana" w:cs="DejaVu Sans"/>
      <w:sz w:val="20"/>
    </w:rPr>
  </w:style>
  <w:style w:type="character" w:customStyle="1" w:styleId="ListLabel5">
    <w:name w:val="ListLabel 5"/>
    <w:qFormat/>
    <w:rPr>
      <w:rFonts w:ascii="Verdana" w:eastAsia="Calibri" w:hAnsi="Verdana" w:cs="DejaVu Sans"/>
      <w:sz w:val="20"/>
      <w:szCs w:val="20"/>
      <w:highlight w:val="yellow"/>
      <w:lang w:eastAsia="en-US"/>
    </w:rPr>
  </w:style>
  <w:style w:type="character" w:customStyle="1" w:styleId="ListLabel6">
    <w:name w:val="ListLabel 6"/>
    <w:qFormat/>
    <w:rPr>
      <w:rFonts w:ascii="Verdana" w:hAnsi="Verdana"/>
      <w:color w:val="006633"/>
      <w:sz w:val="20"/>
      <w:szCs w:val="20"/>
      <w:highlight w:val="white"/>
    </w:rPr>
  </w:style>
  <w:style w:type="character" w:styleId="Emphasis">
    <w:name w:val="Emphasis"/>
    <w:qFormat/>
    <w:rPr>
      <w:i/>
      <w:iCs/>
    </w:rPr>
  </w:style>
  <w:style w:type="character" w:customStyle="1" w:styleId="ListLabel7">
    <w:name w:val="ListLabel 7"/>
    <w:qFormat/>
    <w:rPr>
      <w:rFonts w:ascii="Verdana" w:eastAsia="Calibri" w:hAnsi="Verdana" w:cs="DejaVu Sans"/>
      <w:sz w:val="20"/>
    </w:rPr>
  </w:style>
  <w:style w:type="character" w:customStyle="1" w:styleId="ListLabel8">
    <w:name w:val="ListLabel 8"/>
    <w:qFormat/>
    <w:rPr>
      <w:rFonts w:ascii="Verdana" w:eastAsia="Calibri" w:hAnsi="Verdana"/>
      <w:sz w:val="20"/>
      <w:szCs w:val="20"/>
      <w:highlight w:val="yellow"/>
      <w:lang w:eastAsia="en-US"/>
    </w:rPr>
  </w:style>
  <w:style w:type="character" w:customStyle="1" w:styleId="ListLabel9">
    <w:name w:val="ListLabel 9"/>
    <w:qFormat/>
    <w:rPr>
      <w:rFonts w:ascii="Verdana" w:hAnsi="Verdana"/>
      <w:color w:val="006633"/>
      <w:sz w:val="20"/>
      <w:szCs w:val="20"/>
      <w:highlight w:val="white"/>
    </w:rPr>
  </w:style>
  <w:style w:type="paragraph" w:styleId="Title">
    <w:name w:val="Title"/>
    <w:basedOn w:val="Normal"/>
    <w:next w:val="BodyText"/>
    <w:qFormat/>
    <w:pPr>
      <w:keepNext/>
      <w:spacing w:before="24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ListParagraph">
    <w:name w:val="List Paragraph"/>
    <w:basedOn w:val="Normal"/>
    <w:link w:val="ListParagraphChar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spacing w:before="280" w:after="280" w:line="240" w:lineRule="auto"/>
    </w:pPr>
    <w:rPr>
      <w:rFonts w:ascii="Times New Roman" w:eastAsia="Times New Roman" w:hAnsi="Times New Roman" w:cs="Times New Roman"/>
      <w:lang w:eastAsia="pt-PT"/>
    </w:rPr>
  </w:style>
  <w:style w:type="paragraph" w:styleId="CommentText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pPr>
      <w:spacing w:before="240" w:after="240" w:line="480" w:lineRule="auto"/>
      <w:ind w:left="2160" w:hanging="720"/>
    </w:pPr>
    <w:rPr>
      <w:rFonts w:ascii="Times New Roman" w:hAnsi="Times New Roman" w:cs="Times New Roman"/>
      <w:lang w:eastAsia="pt-PT" w:bidi="pt-PT"/>
    </w:rPr>
  </w:style>
  <w:style w:type="paragraph" w:styleId="CommentSubject">
    <w:name w:val="annotation subject"/>
    <w:basedOn w:val="CommentText"/>
    <w:qFormat/>
    <w:rPr>
      <w:b/>
      <w:bCs/>
    </w:rPr>
  </w:style>
  <w:style w:type="paragraph" w:styleId="Revision">
    <w:name w:val="Revision"/>
    <w:qFormat/>
    <w:pPr>
      <w:overflowPunct w:val="0"/>
    </w:pPr>
    <w:rPr>
      <w:sz w:val="22"/>
    </w:rPr>
  </w:style>
  <w:style w:type="paragraph" w:customStyle="1" w:styleId="Contedodatabela">
    <w:name w:val="Conteúdo da tabela"/>
    <w:basedOn w:val="Normal"/>
    <w:qFormat/>
    <w:rsid w:val="009845FE"/>
    <w:pPr>
      <w:suppressLineNumbers/>
    </w:pPr>
    <w:rPr>
      <w:rFonts w:asciiTheme="minorHAnsi" w:hAnsiTheme="minorHAnsi"/>
    </w:rPr>
  </w:style>
  <w:style w:type="character" w:customStyle="1" w:styleId="nfaseacentuada">
    <w:name w:val="Ênfase acentuada"/>
    <w:qFormat/>
    <w:rsid w:val="00EC1940"/>
    <w:rPr>
      <w:b/>
      <w:bCs/>
    </w:rPr>
  </w:style>
  <w:style w:type="character" w:customStyle="1" w:styleId="ListParagraphChar">
    <w:name w:val="List Paragraph Char"/>
    <w:link w:val="ListParagraph"/>
    <w:uiPriority w:val="34"/>
    <w:rsid w:val="0037390A"/>
    <w:rPr>
      <w:sz w:val="22"/>
    </w:rPr>
  </w:style>
  <w:style w:type="paragraph" w:customStyle="1" w:styleId="CM1">
    <w:name w:val="CM1"/>
    <w:basedOn w:val="Normal"/>
    <w:next w:val="Normal"/>
    <w:uiPriority w:val="99"/>
    <w:rsid w:val="0054554D"/>
    <w:pPr>
      <w:autoSpaceDE w:val="0"/>
      <w:autoSpaceDN w:val="0"/>
      <w:adjustRightInd w:val="0"/>
      <w:spacing w:after="0" w:line="240" w:lineRule="auto"/>
    </w:pPr>
    <w:rPr>
      <w:rFonts w:ascii="EU Albertina" w:hAnsi="EU Albertina"/>
    </w:rPr>
  </w:style>
  <w:style w:type="paragraph" w:customStyle="1" w:styleId="CM3">
    <w:name w:val="CM3"/>
    <w:basedOn w:val="Normal"/>
    <w:next w:val="Normal"/>
    <w:uiPriority w:val="99"/>
    <w:rsid w:val="0054554D"/>
    <w:pPr>
      <w:autoSpaceDE w:val="0"/>
      <w:autoSpaceDN w:val="0"/>
      <w:adjustRightInd w:val="0"/>
      <w:spacing w:after="0" w:line="240" w:lineRule="auto"/>
    </w:pPr>
    <w:rPr>
      <w:rFonts w:ascii="EU Albertina" w:hAnsi="EU Albertina"/>
    </w:rPr>
  </w:style>
  <w:style w:type="character" w:customStyle="1" w:styleId="Heading1Char">
    <w:name w:val="Heading 1 Char"/>
    <w:basedOn w:val="DefaultParagraphFont"/>
    <w:link w:val="Heading1"/>
    <w:uiPriority w:val="9"/>
    <w:rsid w:val="00006360"/>
    <w:rPr>
      <w:rFonts w:ascii="Garamond" w:hAnsi="Garamond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5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5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02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1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69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51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88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1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70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728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83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126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462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412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1862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500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2993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0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e.pt/application/external/eurolex?06R19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</dc:creator>
  <dc:description/>
  <cp:lastModifiedBy>Dimitris Dimitriadis</cp:lastModifiedBy>
  <cp:revision>4</cp:revision>
  <cp:lastPrinted>2021-02-01T17:16:00Z</cp:lastPrinted>
  <dcterms:created xsi:type="dcterms:W3CDTF">2021-03-15T17:27:00Z</dcterms:created>
  <dcterms:modified xsi:type="dcterms:W3CDTF">2021-03-23T14:48:00Z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FileDoc_ClassificationNodeID">
    <vt:lpwstr/>
  </property>
  <property fmtid="{D5CDD505-2E9C-101B-9397-08002B2CF9AE}" pid="5" name="FileDoc_DocFileID">
    <vt:lpwstr>3700771</vt:lpwstr>
  </property>
  <property fmtid="{D5CDD505-2E9C-101B-9397-08002B2CF9AE}" pid="6" name="FileDoc_DocID">
    <vt:lpwstr>2627419</vt:lpwstr>
  </property>
  <property fmtid="{D5CDD505-2E9C-101B-9397-08002B2CF9AE}" pid="7" name="FileDoc_EntityID">
    <vt:lpwstr/>
  </property>
  <property fmtid="{D5CDD505-2E9C-101B-9397-08002B2CF9AE}" pid="8" name="FileDoc_ProcID">
    <vt:lpwstr/>
  </property>
  <property fmtid="{D5CDD505-2E9C-101B-9397-08002B2CF9AE}" pid="9" name="FileDoc_RecordType">
    <vt:lpwstr>DOCS</vt:lpwstr>
  </property>
  <property fmtid="{D5CDD505-2E9C-101B-9397-08002B2CF9AE}" pid="10" name="HyperlinksChanged">
    <vt:bool>false</vt:bool>
  </property>
  <property fmtid="{D5CDD505-2E9C-101B-9397-08002B2CF9AE}" pid="11" name="LinksUpToDate">
    <vt:bool>false</vt:bool>
  </property>
  <property fmtid="{D5CDD505-2E9C-101B-9397-08002B2CF9AE}" pid="12" name="ScaleCrop">
    <vt:bool>false</vt:bool>
  </property>
  <property fmtid="{D5CDD505-2E9C-101B-9397-08002B2CF9AE}" pid="13" name="ShareDoc">
    <vt:bool>false</vt:bool>
  </property>
</Properties>
</file>