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2E64E0" w14:textId="70350B55" w:rsidR="0094645D" w:rsidRDefault="0094645D">
      <w:pPr>
        <w:rPr>
          <w:rFonts w:ascii="Verdana" w:hAnsi="Verdana"/>
        </w:rPr>
      </w:pPr>
      <w:bookmarkStart w:id="0" w:name="_Hlk66377407"/>
    </w:p>
    <w:p w14:paraId="3E00B0EB" w14:textId="77777777" w:rsidR="00905D0B" w:rsidRPr="003F6B93" w:rsidRDefault="00905D0B">
      <w:pPr>
        <w:rPr>
          <w:rFonts w:ascii="Verdana" w:hAnsi="Verdana"/>
        </w:rPr>
      </w:pPr>
    </w:p>
    <w:p w14:paraId="73062A11" w14:textId="77777777" w:rsidR="007879A9" w:rsidRPr="003F6B93" w:rsidRDefault="007879A9">
      <w:pPr>
        <w:rPr>
          <w:rFonts w:ascii="Verdana" w:hAnsi="Verdana"/>
        </w:rPr>
      </w:pPr>
      <w:r>
        <w:rPr>
          <w:rFonts w:ascii="Verdana" w:hAnsi="Verdana"/>
        </w:rPr>
        <w:t>Preamble</w:t>
      </w:r>
    </w:p>
    <w:p w14:paraId="46759D2E" w14:textId="77777777" w:rsidR="00D77E05" w:rsidRDefault="00D77E05" w:rsidP="007C0F01">
      <w:pPr>
        <w:ind w:left="426"/>
        <w:jc w:val="both"/>
        <w:rPr>
          <w:rFonts w:ascii="Verdana" w:hAnsi="Verdana" w:cs="EU Albertina"/>
        </w:rPr>
      </w:pPr>
    </w:p>
    <w:p w14:paraId="291BCB5F" w14:textId="77777777" w:rsidR="00D77E05" w:rsidRDefault="00D77E05" w:rsidP="00036184">
      <w:pPr>
        <w:jc w:val="both"/>
        <w:rPr>
          <w:rFonts w:ascii="Verdana" w:hAnsi="Verdana" w:cs="EU Albertina"/>
        </w:rPr>
      </w:pPr>
      <w:proofErr w:type="gramStart"/>
      <w:r>
        <w:rPr>
          <w:rFonts w:ascii="Verdana" w:hAnsi="Verdana"/>
        </w:rPr>
        <w:t>In order to</w:t>
      </w:r>
      <w:proofErr w:type="gramEnd"/>
      <w:r>
        <w:rPr>
          <w:rFonts w:ascii="Verdana" w:hAnsi="Verdana"/>
        </w:rPr>
        <w:t xml:space="preserve"> determine whether, for the purposes of this Decree-Law, certain food containers are to be regarded as single-use plastic products, the tendency for them to become waste due to their volume or size, especially with regard to individual servings, plays a decisive role. In this follow-up, and </w:t>
      </w:r>
      <w:proofErr w:type="gramStart"/>
      <w:r>
        <w:rPr>
          <w:rFonts w:ascii="Verdana" w:hAnsi="Verdana"/>
        </w:rPr>
        <w:t>in order to</w:t>
      </w:r>
      <w:proofErr w:type="gramEnd"/>
      <w:r>
        <w:rPr>
          <w:rFonts w:ascii="Verdana" w:hAnsi="Verdana"/>
        </w:rPr>
        <w:t xml:space="preserve"> harmonise with the assumptions made in the single European market, account is taken of the considerations given by the guides and regulations specifically produced on this subject by the European Commission, provided for in Directive (EU) 2019/904 of the European Parliament and of the Council of 5 June 2019 on the reduction of the impact of certain products on the environment. </w:t>
      </w:r>
    </w:p>
    <w:p w14:paraId="4344E981" w14:textId="77777777" w:rsidR="007C0F01" w:rsidRPr="007C0F01" w:rsidRDefault="007C0F01" w:rsidP="00036184">
      <w:pPr>
        <w:jc w:val="both"/>
        <w:rPr>
          <w:rFonts w:ascii="Verdana" w:hAnsi="Verdana" w:cs="EU Albertina"/>
        </w:rPr>
      </w:pPr>
      <w:r>
        <w:rPr>
          <w:rFonts w:ascii="Verdana" w:hAnsi="Verdana"/>
        </w:rPr>
        <w:t xml:space="preserve">Examples of food containers that should be considered single-use plastic products for the purposes of this Decree-Law are containers for fast food or boxes for meals such as sandwiches, </w:t>
      </w:r>
      <w:r>
        <w:rPr>
          <w:rFonts w:ascii="Verdana" w:hAnsi="Verdana"/>
          <w:i/>
          <w:iCs/>
        </w:rPr>
        <w:t>wraps</w:t>
      </w:r>
      <w:r>
        <w:rPr>
          <w:rFonts w:ascii="Verdana" w:hAnsi="Verdana"/>
        </w:rPr>
        <w:t xml:space="preserve"> and salads, containing hot or cold food, and containers for fresh or processed foods that do not require further preparation, such as fruit, </w:t>
      </w:r>
      <w:proofErr w:type="gramStart"/>
      <w:r>
        <w:rPr>
          <w:rFonts w:ascii="Verdana" w:hAnsi="Verdana"/>
        </w:rPr>
        <w:t>vegetables</w:t>
      </w:r>
      <w:proofErr w:type="gramEnd"/>
      <w:r>
        <w:rPr>
          <w:rFonts w:ascii="Verdana" w:hAnsi="Verdana"/>
        </w:rPr>
        <w:t xml:space="preserve"> or desserts. Examples of food containers that should not be considered single-use plastic products for the purposes of this Directive are food containers sold containing dry or cold foodstuffs that require more preparation, containers containing more than one individual serving of food and food containers sized for an individual serving and sold in more than one unit.</w:t>
      </w:r>
    </w:p>
    <w:p w14:paraId="061F5D98" w14:textId="77777777" w:rsidR="007C0F01" w:rsidRDefault="007C0F01" w:rsidP="00036184">
      <w:pPr>
        <w:jc w:val="both"/>
        <w:rPr>
          <w:rFonts w:ascii="Verdana" w:hAnsi="Verdana" w:cs="EU Albertina"/>
        </w:rPr>
      </w:pPr>
      <w:r>
        <w:rPr>
          <w:rFonts w:ascii="Verdana" w:hAnsi="Verdana"/>
        </w:rPr>
        <w:t xml:space="preserve">Examples of beverage containers that should be considered single-use plastic products are bottles for beverages or composite beverage packaging used for beer, wine, water, liquid refreshments, juices and nectars, instant </w:t>
      </w:r>
      <w:proofErr w:type="gramStart"/>
      <w:r>
        <w:rPr>
          <w:rFonts w:ascii="Verdana" w:hAnsi="Verdana"/>
        </w:rPr>
        <w:t>drinks</w:t>
      </w:r>
      <w:proofErr w:type="gramEnd"/>
      <w:r>
        <w:rPr>
          <w:rFonts w:ascii="Verdana" w:hAnsi="Verdana"/>
        </w:rPr>
        <w:t xml:space="preserve"> or milk, but not cups for beverages as these are a separate category of single-use plastic products for the purposes of this Decree-Law.</w:t>
      </w:r>
    </w:p>
    <w:p w14:paraId="711CCE6E" w14:textId="77777777" w:rsidR="00036184" w:rsidRPr="00036184" w:rsidRDefault="00036184" w:rsidP="00036184">
      <w:pPr>
        <w:jc w:val="both"/>
        <w:rPr>
          <w:rFonts w:ascii="Verdana" w:hAnsi="Verdana"/>
        </w:rPr>
      </w:pPr>
      <w:r>
        <w:rPr>
          <w:rFonts w:ascii="Verdana" w:hAnsi="Verdana"/>
        </w:rPr>
        <w:t xml:space="preserve">This Decree-Law lays down measures to prevent and reduce the impact of certain single-use plastic products and oxo-degradable plastic products on the environment, particularly on the aquatic environment, and on human health, as well as promoting the transition to a circular economy with innovative and sustainable business models, </w:t>
      </w:r>
      <w:proofErr w:type="gramStart"/>
      <w:r>
        <w:rPr>
          <w:rFonts w:ascii="Verdana" w:hAnsi="Verdana"/>
        </w:rPr>
        <w:t>products</w:t>
      </w:r>
      <w:proofErr w:type="gramEnd"/>
      <w:r>
        <w:rPr>
          <w:rFonts w:ascii="Verdana" w:hAnsi="Verdana"/>
        </w:rPr>
        <w:t xml:space="preserve"> and materials, thus also contributing to the efficient functioning of the internal market.</w:t>
      </w:r>
    </w:p>
    <w:p w14:paraId="79283FBA" w14:textId="76F47710" w:rsidR="00036184" w:rsidRDefault="00036184" w:rsidP="00036184">
      <w:pPr>
        <w:jc w:val="both"/>
        <w:rPr>
          <w:rFonts w:ascii="Verdana" w:hAnsi="Verdana"/>
        </w:rPr>
      </w:pPr>
      <w:r>
        <w:rPr>
          <w:rFonts w:ascii="Verdana" w:hAnsi="Verdana"/>
        </w:rPr>
        <w:lastRenderedPageBreak/>
        <w:t>It also promotes circular approaches that prioritise re-usable products and sustainable and non-toxic re-use systems rather than single-use products, primarily with a view to reducing the quantity of waste generated.</w:t>
      </w:r>
    </w:p>
    <w:p w14:paraId="2F500026" w14:textId="4E799E84" w:rsidR="00805BAF" w:rsidRPr="00036184" w:rsidRDefault="005D508B" w:rsidP="00036184">
      <w:pPr>
        <w:jc w:val="both"/>
        <w:rPr>
          <w:rFonts w:ascii="Verdana" w:hAnsi="Verdana"/>
        </w:rPr>
      </w:pPr>
      <w:r>
        <w:rPr>
          <w:rFonts w:ascii="Verdana" w:hAnsi="Verdana"/>
        </w:rPr>
        <w:t xml:space="preserve">This Decree-Law was the subject of the procedure for the provision of information in the field of technical regulations and of rules on Information Society services laid down in </w:t>
      </w:r>
      <w:r>
        <w:rPr>
          <w:rFonts w:ascii="Verdana" w:hAnsi="Verdana"/>
          <w:sz w:val="21"/>
        </w:rPr>
        <w:t>Directive (EU) 2015/1535 of the European Parliament of the Council of 9 September 2015.</w:t>
      </w:r>
    </w:p>
    <w:p w14:paraId="31EF75EF" w14:textId="77777777" w:rsidR="003B7AD3" w:rsidRPr="00953C37" w:rsidRDefault="003B7AD3" w:rsidP="003B7AD3">
      <w:pPr>
        <w:jc w:val="both"/>
        <w:rPr>
          <w:rFonts w:ascii="Verdana" w:hAnsi="Verdana"/>
        </w:rPr>
      </w:pPr>
      <w:r>
        <w:rPr>
          <w:rFonts w:ascii="Verdana" w:hAnsi="Verdana"/>
        </w:rPr>
        <w:t>This Decree-Law has been subject to public consultation between xxx and xxx and is subject to the information procedure in the field of technical regulations and rules on information society services provided for in Directive (EU) 2015/1535 of the European Parliament and of the Council of 9 September 2015.</w:t>
      </w:r>
    </w:p>
    <w:p w14:paraId="708F4727" w14:textId="0CEE0C54" w:rsidR="003B7AD3" w:rsidRPr="0030214C" w:rsidRDefault="003B7AD3" w:rsidP="003B7AD3">
      <w:pPr>
        <w:jc w:val="both"/>
        <w:rPr>
          <w:rFonts w:ascii="Verdana" w:hAnsi="Verdana"/>
        </w:rPr>
      </w:pPr>
      <w:r>
        <w:rPr>
          <w:rFonts w:ascii="Verdana" w:hAnsi="Verdana"/>
        </w:rPr>
        <w:t>The self-governing bodies of the Autonomous Regions were heard.</w:t>
      </w:r>
    </w:p>
    <w:p w14:paraId="4FAC9822" w14:textId="77777777" w:rsidR="003B7AD3" w:rsidRDefault="003B7AD3" w:rsidP="003B7AD3">
      <w:pPr>
        <w:jc w:val="both"/>
        <w:rPr>
          <w:rFonts w:ascii="Verdana" w:hAnsi="Verdana"/>
        </w:rPr>
      </w:pPr>
    </w:p>
    <w:p w14:paraId="6C6BB1FC" w14:textId="77777777" w:rsidR="00AA1E2E" w:rsidRPr="003B7AD3" w:rsidRDefault="00AA1E2E" w:rsidP="003B7AD3">
      <w:pPr>
        <w:jc w:val="both"/>
        <w:rPr>
          <w:rFonts w:ascii="Verdana" w:hAnsi="Verdana"/>
        </w:rPr>
      </w:pPr>
    </w:p>
    <w:p w14:paraId="4F6C7BF1" w14:textId="7B122C32" w:rsidR="00A172F1" w:rsidRPr="00C63B34" w:rsidRDefault="00975B2D" w:rsidP="00513C36">
      <w:pPr>
        <w:pStyle w:val="Heading1"/>
        <w:ind w:firstLine="900"/>
      </w:pPr>
      <w:r>
        <w:br/>
        <w:t>General provisions and principles</w:t>
      </w:r>
    </w:p>
    <w:p w14:paraId="7BDDF5B7" w14:textId="0ADC805D" w:rsidR="00A172F1" w:rsidRPr="00C63B34" w:rsidRDefault="009870C4" w:rsidP="009870C4">
      <w:pPr>
        <w:pStyle w:val="Heading2"/>
        <w:numPr>
          <w:ilvl w:val="0"/>
          <w:numId w:val="0"/>
        </w:numPr>
        <w:tabs>
          <w:tab w:val="clear" w:pos="1701"/>
          <w:tab w:val="left" w:pos="180"/>
        </w:tabs>
        <w:ind w:left="426"/>
      </w:pPr>
      <w:r>
        <w:t>Article 1</w:t>
      </w:r>
      <w:r w:rsidR="00975B2D">
        <w:br/>
        <w:t>Subject Matter</w:t>
      </w:r>
    </w:p>
    <w:p w14:paraId="1B889421" w14:textId="77777777" w:rsidR="00036184" w:rsidRPr="00036184" w:rsidRDefault="00036184" w:rsidP="007E04D1">
      <w:pPr>
        <w:jc w:val="both"/>
        <w:rPr>
          <w:rFonts w:ascii="Verdana" w:hAnsi="Verdana"/>
        </w:rPr>
      </w:pPr>
    </w:p>
    <w:p w14:paraId="6C49FEDE" w14:textId="77777777" w:rsidR="00BC18BB" w:rsidRDefault="002F5931" w:rsidP="00C525D6">
      <w:pPr>
        <w:pStyle w:val="ListParagraph"/>
        <w:numPr>
          <w:ilvl w:val="0"/>
          <w:numId w:val="11"/>
        </w:numPr>
        <w:jc w:val="both"/>
        <w:rPr>
          <w:rFonts w:ascii="Verdana" w:hAnsi="Verdana"/>
        </w:rPr>
      </w:pPr>
      <w:r>
        <w:rPr>
          <w:rFonts w:ascii="Verdana" w:hAnsi="Verdana"/>
        </w:rPr>
        <w:t>This Decree-Law transposes into national law Directive (EU) 2019/904 of the European Parliament and of the Council of 5 June 2019 on the reduction of the impact of certain plastic products on the environment.</w:t>
      </w:r>
    </w:p>
    <w:p w14:paraId="371AD20F" w14:textId="01DADD23" w:rsidR="00AA1E2E" w:rsidRPr="00BC18BB" w:rsidRDefault="009E5334" w:rsidP="00C525D6">
      <w:pPr>
        <w:pStyle w:val="ListParagraph"/>
        <w:numPr>
          <w:ilvl w:val="0"/>
          <w:numId w:val="11"/>
        </w:numPr>
        <w:jc w:val="both"/>
        <w:rPr>
          <w:rFonts w:ascii="Verdana" w:hAnsi="Verdana"/>
        </w:rPr>
      </w:pPr>
      <w:r>
        <w:rPr>
          <w:rFonts w:ascii="Verdana" w:hAnsi="Verdana"/>
        </w:rPr>
        <w:t xml:space="preserve">This Decree-Law also makes the first amendment to Law No. 77/2019 of September 2, which lays down the obligation to make available to consumers alternatives to the distribution of ultralight plastic bags and plastic cuvettes at the points of sale of bread, </w:t>
      </w:r>
      <w:proofErr w:type="gramStart"/>
      <w:r>
        <w:rPr>
          <w:rFonts w:ascii="Verdana" w:hAnsi="Verdana"/>
        </w:rPr>
        <w:t>fruit</w:t>
      </w:r>
      <w:proofErr w:type="gramEnd"/>
      <w:r>
        <w:rPr>
          <w:rFonts w:ascii="Verdana" w:hAnsi="Verdana"/>
        </w:rPr>
        <w:t xml:space="preserve"> and vegetables.</w:t>
      </w:r>
    </w:p>
    <w:p w14:paraId="392CD894" w14:textId="77777777" w:rsidR="00A756A5" w:rsidRPr="00A756A5" w:rsidRDefault="00A756A5" w:rsidP="00A756A5">
      <w:pPr>
        <w:pStyle w:val="ListParagraph"/>
        <w:jc w:val="both"/>
        <w:rPr>
          <w:rFonts w:ascii="Verdana" w:hAnsi="Verdana"/>
        </w:rPr>
      </w:pPr>
    </w:p>
    <w:p w14:paraId="76115829" w14:textId="55137B83" w:rsidR="007879A9" w:rsidRPr="00C63B34" w:rsidRDefault="004D1142" w:rsidP="009870C4">
      <w:pPr>
        <w:pStyle w:val="Heading2"/>
        <w:numPr>
          <w:ilvl w:val="0"/>
          <w:numId w:val="0"/>
        </w:numPr>
        <w:tabs>
          <w:tab w:val="clear" w:pos="1701"/>
          <w:tab w:val="left" w:pos="1276"/>
        </w:tabs>
        <w:ind w:left="426"/>
      </w:pPr>
      <w:r>
        <w:t>Article 2</w:t>
      </w:r>
      <w:r w:rsidR="00036184">
        <w:br/>
      </w:r>
      <w:bookmarkStart w:id="1" w:name="_Ref66177877"/>
      <w:r w:rsidR="00036184">
        <w:t>Scope</w:t>
      </w:r>
      <w:bookmarkEnd w:id="1"/>
    </w:p>
    <w:p w14:paraId="640E56C9" w14:textId="77777777" w:rsidR="00036184" w:rsidRPr="00036184" w:rsidRDefault="00036184" w:rsidP="00036184">
      <w:pPr>
        <w:rPr>
          <w:rFonts w:ascii="Verdana" w:hAnsi="Verdana"/>
        </w:rPr>
      </w:pPr>
    </w:p>
    <w:p w14:paraId="31FE437E" w14:textId="3B1BD210" w:rsidR="008716CA" w:rsidRDefault="00A172F1" w:rsidP="00C525D6">
      <w:pPr>
        <w:pStyle w:val="ListParagraph"/>
        <w:numPr>
          <w:ilvl w:val="0"/>
          <w:numId w:val="18"/>
        </w:numPr>
        <w:jc w:val="both"/>
        <w:rPr>
          <w:rFonts w:ascii="Verdana" w:hAnsi="Verdana"/>
        </w:rPr>
      </w:pPr>
      <w:r>
        <w:lastRenderedPageBreak/>
        <w:t>This Regulation applies to single-use plastic products listed in Annex I, products made of oxo-degradable plastic and fishing gear containing plastics.</w:t>
      </w:r>
    </w:p>
    <w:p w14:paraId="3AC71414" w14:textId="31EFFBEF" w:rsidR="008716CA" w:rsidRDefault="008716CA" w:rsidP="00C525D6">
      <w:pPr>
        <w:pStyle w:val="ListParagraph"/>
        <w:numPr>
          <w:ilvl w:val="0"/>
          <w:numId w:val="18"/>
        </w:numPr>
        <w:jc w:val="both"/>
        <w:rPr>
          <w:rFonts w:ascii="Verdana" w:hAnsi="Verdana"/>
        </w:rPr>
      </w:pPr>
      <w:proofErr w:type="gramStart"/>
      <w:r>
        <w:rPr>
          <w:rFonts w:ascii="Verdana" w:hAnsi="Verdana"/>
        </w:rPr>
        <w:t>In order to</w:t>
      </w:r>
      <w:proofErr w:type="gramEnd"/>
      <w:r>
        <w:rPr>
          <w:rFonts w:ascii="Verdana" w:hAnsi="Verdana"/>
        </w:rPr>
        <w:t xml:space="preserve"> harmonise the application of this legislation on the European Union market, and clarify the scope provided for in the previous paragraph, the rules set out in the Guideline on the Implementation of Directive (EU) 2019/904 of the European Parliament and of the Council of 5 June 2019 published by the European Commission and made available on the APA website, I.P, have been followed.</w:t>
      </w:r>
    </w:p>
    <w:p w14:paraId="5EA0CD13" w14:textId="5455FE8B" w:rsidR="008A5EE0" w:rsidRPr="008716CA" w:rsidRDefault="008A5EE0" w:rsidP="00C525D6">
      <w:pPr>
        <w:pStyle w:val="ListParagraph"/>
        <w:numPr>
          <w:ilvl w:val="0"/>
          <w:numId w:val="18"/>
        </w:numPr>
        <w:jc w:val="both"/>
        <w:rPr>
          <w:rFonts w:ascii="Verdana" w:hAnsi="Verdana"/>
        </w:rPr>
      </w:pPr>
      <w:r>
        <w:t xml:space="preserve">This Regulation also applies to </w:t>
      </w:r>
      <w:bookmarkStart w:id="2" w:name="_Hlk66395090"/>
      <w:r>
        <w:t>single-use packaging made of materials of any kind.</w:t>
      </w:r>
      <w:r>
        <w:rPr>
          <w:rFonts w:ascii="Verdana" w:hAnsi="Verdana"/>
        </w:rPr>
        <w:t xml:space="preserve"> </w:t>
      </w:r>
    </w:p>
    <w:bookmarkEnd w:id="2"/>
    <w:p w14:paraId="6F41DA9F" w14:textId="059CEE77" w:rsidR="007879A9" w:rsidRPr="003F6B93" w:rsidRDefault="00B46206" w:rsidP="00C525D6">
      <w:pPr>
        <w:pStyle w:val="ListParagraph"/>
        <w:numPr>
          <w:ilvl w:val="0"/>
          <w:numId w:val="18"/>
        </w:numPr>
        <w:jc w:val="both"/>
        <w:rPr>
          <w:rFonts w:ascii="Verdana" w:hAnsi="Verdana"/>
        </w:rPr>
      </w:pPr>
      <w:r>
        <w:t xml:space="preserve">In the event of a conflict between this Decree-Law and Decree-Law No 152-D/2017 of 11 December, as amended and republished by </w:t>
      </w:r>
      <w:bookmarkStart w:id="3" w:name="_Hlk65346660"/>
      <w:r>
        <w:t>Decree-Law No 102-D/2020 of 10 December</w:t>
      </w:r>
      <w:bookmarkEnd w:id="3"/>
      <w:r>
        <w:t>, establishing the system for the management of specific waste streams (</w:t>
      </w:r>
      <w:proofErr w:type="spellStart"/>
      <w:r>
        <w:t>Unilex</w:t>
      </w:r>
      <w:proofErr w:type="spellEnd"/>
      <w:r>
        <w:t>), and/or the general system of waste management (GSWM), approved by Annex I to Decree-Law No 102-D/2020 of 10 December, this Decree shall prevail.</w:t>
      </w:r>
    </w:p>
    <w:p w14:paraId="4C6CF3E8" w14:textId="77777777" w:rsidR="00A172F1" w:rsidRPr="00A27EAE" w:rsidRDefault="00A172F1" w:rsidP="00A27EAE">
      <w:pPr>
        <w:pStyle w:val="ListParagraph"/>
        <w:shd w:val="clear" w:color="auto" w:fill="FFFFFF"/>
        <w:tabs>
          <w:tab w:val="left" w:pos="1134"/>
        </w:tabs>
        <w:spacing w:after="225" w:line="390" w:lineRule="atLeast"/>
        <w:ind w:left="284"/>
        <w:rPr>
          <w:rFonts w:ascii="Verdana" w:hAnsi="Verdana"/>
          <w:b/>
        </w:rPr>
      </w:pPr>
    </w:p>
    <w:p w14:paraId="57CBE0EB" w14:textId="0482498E" w:rsidR="00836720" w:rsidRPr="00C63B34" w:rsidRDefault="009870C4" w:rsidP="009870C4">
      <w:pPr>
        <w:pStyle w:val="Heading2"/>
        <w:numPr>
          <w:ilvl w:val="0"/>
          <w:numId w:val="0"/>
        </w:numPr>
        <w:tabs>
          <w:tab w:val="clear" w:pos="1701"/>
          <w:tab w:val="left" w:pos="1276"/>
        </w:tabs>
        <w:ind w:left="4050"/>
        <w:jc w:val="left"/>
      </w:pPr>
      <w:r>
        <w:t>Article 3</w:t>
      </w:r>
      <w:r w:rsidR="00F75E18">
        <w:br/>
        <w:t>Definitions</w:t>
      </w:r>
    </w:p>
    <w:p w14:paraId="4736A397" w14:textId="77777777" w:rsidR="00A27EAE" w:rsidRDefault="00A27EAE" w:rsidP="007E04D1">
      <w:pPr>
        <w:jc w:val="both"/>
        <w:rPr>
          <w:rFonts w:ascii="Verdana" w:hAnsi="Verdana"/>
        </w:rPr>
      </w:pPr>
    </w:p>
    <w:p w14:paraId="11A02850" w14:textId="3CB0841A" w:rsidR="008A723D" w:rsidRPr="003F6B93" w:rsidRDefault="008A723D" w:rsidP="00C525D6">
      <w:pPr>
        <w:pStyle w:val="ListParagraph"/>
        <w:numPr>
          <w:ilvl w:val="0"/>
          <w:numId w:val="17"/>
        </w:numPr>
        <w:jc w:val="both"/>
        <w:rPr>
          <w:rFonts w:ascii="Verdana" w:hAnsi="Verdana"/>
        </w:rPr>
      </w:pPr>
      <w:r>
        <w:rPr>
          <w:rFonts w:ascii="Verdana" w:hAnsi="Verdana"/>
        </w:rPr>
        <w:t xml:space="preserve">For the purposes of this Decree-Law, the following definitions shall apply: </w:t>
      </w:r>
    </w:p>
    <w:p w14:paraId="0D9166E3" w14:textId="50D2FAF7" w:rsidR="008A723D" w:rsidRDefault="008A723D" w:rsidP="00F7675E">
      <w:pPr>
        <w:pStyle w:val="ListParagraph"/>
        <w:numPr>
          <w:ilvl w:val="0"/>
          <w:numId w:val="1"/>
        </w:numPr>
        <w:jc w:val="both"/>
        <w:rPr>
          <w:rFonts w:ascii="Verdana" w:hAnsi="Verdana"/>
        </w:rPr>
      </w:pPr>
      <w:r>
        <w:rPr>
          <w:rFonts w:ascii="Verdana" w:hAnsi="Verdana"/>
        </w:rPr>
        <w:t xml:space="preserve">‘Fishing gear’ means any article or equipment used in fishing or aquaculture to target, </w:t>
      </w:r>
      <w:proofErr w:type="gramStart"/>
      <w:r>
        <w:rPr>
          <w:rFonts w:ascii="Verdana" w:hAnsi="Verdana"/>
        </w:rPr>
        <w:t>catch</w:t>
      </w:r>
      <w:proofErr w:type="gramEnd"/>
      <w:r>
        <w:rPr>
          <w:rFonts w:ascii="Verdana" w:hAnsi="Verdana"/>
        </w:rPr>
        <w:t xml:space="preserve"> or rear marine biological resources or that is floating on the sea surface, and is deployed with the objective of attracting and capturing or of rearing such marine biological resources; </w:t>
      </w:r>
    </w:p>
    <w:p w14:paraId="48F2B6B0" w14:textId="7290CA2C" w:rsidR="006336DE" w:rsidRDefault="006336DE" w:rsidP="00F7675E">
      <w:pPr>
        <w:pStyle w:val="ListParagraph"/>
        <w:numPr>
          <w:ilvl w:val="0"/>
          <w:numId w:val="1"/>
        </w:numPr>
        <w:jc w:val="both"/>
        <w:rPr>
          <w:rFonts w:ascii="Verdana" w:hAnsi="Verdana"/>
        </w:rPr>
      </w:pPr>
      <w:r>
        <w:rPr>
          <w:rFonts w:ascii="Verdana" w:hAnsi="Verdana"/>
        </w:rPr>
        <w:t xml:space="preserve">‘Retail trade activity’ means any re-sale activity to a final consumer, including professionals and institutions, of new or used goods, as they are acquired, or after carrying out certain retail-related actions such as selection, </w:t>
      </w:r>
      <w:proofErr w:type="gramStart"/>
      <w:r>
        <w:rPr>
          <w:rFonts w:ascii="Verdana" w:hAnsi="Verdana"/>
        </w:rPr>
        <w:t>classification</w:t>
      </w:r>
      <w:proofErr w:type="gramEnd"/>
      <w:r>
        <w:rPr>
          <w:rFonts w:ascii="Verdana" w:hAnsi="Verdana"/>
        </w:rPr>
        <w:t xml:space="preserve"> or packaging, undertaken inside or outside trade establishments, in fairs, municipal markets, itinerant trade, at distance, at home and through vending machines;</w:t>
      </w:r>
    </w:p>
    <w:p w14:paraId="37A90115" w14:textId="154AA067" w:rsidR="006336DE" w:rsidRPr="00E0517F" w:rsidRDefault="006336DE" w:rsidP="00F7675E">
      <w:pPr>
        <w:pStyle w:val="ListParagraph"/>
        <w:numPr>
          <w:ilvl w:val="0"/>
          <w:numId w:val="1"/>
        </w:numPr>
        <w:jc w:val="both"/>
        <w:rPr>
          <w:rFonts w:ascii="Verdana" w:hAnsi="Verdana"/>
        </w:rPr>
      </w:pPr>
      <w:r>
        <w:rPr>
          <w:rFonts w:ascii="Verdana" w:hAnsi="Verdana"/>
        </w:rPr>
        <w:t>‘Non-seated restaurant or beverage serving activities’ means the provision of catering services or beverages of a sporadic nature duly announced to the public, irrespective of whether it is provided in fixed facilities or portable facilities located at venues for shows, fairs, exhibitions or other spaces;</w:t>
      </w:r>
    </w:p>
    <w:p w14:paraId="614A6421" w14:textId="74BD997C" w:rsidR="006336DE" w:rsidRPr="00E0517F" w:rsidRDefault="006336DE" w:rsidP="00F7675E">
      <w:pPr>
        <w:pStyle w:val="ListParagraph"/>
        <w:numPr>
          <w:ilvl w:val="0"/>
          <w:numId w:val="1"/>
        </w:numPr>
        <w:jc w:val="both"/>
        <w:rPr>
          <w:rFonts w:ascii="Verdana" w:hAnsi="Verdana"/>
        </w:rPr>
      </w:pPr>
      <w:r>
        <w:rPr>
          <w:rFonts w:ascii="Verdana" w:hAnsi="Verdana"/>
        </w:rPr>
        <w:lastRenderedPageBreak/>
        <w:t xml:space="preserve">‘Catering or beverage establishment’ means establishments whose activities are intended to provide food or beverages and café services inside or outside of the establishment itself, regardless of its name; </w:t>
      </w:r>
    </w:p>
    <w:p w14:paraId="66433F7D" w14:textId="17EDCD7E" w:rsidR="00B46206" w:rsidRPr="00FD46D9" w:rsidRDefault="00036184" w:rsidP="00F7675E">
      <w:pPr>
        <w:pStyle w:val="ListParagraph"/>
        <w:numPr>
          <w:ilvl w:val="0"/>
          <w:numId w:val="1"/>
        </w:numPr>
        <w:jc w:val="both"/>
        <w:rPr>
          <w:rFonts w:ascii="Verdana" w:hAnsi="Verdana"/>
        </w:rPr>
      </w:pPr>
      <w:r>
        <w:rPr>
          <w:rFonts w:ascii="Verdana" w:hAnsi="Verdana"/>
        </w:rPr>
        <w:t>‘Placing on the market’ means the first making available of a product on the domestic market as a professional activity;</w:t>
      </w:r>
    </w:p>
    <w:p w14:paraId="7D04A45F" w14:textId="3D4E5D72" w:rsidR="00EC283C" w:rsidRDefault="00EC283C" w:rsidP="00F7675E">
      <w:pPr>
        <w:pStyle w:val="ListParagraph"/>
        <w:numPr>
          <w:ilvl w:val="0"/>
          <w:numId w:val="1"/>
        </w:numPr>
        <w:jc w:val="both"/>
        <w:rPr>
          <w:rFonts w:ascii="Verdana" w:hAnsi="Verdana"/>
        </w:rPr>
      </w:pPr>
      <w:r>
        <w:rPr>
          <w:rFonts w:ascii="Verdana" w:hAnsi="Verdana"/>
        </w:rPr>
        <w:t xml:space="preserve">‘Making available on the market’ means any supply of a product for distribution, consumption or use on the market in Portugal, </w:t>
      </w:r>
      <w:proofErr w:type="gramStart"/>
      <w:r>
        <w:rPr>
          <w:rFonts w:ascii="Verdana" w:hAnsi="Verdana"/>
        </w:rPr>
        <w:t>in the course of</w:t>
      </w:r>
      <w:proofErr w:type="gramEnd"/>
      <w:r>
        <w:rPr>
          <w:rFonts w:ascii="Verdana" w:hAnsi="Verdana"/>
        </w:rPr>
        <w:t xml:space="preserve"> a commercial activity, in return for payment or free of charge;</w:t>
      </w:r>
    </w:p>
    <w:p w14:paraId="3CE3DCF0" w14:textId="77777777" w:rsidR="00BC18BB" w:rsidRDefault="00285B71" w:rsidP="00F7675E">
      <w:pPr>
        <w:pStyle w:val="ListParagraph"/>
        <w:numPr>
          <w:ilvl w:val="0"/>
          <w:numId w:val="1"/>
        </w:numPr>
        <w:jc w:val="both"/>
        <w:rPr>
          <w:rFonts w:ascii="Verdana" w:hAnsi="Verdana"/>
        </w:rPr>
      </w:pPr>
      <w:r>
        <w:rPr>
          <w:rFonts w:ascii="Verdana" w:hAnsi="Verdana"/>
        </w:rPr>
        <w:t xml:space="preserve">‘Packer’ means a packer as defined in Article 3(1)(q) of </w:t>
      </w:r>
      <w:proofErr w:type="spellStart"/>
      <w:r>
        <w:rPr>
          <w:rFonts w:ascii="Verdana" w:hAnsi="Verdana"/>
        </w:rPr>
        <w:t>Unilex</w:t>
      </w:r>
      <w:proofErr w:type="spellEnd"/>
      <w:r>
        <w:rPr>
          <w:rFonts w:ascii="Verdana" w:hAnsi="Verdana"/>
        </w:rPr>
        <w:t xml:space="preserve">; </w:t>
      </w:r>
    </w:p>
    <w:p w14:paraId="75FA7E25" w14:textId="77777777" w:rsidR="00BC18BB" w:rsidRDefault="003307FF" w:rsidP="00F7675E">
      <w:pPr>
        <w:pStyle w:val="ListParagraph"/>
        <w:numPr>
          <w:ilvl w:val="0"/>
          <w:numId w:val="1"/>
        </w:numPr>
        <w:jc w:val="both"/>
        <w:rPr>
          <w:rFonts w:ascii="Verdana" w:hAnsi="Verdana"/>
        </w:rPr>
      </w:pPr>
      <w:r>
        <w:rPr>
          <w:rFonts w:ascii="Verdana" w:hAnsi="Verdana"/>
        </w:rPr>
        <w:t xml:space="preserve">‘Packaging’ means packaging as defined in Article 3(1)(r) of </w:t>
      </w:r>
      <w:proofErr w:type="spellStart"/>
      <w:r>
        <w:rPr>
          <w:rFonts w:ascii="Verdana" w:hAnsi="Verdana"/>
        </w:rPr>
        <w:t>Unilex</w:t>
      </w:r>
      <w:proofErr w:type="spellEnd"/>
      <w:r>
        <w:rPr>
          <w:rFonts w:ascii="Verdana" w:hAnsi="Verdana"/>
        </w:rPr>
        <w:t xml:space="preserve">; </w:t>
      </w:r>
    </w:p>
    <w:p w14:paraId="06F4B8DA" w14:textId="100831E2" w:rsidR="0091273F" w:rsidRPr="00BC18BB" w:rsidRDefault="0091273F" w:rsidP="00F7675E">
      <w:pPr>
        <w:pStyle w:val="ListParagraph"/>
        <w:numPr>
          <w:ilvl w:val="0"/>
          <w:numId w:val="1"/>
        </w:numPr>
        <w:jc w:val="both"/>
        <w:rPr>
          <w:rFonts w:ascii="Verdana" w:hAnsi="Verdana"/>
        </w:rPr>
      </w:pPr>
      <w:r>
        <w:rPr>
          <w:rFonts w:ascii="Verdana" w:hAnsi="Verdana"/>
        </w:rPr>
        <w:t xml:space="preserve">‘Single-use packaging’ means non-reusable or single-use packaging as defined in Article 3(1)(u) </w:t>
      </w:r>
      <w:proofErr w:type="spellStart"/>
      <w:r>
        <w:rPr>
          <w:rFonts w:ascii="Verdana" w:hAnsi="Verdana"/>
        </w:rPr>
        <w:t>Unilex</w:t>
      </w:r>
      <w:proofErr w:type="spellEnd"/>
      <w:r>
        <w:rPr>
          <w:rFonts w:ascii="Verdana" w:hAnsi="Verdana"/>
        </w:rPr>
        <w:t xml:space="preserve">; </w:t>
      </w:r>
    </w:p>
    <w:p w14:paraId="6165F5F7" w14:textId="6B369E32" w:rsidR="000F077F" w:rsidRDefault="000F077F" w:rsidP="00F7675E">
      <w:pPr>
        <w:pStyle w:val="ListParagraph"/>
        <w:numPr>
          <w:ilvl w:val="0"/>
          <w:numId w:val="1"/>
        </w:numPr>
        <w:jc w:val="both"/>
        <w:rPr>
          <w:rFonts w:ascii="Verdana" w:hAnsi="Verdana"/>
        </w:rPr>
      </w:pPr>
      <w:proofErr w:type="spellStart"/>
      <w:r>
        <w:rPr>
          <w:rFonts w:ascii="Verdana" w:hAnsi="Verdana"/>
        </w:rPr>
        <w:t>‘Re</w:t>
      </w:r>
      <w:proofErr w:type="spellEnd"/>
      <w:r>
        <w:rPr>
          <w:rFonts w:ascii="Verdana" w:hAnsi="Verdana"/>
        </w:rPr>
        <w:t xml:space="preserve">-usable packaging’ means re-usable packaging as defined in Article 3(1)(v) of </w:t>
      </w:r>
      <w:proofErr w:type="spellStart"/>
      <w:r>
        <w:rPr>
          <w:rFonts w:ascii="Verdana" w:hAnsi="Verdana"/>
        </w:rPr>
        <w:t>Unilex</w:t>
      </w:r>
      <w:proofErr w:type="spellEnd"/>
      <w:r>
        <w:rPr>
          <w:rFonts w:ascii="Verdana" w:hAnsi="Verdana"/>
        </w:rPr>
        <w:t xml:space="preserve">; </w:t>
      </w:r>
    </w:p>
    <w:p w14:paraId="0A6FE340" w14:textId="6089B47D" w:rsidR="00C73230" w:rsidRDefault="00C73230" w:rsidP="00F7675E">
      <w:pPr>
        <w:pStyle w:val="ListParagraph"/>
        <w:numPr>
          <w:ilvl w:val="0"/>
          <w:numId w:val="1"/>
        </w:numPr>
        <w:jc w:val="both"/>
        <w:rPr>
          <w:rFonts w:ascii="Verdana" w:hAnsi="Verdana"/>
        </w:rPr>
      </w:pPr>
      <w:proofErr w:type="spellStart"/>
      <w:r>
        <w:rPr>
          <w:rFonts w:ascii="Verdana" w:hAnsi="Verdana"/>
        </w:rPr>
        <w:t>‘Re</w:t>
      </w:r>
      <w:proofErr w:type="spellEnd"/>
      <w:r>
        <w:rPr>
          <w:rFonts w:ascii="Verdana" w:hAnsi="Verdana"/>
        </w:rPr>
        <w:t xml:space="preserve">-usable tableware’ means utensils or packaging used to serve and/or assist in the consumption of food or beverages which have been conceived, </w:t>
      </w:r>
      <w:proofErr w:type="gramStart"/>
      <w:r>
        <w:rPr>
          <w:rFonts w:ascii="Verdana" w:hAnsi="Verdana"/>
        </w:rPr>
        <w:t>designed</w:t>
      </w:r>
      <w:proofErr w:type="gramEnd"/>
      <w:r>
        <w:rPr>
          <w:rFonts w:ascii="Verdana" w:hAnsi="Verdana"/>
        </w:rPr>
        <w:t xml:space="preserve"> and placed on the market to accomplish within their lifespan multiple trips or rotations by being refilled or re-used for the same purpose for which they were conceived;</w:t>
      </w:r>
    </w:p>
    <w:p w14:paraId="5A147C8B" w14:textId="62F6B98B" w:rsidR="003307FF" w:rsidRPr="003F6B93" w:rsidRDefault="003307FF" w:rsidP="00F7675E">
      <w:pPr>
        <w:pStyle w:val="ListParagraph"/>
        <w:numPr>
          <w:ilvl w:val="0"/>
          <w:numId w:val="1"/>
        </w:numPr>
        <w:jc w:val="both"/>
        <w:rPr>
          <w:rFonts w:ascii="Verdana" w:hAnsi="Verdana"/>
        </w:rPr>
      </w:pPr>
      <w:r>
        <w:rPr>
          <w:rFonts w:ascii="Verdana" w:hAnsi="Verdana"/>
        </w:rPr>
        <w:t>‘Port reception facilities’ means port reception facilities as defined in Article 3(1)(m) of Decree-Law No 102/2020 of 9 December;</w:t>
      </w:r>
    </w:p>
    <w:p w14:paraId="420091DC" w14:textId="1E1FA71C" w:rsidR="00EC283C" w:rsidRDefault="00EC283C" w:rsidP="00F7675E">
      <w:pPr>
        <w:pStyle w:val="ListParagraph"/>
        <w:numPr>
          <w:ilvl w:val="0"/>
          <w:numId w:val="1"/>
        </w:numPr>
        <w:jc w:val="both"/>
        <w:rPr>
          <w:rFonts w:ascii="Verdana" w:hAnsi="Verdana"/>
        </w:rPr>
      </w:pPr>
      <w:r>
        <w:rPr>
          <w:rFonts w:ascii="Verdana" w:hAnsi="Verdana"/>
        </w:rPr>
        <w:t xml:space="preserve">‘Harmonised standard’ means a harmonised standard as defined in point (c) of Article 2(1) of Regulation (EU) No 1025/2012; </w:t>
      </w:r>
    </w:p>
    <w:p w14:paraId="3F5AA973" w14:textId="61A5681F" w:rsidR="00C73230" w:rsidRPr="00E0517F" w:rsidRDefault="00C73230" w:rsidP="00F7675E">
      <w:pPr>
        <w:pStyle w:val="ListParagraph"/>
        <w:numPr>
          <w:ilvl w:val="0"/>
          <w:numId w:val="1"/>
        </w:numPr>
        <w:jc w:val="both"/>
        <w:rPr>
          <w:rFonts w:ascii="Verdana" w:hAnsi="Verdana"/>
          <w:i/>
        </w:rPr>
      </w:pPr>
      <w:r>
        <w:rPr>
          <w:rFonts w:ascii="Verdana" w:hAnsi="Verdana"/>
        </w:rPr>
        <w:t>‘Other catering or beverage establishments’ means places where catering or beverage services are carried out through catering, banquet or other services, provided that they are carried out on a regular basis understood as at least 10 events per year in such spaces;</w:t>
      </w:r>
    </w:p>
    <w:p w14:paraId="197CE626" w14:textId="01DEE9CD" w:rsidR="008A723D" w:rsidRPr="003F6B93" w:rsidRDefault="008A723D" w:rsidP="00F7675E">
      <w:pPr>
        <w:pStyle w:val="ListParagraph"/>
        <w:numPr>
          <w:ilvl w:val="0"/>
          <w:numId w:val="1"/>
        </w:numPr>
        <w:jc w:val="both"/>
        <w:rPr>
          <w:rFonts w:ascii="Verdana" w:hAnsi="Verdana"/>
        </w:rPr>
      </w:pPr>
      <w:r>
        <w:rPr>
          <w:rFonts w:ascii="Verdana" w:hAnsi="Verdana"/>
        </w:rPr>
        <w:t xml:space="preserve">‘Plastic’ means a material composed of a polymer as defined in Article 3(5) of Regulation (EC) No 1907/2006, to which additives or other substances may have been added and which can function as a main structural component of final products, </w:t>
      </w:r>
      <w:proofErr w:type="gramStart"/>
      <w:r>
        <w:rPr>
          <w:rFonts w:ascii="Verdana" w:hAnsi="Verdana"/>
        </w:rPr>
        <w:t>with the exception of</w:t>
      </w:r>
      <w:proofErr w:type="gramEnd"/>
      <w:r>
        <w:rPr>
          <w:rFonts w:ascii="Verdana" w:hAnsi="Verdana"/>
        </w:rPr>
        <w:t xml:space="preserve"> natural polymers that have not been chemically modified; </w:t>
      </w:r>
    </w:p>
    <w:p w14:paraId="55AF46E6" w14:textId="50FF4EB6" w:rsidR="003307FF" w:rsidRPr="003F6B93" w:rsidRDefault="003307FF" w:rsidP="00F7675E">
      <w:pPr>
        <w:pStyle w:val="ListParagraph"/>
        <w:numPr>
          <w:ilvl w:val="0"/>
          <w:numId w:val="1"/>
        </w:numPr>
        <w:jc w:val="both"/>
        <w:rPr>
          <w:rFonts w:ascii="Verdana" w:hAnsi="Verdana"/>
        </w:rPr>
      </w:pPr>
      <w:r>
        <w:rPr>
          <w:rFonts w:ascii="Verdana" w:hAnsi="Verdana"/>
        </w:rPr>
        <w:t>‘Biodegradable plastic’ means plastic capable of undergoing physical and biological decomposition, such that it ultimately decomposes into carbon dioxide (CO</w:t>
      </w:r>
      <w:r>
        <w:rPr>
          <w:rFonts w:ascii="Verdana" w:hAnsi="Verdana"/>
          <w:vertAlign w:val="subscript"/>
        </w:rPr>
        <w:t>2</w:t>
      </w:r>
      <w:r>
        <w:rPr>
          <w:rFonts w:ascii="Verdana" w:hAnsi="Verdana"/>
        </w:rPr>
        <w:t>), biomass and water, and is, in accordance with European standards for packaging, recoverable through composting and anaerobic digestion;</w:t>
      </w:r>
    </w:p>
    <w:p w14:paraId="243D3CF3" w14:textId="064E6342" w:rsidR="008A723D" w:rsidRPr="003F6B93" w:rsidRDefault="008A723D" w:rsidP="00F7675E">
      <w:pPr>
        <w:pStyle w:val="ListParagraph"/>
        <w:numPr>
          <w:ilvl w:val="0"/>
          <w:numId w:val="1"/>
        </w:numPr>
        <w:jc w:val="both"/>
        <w:rPr>
          <w:rFonts w:ascii="Verdana" w:hAnsi="Verdana"/>
        </w:rPr>
      </w:pPr>
      <w:r>
        <w:rPr>
          <w:rFonts w:ascii="Verdana" w:hAnsi="Verdana"/>
        </w:rPr>
        <w:lastRenderedPageBreak/>
        <w:t xml:space="preserve">‘Oxo-degradable plastic’ means plastic materials that include additives which, through oxidation, lead to the fragmentation of the plastic material into micro-fragments or to chemical decomposition; </w:t>
      </w:r>
    </w:p>
    <w:p w14:paraId="7BF28EB9" w14:textId="4F4AE25F" w:rsidR="008A723D" w:rsidRPr="003F6B93" w:rsidRDefault="008A723D" w:rsidP="00F7675E">
      <w:pPr>
        <w:pStyle w:val="ListParagraph"/>
        <w:numPr>
          <w:ilvl w:val="0"/>
          <w:numId w:val="1"/>
        </w:numPr>
        <w:jc w:val="both"/>
        <w:rPr>
          <w:rFonts w:ascii="Verdana" w:hAnsi="Verdana"/>
        </w:rPr>
      </w:pPr>
      <w:r>
        <w:rPr>
          <w:rFonts w:ascii="Verdana" w:hAnsi="Verdana"/>
        </w:rPr>
        <w:t xml:space="preserve">‘Single-use plastic product’ means a product that is made wholly or partly from plastic and that is not conceived, </w:t>
      </w:r>
      <w:proofErr w:type="gramStart"/>
      <w:r>
        <w:rPr>
          <w:rFonts w:ascii="Verdana" w:hAnsi="Verdana"/>
        </w:rPr>
        <w:t>designed</w:t>
      </w:r>
      <w:proofErr w:type="gramEnd"/>
      <w:r>
        <w:rPr>
          <w:rFonts w:ascii="Verdana" w:hAnsi="Verdana"/>
        </w:rPr>
        <w:t xml:space="preserve"> or placed on the market to accomplish, within its life span, multiple trips or rotations by being returned to a producer for refill or re-used for the same purpose for which it was conceived; </w:t>
      </w:r>
    </w:p>
    <w:p w14:paraId="3B015B5D" w14:textId="6D7B7308" w:rsidR="003307FF" w:rsidRPr="003F6B93" w:rsidRDefault="003307FF" w:rsidP="00F7675E">
      <w:pPr>
        <w:pStyle w:val="ListParagraph"/>
        <w:numPr>
          <w:ilvl w:val="0"/>
          <w:numId w:val="1"/>
        </w:numPr>
        <w:jc w:val="both"/>
        <w:rPr>
          <w:rFonts w:ascii="Verdana" w:hAnsi="Verdana"/>
        </w:rPr>
      </w:pPr>
      <w:r>
        <w:rPr>
          <w:rFonts w:ascii="Verdana" w:hAnsi="Verdana"/>
        </w:rPr>
        <w:t xml:space="preserve">‘Producer’ means a producer of the product as defined in Article 3(1)(r) </w:t>
      </w:r>
      <w:proofErr w:type="spellStart"/>
      <w:r>
        <w:rPr>
          <w:rFonts w:ascii="Verdana" w:hAnsi="Verdana"/>
        </w:rPr>
        <w:t>Unilex</w:t>
      </w:r>
      <w:proofErr w:type="spellEnd"/>
      <w:r>
        <w:rPr>
          <w:rFonts w:ascii="Verdana" w:hAnsi="Verdana"/>
        </w:rPr>
        <w:t>, who places on the market single-use plastic products, filled single-use plastic products or fishing gear containing plastic, other than persons carrying out fishing activities as defined in point (28) of Article 4 of Regulation (EU) No 1380/2013 of the European Parliament and of the Council;</w:t>
      </w:r>
    </w:p>
    <w:p w14:paraId="6BD3956F" w14:textId="4A211B1E" w:rsidR="003307FF" w:rsidRDefault="003307FF" w:rsidP="00F7675E">
      <w:pPr>
        <w:pStyle w:val="ListParagraph"/>
        <w:numPr>
          <w:ilvl w:val="0"/>
          <w:numId w:val="1"/>
        </w:numPr>
        <w:jc w:val="both"/>
        <w:rPr>
          <w:rFonts w:ascii="Verdana" w:hAnsi="Verdana"/>
        </w:rPr>
      </w:pPr>
      <w:r>
        <w:rPr>
          <w:rFonts w:ascii="Verdana" w:hAnsi="Verdana"/>
        </w:rPr>
        <w:t>‘Tobacco products’ means tobacco products as defined in Article 2(e) of Law No 37/2007 of 14 August as it stands;</w:t>
      </w:r>
    </w:p>
    <w:p w14:paraId="6000B528" w14:textId="731A3572" w:rsidR="003A6EB6" w:rsidRPr="003F6B93" w:rsidRDefault="003A6EB6" w:rsidP="00F7675E">
      <w:pPr>
        <w:pStyle w:val="ListParagraph"/>
        <w:numPr>
          <w:ilvl w:val="0"/>
          <w:numId w:val="1"/>
        </w:numPr>
        <w:jc w:val="both"/>
        <w:rPr>
          <w:rFonts w:ascii="Verdana" w:hAnsi="Verdana"/>
        </w:rPr>
      </w:pPr>
      <w:r>
        <w:rPr>
          <w:rFonts w:ascii="Verdana" w:hAnsi="Verdana"/>
        </w:rPr>
        <w:t xml:space="preserve">‘Collection’ means collection as defined in Article 3(1)(x) of the General System of Waste Management (GSWM); </w:t>
      </w:r>
    </w:p>
    <w:p w14:paraId="7203E680" w14:textId="77777777" w:rsidR="00397D00" w:rsidRDefault="003A6EB6" w:rsidP="00F7675E">
      <w:pPr>
        <w:pStyle w:val="ListParagraph"/>
        <w:numPr>
          <w:ilvl w:val="0"/>
          <w:numId w:val="1"/>
        </w:numPr>
        <w:jc w:val="both"/>
        <w:rPr>
          <w:rFonts w:ascii="Verdana" w:hAnsi="Verdana"/>
        </w:rPr>
      </w:pPr>
      <w:r>
        <w:rPr>
          <w:rFonts w:ascii="Verdana" w:hAnsi="Verdana"/>
        </w:rPr>
        <w:t>‘Selective collection’ means selective collection as defined in Article 3(1)(j) of the GSWM;</w:t>
      </w:r>
    </w:p>
    <w:p w14:paraId="4F7991B3" w14:textId="1C62BF7C" w:rsidR="00397D00" w:rsidRPr="00397D00" w:rsidRDefault="00397D00" w:rsidP="00F7675E">
      <w:pPr>
        <w:pStyle w:val="ListParagraph"/>
        <w:numPr>
          <w:ilvl w:val="0"/>
          <w:numId w:val="1"/>
        </w:numPr>
        <w:jc w:val="both"/>
        <w:rPr>
          <w:rFonts w:ascii="Verdana" w:hAnsi="Verdana"/>
        </w:rPr>
      </w:pPr>
      <w:r>
        <w:rPr>
          <w:rFonts w:ascii="Verdana" w:hAnsi="Verdana"/>
        </w:rPr>
        <w:t>‘Ready-to-eat meals, for on-the-spot consumption and take-away or for home delivery’ means ready-to-eat meals, for on-the-spot consumption and take-away or for home delivery as defined in Article 3(</w:t>
      </w:r>
      <w:proofErr w:type="gramStart"/>
      <w:r>
        <w:rPr>
          <w:rFonts w:ascii="Verdana" w:hAnsi="Verdana"/>
        </w:rPr>
        <w:t>1)(</w:t>
      </w:r>
      <w:proofErr w:type="gramEnd"/>
      <w:r>
        <w:rPr>
          <w:rFonts w:ascii="Verdana" w:hAnsi="Verdana"/>
        </w:rPr>
        <w:t xml:space="preserve">ss) of </w:t>
      </w:r>
      <w:proofErr w:type="spellStart"/>
      <w:r>
        <w:rPr>
          <w:rFonts w:ascii="Verdana" w:hAnsi="Verdana"/>
        </w:rPr>
        <w:t>Unilex</w:t>
      </w:r>
      <w:proofErr w:type="spellEnd"/>
      <w:r>
        <w:rPr>
          <w:rFonts w:ascii="Verdana" w:hAnsi="Verdana"/>
        </w:rPr>
        <w:t>;</w:t>
      </w:r>
    </w:p>
    <w:p w14:paraId="4361DB13" w14:textId="755AE130" w:rsidR="00EC283C" w:rsidRPr="003F6B93" w:rsidRDefault="00EC283C" w:rsidP="00F7675E">
      <w:pPr>
        <w:pStyle w:val="ListParagraph"/>
        <w:numPr>
          <w:ilvl w:val="0"/>
          <w:numId w:val="1"/>
        </w:numPr>
        <w:jc w:val="both"/>
        <w:rPr>
          <w:rFonts w:ascii="Verdana" w:hAnsi="Verdana"/>
        </w:rPr>
      </w:pPr>
      <w:r>
        <w:rPr>
          <w:rFonts w:ascii="Verdana" w:hAnsi="Verdana"/>
        </w:rPr>
        <w:t>‘Extended producer responsibility scheme’ means an extended producer responsibility scheme as defined in Article 12 of the GSWM;</w:t>
      </w:r>
    </w:p>
    <w:p w14:paraId="52DDA252" w14:textId="1BBC69FE" w:rsidR="00EC283C" w:rsidRPr="003F6B93" w:rsidRDefault="00EC283C" w:rsidP="00F7675E">
      <w:pPr>
        <w:pStyle w:val="ListParagraph"/>
        <w:numPr>
          <w:ilvl w:val="0"/>
          <w:numId w:val="1"/>
        </w:numPr>
        <w:jc w:val="both"/>
        <w:rPr>
          <w:rFonts w:ascii="Verdana" w:hAnsi="Verdana"/>
        </w:rPr>
      </w:pPr>
      <w:r>
        <w:rPr>
          <w:rFonts w:ascii="Verdana" w:hAnsi="Verdana"/>
        </w:rPr>
        <w:t>‘Waste’ means waste as defined in Article 3(</w:t>
      </w:r>
      <w:proofErr w:type="gramStart"/>
      <w:r>
        <w:rPr>
          <w:rFonts w:ascii="Verdana" w:hAnsi="Verdana"/>
        </w:rPr>
        <w:t>1)(</w:t>
      </w:r>
      <w:proofErr w:type="gramEnd"/>
      <w:r>
        <w:rPr>
          <w:rFonts w:ascii="Verdana" w:hAnsi="Verdana"/>
        </w:rPr>
        <w:t>aa) of the GSWM;</w:t>
      </w:r>
    </w:p>
    <w:p w14:paraId="0AD5E5B9" w14:textId="244FF434" w:rsidR="00A172F1" w:rsidRDefault="008A723D" w:rsidP="00F7675E">
      <w:pPr>
        <w:pStyle w:val="ListParagraph"/>
        <w:numPr>
          <w:ilvl w:val="0"/>
          <w:numId w:val="1"/>
        </w:numPr>
        <w:jc w:val="both"/>
        <w:rPr>
          <w:rFonts w:ascii="Verdana" w:hAnsi="Verdana"/>
        </w:rPr>
      </w:pPr>
      <w:r>
        <w:rPr>
          <w:rFonts w:ascii="Verdana" w:hAnsi="Verdana"/>
        </w:rPr>
        <w:t>‘Waste fishing gear’ means any fishing gear covered by the definition of ‘waste’ in Article 3(</w:t>
      </w:r>
      <w:proofErr w:type="gramStart"/>
      <w:r>
        <w:rPr>
          <w:rFonts w:ascii="Verdana" w:hAnsi="Verdana"/>
        </w:rPr>
        <w:t>1)(</w:t>
      </w:r>
      <w:proofErr w:type="gramEnd"/>
      <w:r>
        <w:rPr>
          <w:rFonts w:ascii="Verdana" w:hAnsi="Verdana"/>
        </w:rPr>
        <w:t>aa) of GSWM, including all separate components, substances or materials that were part of or attached to such fishing gear when it was discarded, including when it was abandoned or lost;</w:t>
      </w:r>
    </w:p>
    <w:p w14:paraId="3E377B11" w14:textId="325D1AE1" w:rsidR="00A6504A" w:rsidRPr="003F6B93" w:rsidRDefault="00A6504A" w:rsidP="00F7675E">
      <w:pPr>
        <w:pStyle w:val="ListParagraph"/>
        <w:numPr>
          <w:ilvl w:val="0"/>
          <w:numId w:val="1"/>
        </w:numPr>
        <w:jc w:val="both"/>
        <w:rPr>
          <w:rFonts w:ascii="Verdana" w:hAnsi="Verdana"/>
        </w:rPr>
      </w:pPr>
      <w:r>
        <w:rPr>
          <w:rFonts w:ascii="Verdana" w:hAnsi="Verdana"/>
        </w:rPr>
        <w:t>‘Lightweight plastic carrier bags’ means lightweight plastic carrier bags as defined in Article 3(</w:t>
      </w:r>
      <w:proofErr w:type="gramStart"/>
      <w:r>
        <w:rPr>
          <w:rFonts w:ascii="Verdana" w:hAnsi="Verdana"/>
        </w:rPr>
        <w:t>1)(</w:t>
      </w:r>
      <w:proofErr w:type="spellStart"/>
      <w:proofErr w:type="gramEnd"/>
      <w:r>
        <w:rPr>
          <w:rFonts w:ascii="Verdana" w:hAnsi="Verdana"/>
        </w:rPr>
        <w:t>eee</w:t>
      </w:r>
      <w:proofErr w:type="spellEnd"/>
      <w:r>
        <w:rPr>
          <w:rFonts w:ascii="Verdana" w:hAnsi="Verdana"/>
        </w:rPr>
        <w:t xml:space="preserve">) </w:t>
      </w:r>
      <w:proofErr w:type="spellStart"/>
      <w:r>
        <w:rPr>
          <w:rFonts w:ascii="Verdana" w:hAnsi="Verdana"/>
        </w:rPr>
        <w:t>Unilex</w:t>
      </w:r>
      <w:proofErr w:type="spellEnd"/>
      <w:r>
        <w:rPr>
          <w:rFonts w:ascii="Verdana" w:hAnsi="Verdana"/>
        </w:rPr>
        <w:t>;</w:t>
      </w:r>
    </w:p>
    <w:p w14:paraId="259D1820" w14:textId="46B99296" w:rsidR="00D30E28" w:rsidRPr="003F6B93" w:rsidRDefault="00D30E28" w:rsidP="00F7675E">
      <w:pPr>
        <w:pStyle w:val="ListParagraph"/>
        <w:numPr>
          <w:ilvl w:val="0"/>
          <w:numId w:val="1"/>
        </w:numPr>
        <w:jc w:val="both"/>
        <w:rPr>
          <w:rFonts w:ascii="Verdana" w:hAnsi="Verdana"/>
        </w:rPr>
      </w:pPr>
      <w:r>
        <w:rPr>
          <w:rFonts w:ascii="Verdana" w:hAnsi="Verdana"/>
        </w:rPr>
        <w:t>‘Treatment’ means treatment as defined in Article 3(1)(n) of the GSWM.</w:t>
      </w:r>
    </w:p>
    <w:p w14:paraId="4ADAA6E6" w14:textId="455D96C3" w:rsidR="00A172F1" w:rsidRDefault="00A172F1" w:rsidP="00A172F1">
      <w:pPr>
        <w:jc w:val="both"/>
        <w:rPr>
          <w:rFonts w:ascii="Verdana" w:hAnsi="Verdana"/>
        </w:rPr>
      </w:pPr>
    </w:p>
    <w:p w14:paraId="6B06554C" w14:textId="717162C8" w:rsidR="007B286C" w:rsidRPr="007B286C" w:rsidRDefault="004D1142" w:rsidP="00513C36">
      <w:pPr>
        <w:pStyle w:val="Heading1"/>
        <w:tabs>
          <w:tab w:val="clear" w:pos="3969"/>
          <w:tab w:val="left" w:pos="2127"/>
        </w:tabs>
        <w:ind w:firstLine="270"/>
      </w:pPr>
      <w:bookmarkStart w:id="4" w:name="_Ref63690309"/>
      <w:r>
        <w:lastRenderedPageBreak/>
        <w:t xml:space="preserve"> </w:t>
      </w:r>
      <w:r w:rsidR="00F75E18">
        <w:br/>
        <w:t xml:space="preserve">Prohibition on placing on the </w:t>
      </w:r>
      <w:proofErr w:type="gramStart"/>
      <w:r w:rsidR="00F75E18">
        <w:t>market</w:t>
      </w:r>
      <w:bookmarkEnd w:id="4"/>
      <w:proofErr w:type="gramEnd"/>
    </w:p>
    <w:p w14:paraId="57C0FD44" w14:textId="6F99CF22" w:rsidR="00D27005" w:rsidRDefault="009870C4" w:rsidP="009870C4">
      <w:pPr>
        <w:pStyle w:val="Heading2"/>
        <w:numPr>
          <w:ilvl w:val="0"/>
          <w:numId w:val="0"/>
        </w:numPr>
        <w:tabs>
          <w:tab w:val="clear" w:pos="1701"/>
          <w:tab w:val="left" w:pos="1276"/>
        </w:tabs>
        <w:ind w:left="426"/>
      </w:pPr>
      <w:r>
        <w:t xml:space="preserve">Article </w:t>
      </w:r>
      <w:r w:rsidR="000600E7">
        <w:t>4</w:t>
      </w:r>
      <w:r w:rsidR="009D6685">
        <w:br/>
      </w:r>
      <w:bookmarkStart w:id="5" w:name="_Ref63690312"/>
      <w:r w:rsidR="009D6685">
        <w:t>Prohibition on the placing on the market</w:t>
      </w:r>
      <w:bookmarkEnd w:id="5"/>
      <w:r w:rsidR="009D6685">
        <w:t xml:space="preserve"> of single-use plastic products and products made of oxo-degradable </w:t>
      </w:r>
      <w:proofErr w:type="gramStart"/>
      <w:r w:rsidR="009D6685">
        <w:t>plastic</w:t>
      </w:r>
      <w:proofErr w:type="gramEnd"/>
    </w:p>
    <w:p w14:paraId="2C461E0D" w14:textId="77777777" w:rsidR="007B286C" w:rsidRPr="007B286C" w:rsidRDefault="007B286C" w:rsidP="007B286C"/>
    <w:p w14:paraId="2713E414" w14:textId="77777777" w:rsidR="00D27005" w:rsidRPr="00371285" w:rsidRDefault="00D27005" w:rsidP="00C525D6">
      <w:pPr>
        <w:pStyle w:val="ListParagraph"/>
        <w:numPr>
          <w:ilvl w:val="3"/>
          <w:numId w:val="12"/>
        </w:numPr>
        <w:ind w:left="709"/>
        <w:jc w:val="both"/>
        <w:rPr>
          <w:rFonts w:ascii="Verdana" w:hAnsi="Verdana"/>
        </w:rPr>
      </w:pPr>
      <w:r>
        <w:rPr>
          <w:rFonts w:ascii="Verdana" w:hAnsi="Verdana"/>
        </w:rPr>
        <w:t xml:space="preserve">The placing on the market of the following single-use plastic products is prohibited: </w:t>
      </w:r>
    </w:p>
    <w:p w14:paraId="4121AA08" w14:textId="09262A16" w:rsidR="00D27005" w:rsidRPr="00D7669C" w:rsidRDefault="00D27005" w:rsidP="00C525D6">
      <w:pPr>
        <w:pStyle w:val="ListParagraph"/>
        <w:numPr>
          <w:ilvl w:val="0"/>
          <w:numId w:val="2"/>
        </w:numPr>
        <w:ind w:left="1134" w:hanging="357"/>
        <w:jc w:val="both"/>
        <w:rPr>
          <w:rFonts w:ascii="Verdana" w:hAnsi="Verdana"/>
        </w:rPr>
      </w:pPr>
      <w:r>
        <w:t>Cotton bud sticks, unless they fall within the scope of Decree-Law No 145/2009 of 17 June, rectified by Declaration of Rectification No 60-A/2009 of 14 August and amended by Laws No 21/2014 of 16 April and 51/2014 of 25 August and Decree-Law No. 5/2017 of 6 June and 79/2018 of 15 October;</w:t>
      </w:r>
    </w:p>
    <w:p w14:paraId="4384DBC8" w14:textId="77777777" w:rsidR="00D27005" w:rsidRPr="00D7669C" w:rsidRDefault="00D27005" w:rsidP="00C525D6">
      <w:pPr>
        <w:pStyle w:val="ListParagraph"/>
        <w:numPr>
          <w:ilvl w:val="0"/>
          <w:numId w:val="2"/>
        </w:numPr>
        <w:ind w:left="1134" w:hanging="357"/>
        <w:rPr>
          <w:rFonts w:ascii="Verdana" w:hAnsi="Verdana"/>
        </w:rPr>
      </w:pPr>
      <w:r>
        <w:rPr>
          <w:rFonts w:ascii="Verdana" w:hAnsi="Verdana"/>
        </w:rPr>
        <w:t xml:space="preserve">Cutlery (forks, knives, spoons, chopsticks); </w:t>
      </w:r>
    </w:p>
    <w:p w14:paraId="5AF0708E" w14:textId="77777777" w:rsidR="00D27005" w:rsidRPr="00D7669C" w:rsidRDefault="00D27005" w:rsidP="00C525D6">
      <w:pPr>
        <w:pStyle w:val="ListParagraph"/>
        <w:numPr>
          <w:ilvl w:val="0"/>
          <w:numId w:val="2"/>
        </w:numPr>
        <w:ind w:left="1134" w:hanging="357"/>
        <w:rPr>
          <w:rFonts w:ascii="Verdana" w:hAnsi="Verdana"/>
        </w:rPr>
      </w:pPr>
      <w:r>
        <w:rPr>
          <w:rFonts w:ascii="Verdana" w:hAnsi="Verdana"/>
        </w:rPr>
        <w:t xml:space="preserve">Plates; </w:t>
      </w:r>
    </w:p>
    <w:p w14:paraId="551ADCD0" w14:textId="6444964C" w:rsidR="00D27005" w:rsidRPr="00D7669C" w:rsidRDefault="00D27005" w:rsidP="00C525D6">
      <w:pPr>
        <w:pStyle w:val="ListParagraph"/>
        <w:numPr>
          <w:ilvl w:val="0"/>
          <w:numId w:val="2"/>
        </w:numPr>
        <w:ind w:left="1134" w:hanging="357"/>
        <w:jc w:val="both"/>
        <w:rPr>
          <w:rFonts w:ascii="Verdana" w:hAnsi="Verdana"/>
        </w:rPr>
      </w:pPr>
      <w:r>
        <w:t>Straws, except where they fall within the scope of Decree-Law No 145/2009 of 17 June, rectified by Declaration of Rectification No 60-A/2009 of 14 August and amended by Laws No 21/2014 of 16 April and 51/2014 of 25 August and Decree-Law No. 5/2017 of 6 June and 79/2018 of 15 October;</w:t>
      </w:r>
    </w:p>
    <w:p w14:paraId="0296009E" w14:textId="77777777" w:rsidR="00D27005" w:rsidRPr="00D7669C" w:rsidRDefault="00D27005" w:rsidP="00C525D6">
      <w:pPr>
        <w:pStyle w:val="ListParagraph"/>
        <w:numPr>
          <w:ilvl w:val="0"/>
          <w:numId w:val="2"/>
        </w:numPr>
        <w:ind w:left="1134" w:hanging="357"/>
        <w:rPr>
          <w:rFonts w:ascii="Verdana" w:hAnsi="Verdana"/>
        </w:rPr>
      </w:pPr>
      <w:r>
        <w:rPr>
          <w:rFonts w:ascii="Verdana" w:hAnsi="Verdana"/>
        </w:rPr>
        <w:t xml:space="preserve">Beverage stirrers; </w:t>
      </w:r>
    </w:p>
    <w:p w14:paraId="4FA253D6" w14:textId="77777777" w:rsidR="00D27005" w:rsidRPr="00D7669C" w:rsidRDefault="00D27005" w:rsidP="00C525D6">
      <w:pPr>
        <w:pStyle w:val="ListParagraph"/>
        <w:numPr>
          <w:ilvl w:val="0"/>
          <w:numId w:val="2"/>
        </w:numPr>
        <w:ind w:left="1134" w:hanging="357"/>
        <w:jc w:val="both"/>
        <w:rPr>
          <w:rFonts w:ascii="Verdana" w:hAnsi="Verdana"/>
        </w:rPr>
      </w:pPr>
      <w:r>
        <w:rPr>
          <w:rFonts w:ascii="Verdana" w:hAnsi="Verdana"/>
        </w:rPr>
        <w:t xml:space="preserve">Sticks to be attached to and to support balloons, except balloons for industrial or other professional uses and applications that are not distributed to consumers, including the mechanisms of such sticks; </w:t>
      </w:r>
    </w:p>
    <w:p w14:paraId="2177198E" w14:textId="38DD0DBA" w:rsidR="00D27005" w:rsidRPr="00D7669C" w:rsidRDefault="00D27005" w:rsidP="00C525D6">
      <w:pPr>
        <w:pStyle w:val="ListParagraph"/>
        <w:numPr>
          <w:ilvl w:val="0"/>
          <w:numId w:val="2"/>
        </w:numPr>
        <w:autoSpaceDE w:val="0"/>
        <w:autoSpaceDN w:val="0"/>
        <w:adjustRightInd w:val="0"/>
        <w:ind w:left="1134"/>
        <w:jc w:val="both"/>
        <w:rPr>
          <w:rFonts w:ascii="Verdana" w:hAnsi="Verdana"/>
        </w:rPr>
      </w:pPr>
      <w:r>
        <w:rPr>
          <w:rFonts w:ascii="Verdana" w:hAnsi="Verdana"/>
        </w:rPr>
        <w:t>Food containers made of expanded polystyrene, i.e., receptacles such as boxes, with or without a cover, used to contain food which:</w:t>
      </w:r>
    </w:p>
    <w:p w14:paraId="711C1AC6" w14:textId="77777777" w:rsidR="00D27005" w:rsidRPr="00D7669C" w:rsidRDefault="00D27005" w:rsidP="00C525D6">
      <w:pPr>
        <w:pStyle w:val="ListParagraph"/>
        <w:numPr>
          <w:ilvl w:val="0"/>
          <w:numId w:val="3"/>
        </w:numPr>
        <w:autoSpaceDE w:val="0"/>
        <w:autoSpaceDN w:val="0"/>
        <w:adjustRightInd w:val="0"/>
        <w:ind w:left="1560" w:hanging="357"/>
        <w:jc w:val="both"/>
        <w:rPr>
          <w:rFonts w:ascii="Verdana" w:hAnsi="Verdana"/>
        </w:rPr>
      </w:pPr>
      <w:r>
        <w:rPr>
          <w:rFonts w:ascii="Verdana" w:hAnsi="Verdana"/>
        </w:rPr>
        <w:t xml:space="preserve">is intended for immediate consumption, either on-the-spot or take-away; </w:t>
      </w:r>
    </w:p>
    <w:p w14:paraId="5E3C14FD" w14:textId="77777777" w:rsidR="00D27005" w:rsidRPr="00D7669C" w:rsidRDefault="00D27005" w:rsidP="00C525D6">
      <w:pPr>
        <w:pStyle w:val="ListParagraph"/>
        <w:numPr>
          <w:ilvl w:val="0"/>
          <w:numId w:val="3"/>
        </w:numPr>
        <w:autoSpaceDE w:val="0"/>
        <w:autoSpaceDN w:val="0"/>
        <w:adjustRightInd w:val="0"/>
        <w:ind w:left="1560" w:hanging="357"/>
        <w:jc w:val="both"/>
        <w:rPr>
          <w:rFonts w:ascii="Verdana" w:hAnsi="Verdana"/>
        </w:rPr>
      </w:pPr>
      <w:r>
        <w:rPr>
          <w:rFonts w:ascii="Verdana" w:hAnsi="Verdana"/>
        </w:rPr>
        <w:t xml:space="preserve">is typically consumed from the receptacle; and </w:t>
      </w:r>
    </w:p>
    <w:p w14:paraId="41FE1FE0" w14:textId="77777777" w:rsidR="00D27005" w:rsidRDefault="00D27005" w:rsidP="00C525D6">
      <w:pPr>
        <w:pStyle w:val="ListParagraph"/>
        <w:numPr>
          <w:ilvl w:val="0"/>
          <w:numId w:val="3"/>
        </w:numPr>
        <w:autoSpaceDE w:val="0"/>
        <w:autoSpaceDN w:val="0"/>
        <w:adjustRightInd w:val="0"/>
        <w:ind w:left="1560" w:hanging="357"/>
        <w:jc w:val="both"/>
        <w:rPr>
          <w:rFonts w:ascii="Verdana" w:hAnsi="Verdana"/>
        </w:rPr>
      </w:pPr>
      <w:r>
        <w:rPr>
          <w:rFonts w:ascii="Verdana" w:hAnsi="Verdana"/>
        </w:rPr>
        <w:t xml:space="preserve">is ready to be consumed without any further preparation, such as cooking, </w:t>
      </w:r>
      <w:proofErr w:type="gramStart"/>
      <w:r>
        <w:rPr>
          <w:rFonts w:ascii="Verdana" w:hAnsi="Verdana"/>
        </w:rPr>
        <w:t>boiling</w:t>
      </w:r>
      <w:proofErr w:type="gramEnd"/>
      <w:r>
        <w:rPr>
          <w:rFonts w:ascii="Verdana" w:hAnsi="Verdana"/>
        </w:rPr>
        <w:t xml:space="preserve"> or heating;</w:t>
      </w:r>
    </w:p>
    <w:p w14:paraId="4D19B8C7" w14:textId="77777777" w:rsidR="00D27005" w:rsidRPr="00951CCF" w:rsidRDefault="00D27005" w:rsidP="00D27005">
      <w:pPr>
        <w:autoSpaceDE w:val="0"/>
        <w:autoSpaceDN w:val="0"/>
        <w:adjustRightInd w:val="0"/>
        <w:ind w:left="1134"/>
        <w:jc w:val="both"/>
        <w:rPr>
          <w:rFonts w:ascii="Verdana" w:hAnsi="Verdana"/>
        </w:rPr>
      </w:pPr>
      <w:r>
        <w:rPr>
          <w:rFonts w:ascii="Verdana" w:hAnsi="Verdana"/>
        </w:rPr>
        <w:t>including food containers used for fast food or other meals ready for immediate consumption, except beverage containers, plates and packets and wrappers containing food;</w:t>
      </w:r>
    </w:p>
    <w:p w14:paraId="6ED2936A" w14:textId="77777777" w:rsidR="00D27005" w:rsidRPr="00D7669C" w:rsidRDefault="00D27005" w:rsidP="00C525D6">
      <w:pPr>
        <w:pStyle w:val="ListParagraph"/>
        <w:numPr>
          <w:ilvl w:val="0"/>
          <w:numId w:val="2"/>
        </w:numPr>
        <w:ind w:left="1134" w:hanging="357"/>
        <w:jc w:val="both"/>
        <w:rPr>
          <w:rFonts w:ascii="Verdana" w:hAnsi="Verdana"/>
        </w:rPr>
      </w:pPr>
      <w:r>
        <w:rPr>
          <w:rFonts w:ascii="Verdana" w:hAnsi="Verdana"/>
        </w:rPr>
        <w:t xml:space="preserve">Beverage containers made of expanded polystyrene, including their caps and lids; </w:t>
      </w:r>
    </w:p>
    <w:p w14:paraId="1F6E43A5" w14:textId="77777777" w:rsidR="00D27005" w:rsidRPr="00D7669C" w:rsidRDefault="00D27005" w:rsidP="00C525D6">
      <w:pPr>
        <w:pStyle w:val="ListParagraph"/>
        <w:numPr>
          <w:ilvl w:val="0"/>
          <w:numId w:val="2"/>
        </w:numPr>
        <w:ind w:left="1134" w:hanging="357"/>
        <w:jc w:val="both"/>
        <w:rPr>
          <w:rFonts w:ascii="Verdana" w:hAnsi="Verdana"/>
        </w:rPr>
      </w:pPr>
      <w:r>
        <w:rPr>
          <w:rFonts w:ascii="Verdana" w:hAnsi="Verdana"/>
        </w:rPr>
        <w:lastRenderedPageBreak/>
        <w:t>Cups for beverage made of expanded polystyrene, including their covers and lids;</w:t>
      </w:r>
    </w:p>
    <w:p w14:paraId="6425C76A" w14:textId="77777777" w:rsidR="00D27005" w:rsidRDefault="00D27005" w:rsidP="00C525D6">
      <w:pPr>
        <w:pStyle w:val="ListParagraph"/>
        <w:numPr>
          <w:ilvl w:val="3"/>
          <w:numId w:val="12"/>
        </w:numPr>
        <w:ind w:left="709"/>
        <w:jc w:val="both"/>
        <w:rPr>
          <w:rFonts w:ascii="Verdana" w:hAnsi="Verdana"/>
        </w:rPr>
      </w:pPr>
      <w:r>
        <w:rPr>
          <w:rFonts w:ascii="Verdana" w:hAnsi="Verdana"/>
        </w:rPr>
        <w:t>The placing on the market of any product made of oxo-degradable plastic is also prohibited.</w:t>
      </w:r>
    </w:p>
    <w:p w14:paraId="056DE917" w14:textId="596EE346" w:rsidR="00D27005" w:rsidRDefault="00D27005" w:rsidP="00D27005"/>
    <w:p w14:paraId="477E39E4" w14:textId="3E1DA0DE" w:rsidR="00F75E18" w:rsidRDefault="009870C4" w:rsidP="009870C4">
      <w:pPr>
        <w:pStyle w:val="Heading2"/>
        <w:numPr>
          <w:ilvl w:val="0"/>
          <w:numId w:val="0"/>
        </w:numPr>
        <w:tabs>
          <w:tab w:val="clear" w:pos="1701"/>
          <w:tab w:val="left" w:pos="1276"/>
        </w:tabs>
        <w:ind w:left="426"/>
      </w:pPr>
      <w:r>
        <w:t xml:space="preserve">Article </w:t>
      </w:r>
      <w:r w:rsidR="000600E7">
        <w:t>5</w:t>
      </w:r>
      <w:r w:rsidR="00F75E18">
        <w:br/>
        <w:t xml:space="preserve">Making available and use of single-use plastic </w:t>
      </w:r>
      <w:proofErr w:type="gramStart"/>
      <w:r w:rsidR="00F75E18">
        <w:t>products</w:t>
      </w:r>
      <w:proofErr w:type="gramEnd"/>
    </w:p>
    <w:p w14:paraId="3F98C67D" w14:textId="77777777" w:rsidR="004854CF" w:rsidRPr="004854CF" w:rsidRDefault="004854CF" w:rsidP="004854CF"/>
    <w:p w14:paraId="211621E2" w14:textId="364D82F9" w:rsidR="009B01EE" w:rsidRPr="00CE4719" w:rsidRDefault="00433A38" w:rsidP="00C525D6">
      <w:pPr>
        <w:pStyle w:val="ListParagraph"/>
        <w:numPr>
          <w:ilvl w:val="0"/>
          <w:numId w:val="16"/>
        </w:numPr>
        <w:ind w:left="709"/>
        <w:jc w:val="both"/>
        <w:rPr>
          <w:rFonts w:ascii="Verdana" w:hAnsi="Verdana"/>
        </w:rPr>
      </w:pPr>
      <w:bookmarkStart w:id="6" w:name="_Hlk66394718"/>
      <w:r>
        <w:t>From 1 July 2021, restaurants or beverage-serving establishments may not make available to the final consumer the single-use plastic products referred to in points (b) to (e) and (g) to (</w:t>
      </w:r>
      <w:proofErr w:type="spellStart"/>
      <w:r>
        <w:t>i</w:t>
      </w:r>
      <w:proofErr w:type="spellEnd"/>
      <w:r>
        <w:t>) of Article 4</w:t>
      </w:r>
      <w:bookmarkEnd w:id="6"/>
      <w:r>
        <w:t xml:space="preserve"> for on-the-spot beverages and meals.</w:t>
      </w:r>
      <w:r>
        <w:rPr>
          <w:rFonts w:ascii="Verdana" w:hAnsi="Verdana"/>
        </w:rPr>
        <w:t xml:space="preserve"> </w:t>
      </w:r>
    </w:p>
    <w:p w14:paraId="34B4D975" w14:textId="191A83D1" w:rsidR="009B01EE" w:rsidRPr="00CE4719" w:rsidRDefault="00433A38" w:rsidP="00C525D6">
      <w:pPr>
        <w:pStyle w:val="ListParagraph"/>
        <w:numPr>
          <w:ilvl w:val="0"/>
          <w:numId w:val="16"/>
        </w:numPr>
        <w:ind w:left="709"/>
        <w:jc w:val="both"/>
        <w:rPr>
          <w:rFonts w:ascii="Verdana" w:hAnsi="Verdana"/>
        </w:rPr>
      </w:pPr>
      <w:bookmarkStart w:id="7" w:name="_Hlk66473615"/>
      <w:r>
        <w:rPr>
          <w:rFonts w:ascii="Verdana" w:hAnsi="Verdana"/>
        </w:rPr>
        <w:t>From 1 September 2021, the single-use plastic products referred to in Article 4(b) to (e) and (g) to (</w:t>
      </w:r>
      <w:proofErr w:type="spellStart"/>
      <w:r>
        <w:rPr>
          <w:rFonts w:ascii="Verdana" w:hAnsi="Verdana"/>
        </w:rPr>
        <w:t>i</w:t>
      </w:r>
      <w:proofErr w:type="spellEnd"/>
      <w:r>
        <w:rPr>
          <w:rFonts w:ascii="Verdana" w:hAnsi="Verdana"/>
        </w:rPr>
        <w:t xml:space="preserve">) may not be used: </w:t>
      </w:r>
    </w:p>
    <w:bookmarkEnd w:id="7"/>
    <w:p w14:paraId="3E234258" w14:textId="10CD24A4" w:rsidR="00EE4CF1" w:rsidRPr="00CE4719" w:rsidRDefault="00710998" w:rsidP="00C525D6">
      <w:pPr>
        <w:pStyle w:val="ListParagraph"/>
        <w:numPr>
          <w:ilvl w:val="1"/>
          <w:numId w:val="15"/>
        </w:numPr>
        <w:spacing w:after="0"/>
        <w:ind w:left="1134"/>
        <w:jc w:val="both"/>
        <w:rPr>
          <w:rFonts w:ascii="Verdana" w:hAnsi="Verdana"/>
        </w:rPr>
      </w:pPr>
      <w:r>
        <w:rPr>
          <w:rFonts w:ascii="Verdana" w:hAnsi="Verdana"/>
        </w:rPr>
        <w:t>Catering or non-seated beverages;</w:t>
      </w:r>
    </w:p>
    <w:p w14:paraId="77260820" w14:textId="77777777" w:rsidR="0094255D" w:rsidRDefault="00710998" w:rsidP="00C525D6">
      <w:pPr>
        <w:pStyle w:val="ListParagraph"/>
        <w:numPr>
          <w:ilvl w:val="1"/>
          <w:numId w:val="15"/>
        </w:numPr>
        <w:spacing w:after="0"/>
        <w:ind w:left="1134"/>
        <w:jc w:val="both"/>
        <w:rPr>
          <w:rFonts w:ascii="Verdana" w:hAnsi="Verdana"/>
        </w:rPr>
      </w:pPr>
      <w:r>
        <w:rPr>
          <w:rFonts w:ascii="Verdana" w:hAnsi="Verdana"/>
        </w:rPr>
        <w:t xml:space="preserve">The provision of food and beverage services on public transport, in particular air, rail, </w:t>
      </w:r>
      <w:proofErr w:type="gramStart"/>
      <w:r>
        <w:rPr>
          <w:rFonts w:ascii="Verdana" w:hAnsi="Verdana"/>
        </w:rPr>
        <w:t>sea</w:t>
      </w:r>
      <w:proofErr w:type="gramEnd"/>
      <w:r>
        <w:rPr>
          <w:rFonts w:ascii="Verdana" w:hAnsi="Verdana"/>
        </w:rPr>
        <w:t xml:space="preserve"> and long-haul road; </w:t>
      </w:r>
    </w:p>
    <w:p w14:paraId="2BEE1C84" w14:textId="2A4D6B9C" w:rsidR="002B499A" w:rsidRPr="0094255D" w:rsidRDefault="00710998" w:rsidP="00C525D6">
      <w:pPr>
        <w:pStyle w:val="ListParagraph"/>
        <w:numPr>
          <w:ilvl w:val="1"/>
          <w:numId w:val="15"/>
        </w:numPr>
        <w:spacing w:after="0"/>
        <w:ind w:left="1134"/>
        <w:jc w:val="both"/>
        <w:rPr>
          <w:rFonts w:ascii="Verdana" w:hAnsi="Verdana"/>
        </w:rPr>
      </w:pPr>
      <w:r>
        <w:rPr>
          <w:rFonts w:ascii="Verdana" w:hAnsi="Verdana"/>
        </w:rPr>
        <w:t>Other places offering catering or beverage services;</w:t>
      </w:r>
    </w:p>
    <w:p w14:paraId="736DE681" w14:textId="56E853A4" w:rsidR="00CB2CFD" w:rsidRPr="007B286C" w:rsidRDefault="002B499A" w:rsidP="00C525D6">
      <w:pPr>
        <w:pStyle w:val="ListParagraph"/>
        <w:numPr>
          <w:ilvl w:val="0"/>
          <w:numId w:val="16"/>
        </w:numPr>
        <w:ind w:left="709"/>
        <w:jc w:val="both"/>
        <w:rPr>
          <w:rFonts w:ascii="Verdana" w:hAnsi="Verdana"/>
        </w:rPr>
      </w:pPr>
      <w:r>
        <w:rPr>
          <w:rFonts w:ascii="Verdana" w:hAnsi="Verdana"/>
        </w:rPr>
        <w:t>From 1 September 2021, the single-use plastic products referred to in Article 4(b) to (e) and (g) to (</w:t>
      </w:r>
      <w:proofErr w:type="spellStart"/>
      <w:r>
        <w:rPr>
          <w:rFonts w:ascii="Verdana" w:hAnsi="Verdana"/>
        </w:rPr>
        <w:t>i</w:t>
      </w:r>
      <w:proofErr w:type="spellEnd"/>
      <w:r>
        <w:rPr>
          <w:rFonts w:ascii="Verdana" w:hAnsi="Verdana"/>
        </w:rPr>
        <w:t>) may not be made available on the market in retail trade.</w:t>
      </w:r>
    </w:p>
    <w:p w14:paraId="61142026" w14:textId="77777777" w:rsidR="00537243" w:rsidRPr="00C63B34" w:rsidRDefault="00537243" w:rsidP="00537243">
      <w:pPr>
        <w:jc w:val="both"/>
        <w:rPr>
          <w:rFonts w:ascii="Verdana" w:hAnsi="Verdana"/>
        </w:rPr>
      </w:pPr>
    </w:p>
    <w:p w14:paraId="62E5A404" w14:textId="00157340" w:rsidR="009820C4" w:rsidRPr="00C63B34" w:rsidRDefault="00537243" w:rsidP="005F42E9">
      <w:pPr>
        <w:pStyle w:val="Heading1"/>
        <w:tabs>
          <w:tab w:val="clear" w:pos="3969"/>
          <w:tab w:val="left" w:pos="2410"/>
        </w:tabs>
      </w:pPr>
      <w:r>
        <w:br/>
      </w:r>
      <w:bookmarkStart w:id="8" w:name="_Ref66120157"/>
      <w:r>
        <w:t>Reduction in consumption of certain single-use products</w:t>
      </w:r>
      <w:bookmarkEnd w:id="8"/>
    </w:p>
    <w:p w14:paraId="5075E463" w14:textId="593841C0" w:rsidR="003517C6" w:rsidRDefault="009870C4" w:rsidP="009870C4">
      <w:pPr>
        <w:pStyle w:val="Heading2"/>
        <w:numPr>
          <w:ilvl w:val="0"/>
          <w:numId w:val="0"/>
        </w:numPr>
        <w:tabs>
          <w:tab w:val="clear" w:pos="1701"/>
          <w:tab w:val="left" w:pos="1276"/>
        </w:tabs>
        <w:ind w:left="426"/>
      </w:pPr>
      <w:r>
        <w:t xml:space="preserve">Article </w:t>
      </w:r>
      <w:r w:rsidR="000600E7">
        <w:t>6</w:t>
      </w:r>
      <w:r w:rsidR="00537243">
        <w:br/>
      </w:r>
      <w:bookmarkStart w:id="9" w:name="_Ref66120163"/>
      <w:r w:rsidR="00537243">
        <w:t xml:space="preserve">Products </w:t>
      </w:r>
      <w:proofErr w:type="gramStart"/>
      <w:r w:rsidR="00537243">
        <w:t>covered</w:t>
      </w:r>
      <w:bookmarkEnd w:id="9"/>
      <w:proofErr w:type="gramEnd"/>
    </w:p>
    <w:p w14:paraId="70DD4751" w14:textId="77777777" w:rsidR="006610EC" w:rsidRPr="006610EC" w:rsidRDefault="006610EC" w:rsidP="006610EC"/>
    <w:p w14:paraId="7F902BC6" w14:textId="241162D0" w:rsidR="003517C6" w:rsidRPr="00412FEF" w:rsidRDefault="002B499A" w:rsidP="00C525D6">
      <w:pPr>
        <w:pStyle w:val="ListParagraph"/>
        <w:numPr>
          <w:ilvl w:val="0"/>
          <w:numId w:val="19"/>
        </w:numPr>
        <w:ind w:left="709"/>
        <w:jc w:val="both"/>
        <w:rPr>
          <w:rFonts w:ascii="Verdana" w:hAnsi="Verdana"/>
        </w:rPr>
      </w:pPr>
      <w:bookmarkStart w:id="10" w:name="_Hlk66395012"/>
      <w:r>
        <w:t xml:space="preserve">The objectives and measures set out in this Chapter shall apply </w:t>
      </w:r>
      <w:bookmarkEnd w:id="10"/>
      <w:r>
        <w:t>to the following single-use plastic products:</w:t>
      </w:r>
    </w:p>
    <w:p w14:paraId="4AD81EA3" w14:textId="77777777" w:rsidR="00DB4ADB" w:rsidRDefault="003517C6" w:rsidP="00C525D6">
      <w:pPr>
        <w:pStyle w:val="ListParagraph"/>
        <w:numPr>
          <w:ilvl w:val="0"/>
          <w:numId w:val="21"/>
        </w:numPr>
        <w:spacing w:line="240" w:lineRule="auto"/>
        <w:rPr>
          <w:rFonts w:ascii="Verdana" w:hAnsi="Verdana"/>
        </w:rPr>
      </w:pPr>
      <w:r>
        <w:rPr>
          <w:rFonts w:ascii="Verdana" w:hAnsi="Verdana"/>
        </w:rPr>
        <w:t>Cups for beverage, including their covers and lids;</w:t>
      </w:r>
    </w:p>
    <w:p w14:paraId="759F0DDA" w14:textId="724DD719" w:rsidR="00DB4ADB" w:rsidRPr="00DB4ADB" w:rsidRDefault="00DB4ADB" w:rsidP="00C525D6">
      <w:pPr>
        <w:pStyle w:val="ListParagraph"/>
        <w:numPr>
          <w:ilvl w:val="0"/>
          <w:numId w:val="21"/>
        </w:numPr>
        <w:spacing w:line="240" w:lineRule="auto"/>
        <w:rPr>
          <w:rFonts w:ascii="Verdana" w:hAnsi="Verdana"/>
        </w:rPr>
      </w:pPr>
      <w:r>
        <w:rPr>
          <w:rFonts w:ascii="Verdana" w:hAnsi="Verdana"/>
        </w:rPr>
        <w:t xml:space="preserve">Food containers, i.e., receptacles such as boxes, with or without a cover, including food containers used for fast food or other meals ready for immediate consumption, except </w:t>
      </w:r>
      <w:r>
        <w:rPr>
          <w:rFonts w:ascii="Verdana" w:hAnsi="Verdana"/>
        </w:rPr>
        <w:lastRenderedPageBreak/>
        <w:t xml:space="preserve">beverage containers, plates and packets and wrappers containing food which: </w:t>
      </w:r>
    </w:p>
    <w:p w14:paraId="12BD86D7" w14:textId="0A3DCCD8" w:rsidR="003517C6" w:rsidRPr="004352AA" w:rsidRDefault="003517C6" w:rsidP="00C525D6">
      <w:pPr>
        <w:pStyle w:val="ListParagraph"/>
        <w:numPr>
          <w:ilvl w:val="2"/>
          <w:numId w:val="7"/>
        </w:numPr>
        <w:tabs>
          <w:tab w:val="left" w:pos="1701"/>
        </w:tabs>
        <w:spacing w:line="240" w:lineRule="auto"/>
        <w:ind w:left="1701" w:hanging="283"/>
        <w:rPr>
          <w:rFonts w:ascii="Verdana" w:hAnsi="Verdana"/>
        </w:rPr>
      </w:pPr>
      <w:r>
        <w:rPr>
          <w:rFonts w:ascii="Verdana" w:hAnsi="Verdana"/>
        </w:rPr>
        <w:t>is intended for immediate consumption, either on-the-spot or take-away;</w:t>
      </w:r>
    </w:p>
    <w:p w14:paraId="668EF09B" w14:textId="77777777" w:rsidR="004854CF" w:rsidRDefault="003517C6" w:rsidP="00C525D6">
      <w:pPr>
        <w:pStyle w:val="ListParagraph"/>
        <w:numPr>
          <w:ilvl w:val="2"/>
          <w:numId w:val="7"/>
        </w:numPr>
        <w:tabs>
          <w:tab w:val="left" w:pos="1701"/>
        </w:tabs>
        <w:spacing w:line="240" w:lineRule="auto"/>
        <w:ind w:left="1701" w:hanging="283"/>
        <w:rPr>
          <w:rFonts w:ascii="Verdana" w:hAnsi="Verdana"/>
        </w:rPr>
      </w:pPr>
      <w:r>
        <w:rPr>
          <w:rFonts w:ascii="Verdana" w:hAnsi="Verdana"/>
        </w:rPr>
        <w:t xml:space="preserve">is typically consumed from the receptacle; and </w:t>
      </w:r>
    </w:p>
    <w:p w14:paraId="731014F2" w14:textId="4EF6A118" w:rsidR="00EE4CF1" w:rsidRPr="004854CF" w:rsidRDefault="003517C6" w:rsidP="00C525D6">
      <w:pPr>
        <w:pStyle w:val="ListParagraph"/>
        <w:numPr>
          <w:ilvl w:val="2"/>
          <w:numId w:val="7"/>
        </w:numPr>
        <w:tabs>
          <w:tab w:val="left" w:pos="1701"/>
        </w:tabs>
        <w:spacing w:line="240" w:lineRule="auto"/>
        <w:ind w:left="1701" w:hanging="283"/>
        <w:rPr>
          <w:rFonts w:ascii="Verdana" w:hAnsi="Verdana"/>
        </w:rPr>
      </w:pPr>
      <w:r>
        <w:rPr>
          <w:rFonts w:ascii="Verdana" w:hAnsi="Verdana"/>
        </w:rPr>
        <w:t xml:space="preserve">is ready to consume without any further preparation, such as cooking, </w:t>
      </w:r>
      <w:proofErr w:type="gramStart"/>
      <w:r>
        <w:rPr>
          <w:rFonts w:ascii="Verdana" w:hAnsi="Verdana"/>
        </w:rPr>
        <w:t>boiling</w:t>
      </w:r>
      <w:proofErr w:type="gramEnd"/>
      <w:r>
        <w:rPr>
          <w:rFonts w:ascii="Verdana" w:hAnsi="Verdana"/>
        </w:rPr>
        <w:t xml:space="preserve"> or heating.</w:t>
      </w:r>
    </w:p>
    <w:p w14:paraId="2AD40F3A" w14:textId="3C9B19E0" w:rsidR="00EE4CF1" w:rsidRPr="00EE4CF1" w:rsidRDefault="00EE4CF1" w:rsidP="00C525D6">
      <w:pPr>
        <w:pStyle w:val="ListParagraph"/>
        <w:numPr>
          <w:ilvl w:val="0"/>
          <w:numId w:val="19"/>
        </w:numPr>
        <w:ind w:left="709"/>
        <w:jc w:val="both"/>
        <w:rPr>
          <w:rFonts w:ascii="Verdana" w:hAnsi="Verdana"/>
        </w:rPr>
      </w:pPr>
      <w:r>
        <w:rPr>
          <w:rFonts w:ascii="Verdana" w:hAnsi="Verdana"/>
        </w:rPr>
        <w:t xml:space="preserve">The measures provided for in this Chapter shall also apply to single-use packaging made of materials of any kind. </w:t>
      </w:r>
    </w:p>
    <w:p w14:paraId="22D8CA39" w14:textId="2458F658" w:rsidR="00EE4CF1" w:rsidRPr="00E0517F" w:rsidRDefault="00EE4CF1" w:rsidP="00E0517F">
      <w:pPr>
        <w:pStyle w:val="ListParagraph"/>
        <w:tabs>
          <w:tab w:val="left" w:pos="1418"/>
        </w:tabs>
        <w:spacing w:line="240" w:lineRule="auto"/>
        <w:ind w:left="928"/>
        <w:jc w:val="both"/>
        <w:rPr>
          <w:rFonts w:ascii="Verdana" w:hAnsi="Verdana"/>
        </w:rPr>
      </w:pPr>
    </w:p>
    <w:p w14:paraId="1D17E251" w14:textId="77777777" w:rsidR="003517C6" w:rsidRPr="003F6B93" w:rsidRDefault="003517C6" w:rsidP="00DA7B55">
      <w:pPr>
        <w:spacing w:line="240" w:lineRule="auto"/>
        <w:rPr>
          <w:rFonts w:ascii="Verdana" w:hAnsi="Verdana"/>
        </w:rPr>
      </w:pPr>
    </w:p>
    <w:p w14:paraId="228E0377" w14:textId="3E6E1736" w:rsidR="006610EC" w:rsidRDefault="009870C4" w:rsidP="009870C4">
      <w:pPr>
        <w:pStyle w:val="Heading2"/>
        <w:numPr>
          <w:ilvl w:val="0"/>
          <w:numId w:val="0"/>
        </w:numPr>
        <w:tabs>
          <w:tab w:val="clear" w:pos="1701"/>
          <w:tab w:val="left" w:pos="1418"/>
        </w:tabs>
        <w:ind w:left="426"/>
      </w:pPr>
      <w:r>
        <w:t xml:space="preserve">Article </w:t>
      </w:r>
      <w:r w:rsidR="000600E7">
        <w:t>7</w:t>
      </w:r>
      <w:r w:rsidR="00771237">
        <w:br/>
        <w:t xml:space="preserve">National </w:t>
      </w:r>
      <w:bookmarkStart w:id="11" w:name="_Ref63441995"/>
      <w:r w:rsidR="00771237">
        <w:t>objectives</w:t>
      </w:r>
      <w:bookmarkEnd w:id="11"/>
    </w:p>
    <w:p w14:paraId="492E42DB" w14:textId="77777777" w:rsidR="006610EC" w:rsidRPr="006610EC" w:rsidRDefault="006610EC" w:rsidP="006610EC"/>
    <w:p w14:paraId="5094710A" w14:textId="7A2B46ED" w:rsidR="00272EF8" w:rsidRPr="007B286C" w:rsidRDefault="00910B5B" w:rsidP="00C525D6">
      <w:pPr>
        <w:pStyle w:val="ListParagraph"/>
        <w:numPr>
          <w:ilvl w:val="0"/>
          <w:numId w:val="20"/>
        </w:numPr>
        <w:ind w:left="709"/>
        <w:jc w:val="both"/>
        <w:rPr>
          <w:rFonts w:ascii="Verdana" w:hAnsi="Verdana"/>
        </w:rPr>
      </w:pPr>
      <w:proofErr w:type="gramStart"/>
      <w:r>
        <w:rPr>
          <w:rFonts w:ascii="Verdana" w:hAnsi="Verdana"/>
        </w:rPr>
        <w:t>In order to</w:t>
      </w:r>
      <w:proofErr w:type="gramEnd"/>
      <w:r>
        <w:rPr>
          <w:rFonts w:ascii="Verdana" w:hAnsi="Verdana"/>
        </w:rPr>
        <w:t xml:space="preserve"> achieve an ambitious and sustained reduction in consumption of the single-use plastic products referred to in paragraph 1 of the preceding Article, the following national objectives are set:</w:t>
      </w:r>
    </w:p>
    <w:p w14:paraId="69C17B00" w14:textId="3D28CD94" w:rsidR="00272EF8" w:rsidRPr="007B286C" w:rsidRDefault="00272EF8" w:rsidP="00C525D6">
      <w:pPr>
        <w:pStyle w:val="ListParagraph"/>
        <w:numPr>
          <w:ilvl w:val="0"/>
          <w:numId w:val="22"/>
        </w:numPr>
        <w:spacing w:line="240" w:lineRule="auto"/>
        <w:rPr>
          <w:rFonts w:ascii="Verdana" w:hAnsi="Verdana"/>
        </w:rPr>
      </w:pPr>
      <w:r>
        <w:rPr>
          <w:rFonts w:ascii="Verdana" w:hAnsi="Verdana"/>
        </w:rPr>
        <w:t xml:space="preserve">By 31 December 2026, a 30 % reduction in consumption compared to 2022; </w:t>
      </w:r>
    </w:p>
    <w:p w14:paraId="3E989E32" w14:textId="400E6B2C" w:rsidR="00272EF8" w:rsidRPr="007B286C" w:rsidRDefault="00272EF8" w:rsidP="00C525D6">
      <w:pPr>
        <w:pStyle w:val="ListParagraph"/>
        <w:numPr>
          <w:ilvl w:val="0"/>
          <w:numId w:val="22"/>
        </w:numPr>
        <w:spacing w:line="240" w:lineRule="auto"/>
        <w:rPr>
          <w:rFonts w:ascii="Verdana" w:hAnsi="Verdana"/>
        </w:rPr>
      </w:pPr>
      <w:r>
        <w:rPr>
          <w:rFonts w:ascii="Verdana" w:hAnsi="Verdana"/>
        </w:rPr>
        <w:t>By 31 December 2030, a reduction in consumption by 50 % compared to 2022.</w:t>
      </w:r>
    </w:p>
    <w:p w14:paraId="71F8F0EB" w14:textId="2BB14403" w:rsidR="00397D00" w:rsidRPr="007B286C" w:rsidRDefault="00272EF8" w:rsidP="00C525D6">
      <w:pPr>
        <w:pStyle w:val="ListParagraph"/>
        <w:numPr>
          <w:ilvl w:val="0"/>
          <w:numId w:val="20"/>
        </w:numPr>
        <w:ind w:left="709"/>
        <w:jc w:val="both"/>
        <w:rPr>
          <w:rFonts w:ascii="Verdana" w:hAnsi="Verdana"/>
        </w:rPr>
      </w:pPr>
      <w:r>
        <w:rPr>
          <w:rFonts w:ascii="Verdana" w:hAnsi="Verdana"/>
        </w:rPr>
        <w:t xml:space="preserve">The Portuguese Environment Agency (APA, I.P.) shall monitor the reduction in consumption of single-use plastic products referred to in the previous paragraph. </w:t>
      </w:r>
    </w:p>
    <w:p w14:paraId="6D006D24" w14:textId="58634EE7" w:rsidR="00CA6349" w:rsidRPr="007B286C" w:rsidRDefault="00CA6349" w:rsidP="00C525D6">
      <w:pPr>
        <w:pStyle w:val="ListParagraph"/>
        <w:numPr>
          <w:ilvl w:val="0"/>
          <w:numId w:val="20"/>
        </w:numPr>
        <w:ind w:left="709"/>
        <w:jc w:val="both"/>
        <w:rPr>
          <w:rFonts w:ascii="Verdana" w:hAnsi="Verdana"/>
        </w:rPr>
      </w:pPr>
      <w:r>
        <w:rPr>
          <w:rFonts w:ascii="Verdana" w:hAnsi="Verdana"/>
        </w:rPr>
        <w:t xml:space="preserve">The objectives set out in paragraph 1 may be revised where it is deemed necessary </w:t>
      </w:r>
      <w:proofErr w:type="gramStart"/>
      <w:r>
        <w:rPr>
          <w:rFonts w:ascii="Verdana" w:hAnsi="Verdana"/>
        </w:rPr>
        <w:t>on the basis of</w:t>
      </w:r>
      <w:proofErr w:type="gramEnd"/>
      <w:r>
        <w:rPr>
          <w:rFonts w:ascii="Verdana" w:hAnsi="Verdana"/>
        </w:rPr>
        <w:t xml:space="preserve"> technological or market reasons, or as a result of developments in European Union law.</w:t>
      </w:r>
    </w:p>
    <w:p w14:paraId="6497D82A" w14:textId="03A8E60E" w:rsidR="00272EF8" w:rsidRPr="007B286C" w:rsidRDefault="0001108C" w:rsidP="00C525D6">
      <w:pPr>
        <w:pStyle w:val="ListParagraph"/>
        <w:numPr>
          <w:ilvl w:val="0"/>
          <w:numId w:val="20"/>
        </w:numPr>
        <w:ind w:left="709"/>
        <w:jc w:val="both"/>
        <w:rPr>
          <w:rFonts w:ascii="Verdana" w:hAnsi="Verdana"/>
        </w:rPr>
      </w:pPr>
      <w:r>
        <w:rPr>
          <w:rFonts w:ascii="Verdana" w:hAnsi="Verdana"/>
        </w:rPr>
        <w:t xml:space="preserve">The reduction targets set out in paragraph 1 shall be measured in units placed on the market, without prejudice to the methodology for calculating and verifying the reduction in consumption of single-use plastic products that will be established by the European Commission by means of an implementing act. </w:t>
      </w:r>
    </w:p>
    <w:p w14:paraId="4A16461A" w14:textId="2C271DA5" w:rsidR="00A75EDB" w:rsidRPr="007B286C" w:rsidRDefault="004400C2" w:rsidP="00C525D6">
      <w:pPr>
        <w:pStyle w:val="ListParagraph"/>
        <w:numPr>
          <w:ilvl w:val="0"/>
          <w:numId w:val="20"/>
        </w:numPr>
        <w:ind w:left="709"/>
        <w:jc w:val="both"/>
        <w:rPr>
          <w:rFonts w:ascii="Verdana" w:hAnsi="Verdana"/>
        </w:rPr>
      </w:pPr>
      <w:bookmarkStart w:id="12" w:name="_Hlk66286637"/>
      <w:r>
        <w:rPr>
          <w:rFonts w:ascii="Verdana" w:hAnsi="Verdana"/>
        </w:rPr>
        <w:t>If any of the objectives referred to in paragraph 1 have not been met, the Government shall consider the adoption of new measures, which may involve, inter alia, the establishment of restrictions on the marketing of its products.</w:t>
      </w:r>
    </w:p>
    <w:bookmarkEnd w:id="12"/>
    <w:p w14:paraId="63E08606" w14:textId="77777777" w:rsidR="003F40CB" w:rsidRPr="00661287" w:rsidRDefault="003F40CB" w:rsidP="003F40CB">
      <w:pPr>
        <w:pStyle w:val="ListParagraph"/>
        <w:ind w:left="928"/>
        <w:jc w:val="both"/>
        <w:rPr>
          <w:rFonts w:ascii="Verdana" w:hAnsi="Verdana" w:cs="Arial"/>
          <w:color w:val="000000" w:themeColor="text1"/>
        </w:rPr>
      </w:pPr>
    </w:p>
    <w:p w14:paraId="200B45FB" w14:textId="03D3A032" w:rsidR="006610EC" w:rsidRPr="006610EC" w:rsidRDefault="00AC3F76" w:rsidP="000600E7">
      <w:pPr>
        <w:pStyle w:val="Heading2"/>
        <w:numPr>
          <w:ilvl w:val="0"/>
          <w:numId w:val="0"/>
        </w:numPr>
        <w:tabs>
          <w:tab w:val="clear" w:pos="1701"/>
          <w:tab w:val="left" w:pos="1276"/>
        </w:tabs>
        <w:ind w:left="426"/>
      </w:pPr>
      <w:r>
        <w:lastRenderedPageBreak/>
        <w:t xml:space="preserve">Article </w:t>
      </w:r>
      <w:r w:rsidR="000600E7">
        <w:t>8</w:t>
      </w:r>
      <w:r w:rsidR="00272EF8">
        <w:br/>
        <w:t>Measures</w:t>
      </w:r>
    </w:p>
    <w:p w14:paraId="1030757F" w14:textId="01220FF2" w:rsidR="00D73085" w:rsidRPr="007B286C" w:rsidRDefault="00D73085" w:rsidP="00C525D6">
      <w:pPr>
        <w:pStyle w:val="ListParagraph"/>
        <w:numPr>
          <w:ilvl w:val="0"/>
          <w:numId w:val="23"/>
        </w:numPr>
        <w:tabs>
          <w:tab w:val="left" w:pos="993"/>
        </w:tabs>
        <w:ind w:left="709"/>
        <w:jc w:val="both"/>
        <w:rPr>
          <w:rFonts w:ascii="Verdana" w:hAnsi="Verdana"/>
        </w:rPr>
      </w:pPr>
      <w:bookmarkStart w:id="13" w:name="_Hlk65426299"/>
      <w:r>
        <w:rPr>
          <w:rFonts w:ascii="Verdana" w:hAnsi="Verdana"/>
        </w:rPr>
        <w:t xml:space="preserve">From 1 January 2023, establishments using single-use packaging for food and beverages for the supply of ready-to-eat meals for immediate consumption and take-away or for home delivery shall be required to make reusable alternatives available to their customers by charging a deposit which will be refunded upon returning the packaging in accordance with Article 23 of </w:t>
      </w:r>
      <w:proofErr w:type="spellStart"/>
      <w:r>
        <w:rPr>
          <w:rFonts w:ascii="Verdana" w:hAnsi="Verdana"/>
        </w:rPr>
        <w:t>Unilex</w:t>
      </w:r>
      <w:proofErr w:type="spellEnd"/>
      <w:r>
        <w:rPr>
          <w:rFonts w:ascii="Verdana" w:hAnsi="Verdana"/>
        </w:rPr>
        <w:t>.</w:t>
      </w:r>
    </w:p>
    <w:bookmarkEnd w:id="13"/>
    <w:p w14:paraId="4BFA6D9C" w14:textId="0D8D0465" w:rsidR="002845B5" w:rsidRPr="007B286C" w:rsidRDefault="002845B5" w:rsidP="00C525D6">
      <w:pPr>
        <w:pStyle w:val="ListParagraph"/>
        <w:numPr>
          <w:ilvl w:val="0"/>
          <w:numId w:val="23"/>
        </w:numPr>
        <w:tabs>
          <w:tab w:val="left" w:pos="993"/>
        </w:tabs>
        <w:ind w:left="709"/>
        <w:jc w:val="both"/>
        <w:rPr>
          <w:rFonts w:ascii="Verdana" w:hAnsi="Verdana"/>
        </w:rPr>
      </w:pPr>
      <w:r>
        <w:rPr>
          <w:rFonts w:ascii="Verdana" w:hAnsi="Verdana"/>
        </w:rPr>
        <w:t>The establishments provided for in the preceding paragraph cannot make available a sales unit consisting of the product and reusable packaging at a higher price or under less advantageous conditions compared to the sales unit consisting of the same product and single-use packaging.</w:t>
      </w:r>
    </w:p>
    <w:p w14:paraId="37D279AC" w14:textId="10E0978B" w:rsidR="002845B5" w:rsidRPr="007B286C" w:rsidRDefault="002845B5" w:rsidP="00C525D6">
      <w:pPr>
        <w:pStyle w:val="ListParagraph"/>
        <w:numPr>
          <w:ilvl w:val="0"/>
          <w:numId w:val="23"/>
        </w:numPr>
        <w:tabs>
          <w:tab w:val="left" w:pos="993"/>
        </w:tabs>
        <w:ind w:left="709"/>
        <w:jc w:val="both"/>
        <w:rPr>
          <w:rFonts w:ascii="Verdana" w:hAnsi="Verdana"/>
        </w:rPr>
      </w:pPr>
      <w:bookmarkStart w:id="14" w:name="_Hlk65426360"/>
      <w:r>
        <w:rPr>
          <w:rFonts w:ascii="Verdana" w:hAnsi="Verdana"/>
        </w:rPr>
        <w:t>The establishments referred to in paragraph 1 with a surface area of less than 150 square metres may choose not to comply with paragraph 1, without prejudice to compliance with the obligations laid down in Article 25</w:t>
      </w:r>
      <w:proofErr w:type="gramStart"/>
      <w:r>
        <w:rPr>
          <w:rFonts w:ascii="Verdana" w:hAnsi="Verdana"/>
        </w:rPr>
        <w:t>b(</w:t>
      </w:r>
      <w:proofErr w:type="gramEnd"/>
      <w:r>
        <w:rPr>
          <w:rFonts w:ascii="Verdana" w:hAnsi="Verdana"/>
        </w:rPr>
        <w:t xml:space="preserve">1) of </w:t>
      </w:r>
      <w:proofErr w:type="spellStart"/>
      <w:r>
        <w:rPr>
          <w:rFonts w:ascii="Verdana" w:hAnsi="Verdana"/>
        </w:rPr>
        <w:t>Unilex</w:t>
      </w:r>
      <w:proofErr w:type="spellEnd"/>
      <w:r>
        <w:rPr>
          <w:rFonts w:ascii="Verdana" w:hAnsi="Verdana"/>
        </w:rPr>
        <w:t xml:space="preserve">. </w:t>
      </w:r>
    </w:p>
    <w:bookmarkEnd w:id="14"/>
    <w:p w14:paraId="2092922E" w14:textId="7B8B12EB" w:rsidR="002845B5" w:rsidRPr="007B286C" w:rsidRDefault="001A4D54" w:rsidP="00C525D6">
      <w:pPr>
        <w:pStyle w:val="ListParagraph"/>
        <w:numPr>
          <w:ilvl w:val="0"/>
          <w:numId w:val="23"/>
        </w:numPr>
        <w:tabs>
          <w:tab w:val="left" w:pos="993"/>
        </w:tabs>
        <w:ind w:left="709"/>
        <w:jc w:val="both"/>
        <w:rPr>
          <w:rFonts w:ascii="Verdana" w:hAnsi="Verdana"/>
        </w:rPr>
      </w:pPr>
      <w:r>
        <w:rPr>
          <w:rFonts w:ascii="Verdana" w:hAnsi="Verdana"/>
        </w:rPr>
        <w:t>In the case of the supply of ready-to-eat meals by means of vending machines which use single-use packaging for food and beverages, compliance with the obligation to make reusable alternatives available can be ensured by enabling customers to use their own containers, and this option should be clearly indicated by providing the necessary information.</w:t>
      </w:r>
    </w:p>
    <w:p w14:paraId="2161C326" w14:textId="722EFAC1" w:rsidR="009B01EE" w:rsidRPr="007B286C" w:rsidRDefault="009B01EE" w:rsidP="00C525D6">
      <w:pPr>
        <w:pStyle w:val="ListParagraph"/>
        <w:numPr>
          <w:ilvl w:val="0"/>
          <w:numId w:val="23"/>
        </w:numPr>
        <w:tabs>
          <w:tab w:val="left" w:pos="993"/>
        </w:tabs>
        <w:ind w:left="709"/>
        <w:jc w:val="both"/>
        <w:rPr>
          <w:rFonts w:ascii="Verdana" w:hAnsi="Verdana"/>
        </w:rPr>
      </w:pPr>
      <w:r>
        <w:rPr>
          <w:rFonts w:ascii="Verdana" w:hAnsi="Verdana"/>
        </w:rPr>
        <w:t xml:space="preserve">From 1 January 2022, the use of re-usable dishes in all restaurant or beverage establishments shall be mandatory in the case of sale for on-the-spot consumption. </w:t>
      </w:r>
    </w:p>
    <w:p w14:paraId="498C4088" w14:textId="694CDB5F" w:rsidR="002845B5" w:rsidRPr="007B286C" w:rsidRDefault="002845B5" w:rsidP="00C525D6">
      <w:pPr>
        <w:pStyle w:val="ListParagraph"/>
        <w:numPr>
          <w:ilvl w:val="0"/>
          <w:numId w:val="23"/>
        </w:numPr>
        <w:tabs>
          <w:tab w:val="left" w:pos="993"/>
        </w:tabs>
        <w:ind w:left="709"/>
        <w:jc w:val="both"/>
        <w:rPr>
          <w:rFonts w:ascii="Verdana" w:hAnsi="Verdana"/>
        </w:rPr>
      </w:pPr>
      <w:r>
        <w:rPr>
          <w:rFonts w:ascii="Verdana" w:hAnsi="Verdana"/>
        </w:rPr>
        <w:t>In accordance with the measure provided for in Article 25</w:t>
      </w:r>
      <w:proofErr w:type="gramStart"/>
      <w:r>
        <w:rPr>
          <w:rFonts w:ascii="Verdana" w:hAnsi="Verdana"/>
        </w:rPr>
        <w:t>a(</w:t>
      </w:r>
      <w:proofErr w:type="gramEnd"/>
      <w:r>
        <w:rPr>
          <w:rFonts w:ascii="Verdana" w:hAnsi="Verdana"/>
        </w:rPr>
        <w:t xml:space="preserve">5) of </w:t>
      </w:r>
      <w:proofErr w:type="spellStart"/>
      <w:r>
        <w:rPr>
          <w:rFonts w:ascii="Verdana" w:hAnsi="Verdana"/>
        </w:rPr>
        <w:t>Unilex</w:t>
      </w:r>
      <w:proofErr w:type="spellEnd"/>
      <w:r>
        <w:rPr>
          <w:rFonts w:ascii="Verdana" w:hAnsi="Verdana"/>
        </w:rPr>
        <w:t>, cups to be made available in establishments in the hotel, restaurant and catering sector shall be reusable.</w:t>
      </w:r>
    </w:p>
    <w:p w14:paraId="41413B7A" w14:textId="374ECD6A" w:rsidR="00794BCB" w:rsidRPr="007B286C" w:rsidRDefault="00794BCB" w:rsidP="00C525D6">
      <w:pPr>
        <w:pStyle w:val="ListParagraph"/>
        <w:numPr>
          <w:ilvl w:val="0"/>
          <w:numId w:val="23"/>
        </w:numPr>
        <w:tabs>
          <w:tab w:val="left" w:pos="993"/>
        </w:tabs>
        <w:ind w:left="709"/>
        <w:jc w:val="both"/>
        <w:rPr>
          <w:rFonts w:ascii="Verdana" w:hAnsi="Verdana"/>
        </w:rPr>
      </w:pPr>
      <w:r>
        <w:rPr>
          <w:rFonts w:ascii="Verdana" w:hAnsi="Verdana"/>
        </w:rPr>
        <w:t xml:space="preserve"> The producers of cups for beverages and food containers referred to in Article 6(1), individually or through integrated management systems, shall promote the research and development of sustainable alternative solutions to such single-use plastic products by presenting their results to APA, I.P. and the Directorate-General for Economic Activities (DGAE) by 30 June 2024.</w:t>
      </w:r>
    </w:p>
    <w:p w14:paraId="4488AD4B" w14:textId="679C933C" w:rsidR="00794BCB" w:rsidRPr="007B286C" w:rsidRDefault="00794BCB" w:rsidP="00C525D6">
      <w:pPr>
        <w:pStyle w:val="ListParagraph"/>
        <w:numPr>
          <w:ilvl w:val="0"/>
          <w:numId w:val="23"/>
        </w:numPr>
        <w:tabs>
          <w:tab w:val="left" w:pos="993"/>
        </w:tabs>
        <w:ind w:left="709"/>
        <w:jc w:val="both"/>
        <w:rPr>
          <w:rFonts w:ascii="Verdana" w:hAnsi="Verdana"/>
        </w:rPr>
      </w:pPr>
      <w:r>
        <w:rPr>
          <w:rFonts w:ascii="Verdana" w:hAnsi="Verdana"/>
        </w:rPr>
        <w:t>Depending on the findings referred to in the previous paragraph, the Government shall assess the implementation of incentives for innovation and eco-design projects that contribute to the replacement of single-use plastic products.</w:t>
      </w:r>
    </w:p>
    <w:p w14:paraId="674B59CC" w14:textId="17533D97" w:rsidR="002B55CA" w:rsidRPr="007B286C" w:rsidRDefault="002845B5" w:rsidP="00C525D6">
      <w:pPr>
        <w:pStyle w:val="ListParagraph"/>
        <w:numPr>
          <w:ilvl w:val="0"/>
          <w:numId w:val="23"/>
        </w:numPr>
        <w:tabs>
          <w:tab w:val="left" w:pos="993"/>
        </w:tabs>
        <w:ind w:left="709"/>
        <w:jc w:val="both"/>
        <w:rPr>
          <w:rFonts w:ascii="Verdana" w:hAnsi="Verdana"/>
        </w:rPr>
      </w:pPr>
      <w:r>
        <w:lastRenderedPageBreak/>
        <w:t xml:space="preserve">They shall also contribute to the achievement of the objectives set out in Article 7, Article 25b of </w:t>
      </w:r>
      <w:proofErr w:type="spellStart"/>
      <w:r>
        <w:t>Unilex</w:t>
      </w:r>
      <w:proofErr w:type="spellEnd"/>
      <w:r>
        <w:t xml:space="preserve"> and Article 320 of Law No 75-B/2020 of 31 December.</w:t>
      </w:r>
    </w:p>
    <w:p w14:paraId="3A42FDB6" w14:textId="6F6E9142" w:rsidR="00824535" w:rsidRPr="007B286C" w:rsidRDefault="00824535" w:rsidP="00C525D6">
      <w:pPr>
        <w:pStyle w:val="ListParagraph"/>
        <w:numPr>
          <w:ilvl w:val="0"/>
          <w:numId w:val="23"/>
        </w:numPr>
        <w:tabs>
          <w:tab w:val="left" w:pos="993"/>
        </w:tabs>
        <w:ind w:left="709"/>
        <w:jc w:val="both"/>
        <w:rPr>
          <w:rFonts w:ascii="Verdana" w:hAnsi="Verdana"/>
        </w:rPr>
      </w:pPr>
      <w:r>
        <w:t>By 31 December 2024, the APA, I.P. and DGAE shall have assessed the need to introduce new measures to support the achievement of the objectives referred to in Article 7.</w:t>
      </w:r>
    </w:p>
    <w:p w14:paraId="05FAE9EA" w14:textId="77777777" w:rsidR="00DB4ADB" w:rsidRPr="00BF777F" w:rsidRDefault="00DB4ADB" w:rsidP="00DB4ADB">
      <w:pPr>
        <w:pStyle w:val="CommentText"/>
        <w:ind w:left="928"/>
        <w:jc w:val="both"/>
        <w:rPr>
          <w:rFonts w:ascii="Verdana" w:hAnsi="Verdana"/>
          <w:sz w:val="22"/>
          <w:szCs w:val="22"/>
          <w:shd w:val="clear" w:color="auto" w:fill="F5F5F5"/>
        </w:rPr>
      </w:pPr>
    </w:p>
    <w:p w14:paraId="61C7EC5F" w14:textId="1597687A" w:rsidR="00272EF8" w:rsidRDefault="00272EF8" w:rsidP="00241552">
      <w:pPr>
        <w:pStyle w:val="ListParagraph"/>
        <w:jc w:val="center"/>
        <w:rPr>
          <w:rFonts w:ascii="Verdana" w:hAnsi="Verdana" w:cs="Arial"/>
          <w:sz w:val="21"/>
          <w:szCs w:val="21"/>
        </w:rPr>
      </w:pPr>
    </w:p>
    <w:p w14:paraId="4DC3DC77" w14:textId="0D77645C" w:rsidR="00272EF8" w:rsidRDefault="00AC3F76" w:rsidP="000600E7">
      <w:pPr>
        <w:pStyle w:val="Heading2"/>
        <w:numPr>
          <w:ilvl w:val="0"/>
          <w:numId w:val="0"/>
        </w:numPr>
        <w:tabs>
          <w:tab w:val="clear" w:pos="1701"/>
          <w:tab w:val="left" w:pos="1276"/>
        </w:tabs>
        <w:ind w:left="426"/>
      </w:pPr>
      <w:r>
        <w:t xml:space="preserve">Article </w:t>
      </w:r>
      <w:r w:rsidR="000600E7">
        <w:t>9</w:t>
      </w:r>
      <w:r w:rsidR="00544073">
        <w:br/>
        <w:t>Sectoral agreement</w:t>
      </w:r>
      <w:bookmarkStart w:id="15" w:name="_Ref66120795"/>
    </w:p>
    <w:p w14:paraId="31D06C8D" w14:textId="77777777" w:rsidR="00014396" w:rsidRPr="00014396" w:rsidRDefault="00014396" w:rsidP="00014396"/>
    <w:bookmarkEnd w:id="15"/>
    <w:p w14:paraId="0A4B94C3" w14:textId="7BF6D273" w:rsidR="003517C6" w:rsidRPr="007B286C" w:rsidRDefault="00544073" w:rsidP="00C525D6">
      <w:pPr>
        <w:pStyle w:val="ListParagraph"/>
        <w:numPr>
          <w:ilvl w:val="0"/>
          <w:numId w:val="25"/>
        </w:numPr>
        <w:tabs>
          <w:tab w:val="left" w:pos="993"/>
        </w:tabs>
        <w:ind w:left="709"/>
        <w:jc w:val="both"/>
        <w:rPr>
          <w:rFonts w:ascii="Verdana" w:hAnsi="Verdana"/>
        </w:rPr>
      </w:pPr>
      <w:r>
        <w:t xml:space="preserve">The results achieved through a sectoral agreement to be concluded between the DGAE and all the representative structures of the various sectors involved in industry, trade, </w:t>
      </w:r>
      <w:proofErr w:type="gramStart"/>
      <w:r>
        <w:t>distribution</w:t>
      </w:r>
      <w:proofErr w:type="gramEnd"/>
      <w:r>
        <w:t xml:space="preserve"> and catering shall contribute to the achievement of the objectives set out in the report.</w:t>
      </w:r>
    </w:p>
    <w:p w14:paraId="58E91BDD" w14:textId="238AB656" w:rsidR="000216F2" w:rsidRPr="007B286C" w:rsidRDefault="000216F2" w:rsidP="00C525D6">
      <w:pPr>
        <w:pStyle w:val="ListParagraph"/>
        <w:numPr>
          <w:ilvl w:val="0"/>
          <w:numId w:val="25"/>
        </w:numPr>
        <w:tabs>
          <w:tab w:val="left" w:pos="993"/>
        </w:tabs>
        <w:ind w:left="709"/>
        <w:jc w:val="both"/>
        <w:rPr>
          <w:rFonts w:ascii="Verdana" w:hAnsi="Verdana"/>
        </w:rPr>
      </w:pPr>
      <w:r>
        <w:rPr>
          <w:rFonts w:ascii="Verdana" w:hAnsi="Verdana"/>
        </w:rPr>
        <w:t xml:space="preserve">Any other entity which operates within the sectors referred to in the preceding paragraph which has not incorporated the representative structures may also voluntarily accede to the Agreement. </w:t>
      </w:r>
    </w:p>
    <w:p w14:paraId="2B3D80B9" w14:textId="77777777" w:rsidR="00544073" w:rsidRPr="007B286C" w:rsidRDefault="00544073" w:rsidP="00C525D6">
      <w:pPr>
        <w:pStyle w:val="ListParagraph"/>
        <w:numPr>
          <w:ilvl w:val="0"/>
          <w:numId w:val="25"/>
        </w:numPr>
        <w:tabs>
          <w:tab w:val="left" w:pos="993"/>
        </w:tabs>
        <w:ind w:left="709"/>
        <w:jc w:val="both"/>
        <w:rPr>
          <w:rFonts w:ascii="Verdana" w:hAnsi="Verdana"/>
        </w:rPr>
      </w:pPr>
      <w:bookmarkStart w:id="16" w:name="_Ref66120801"/>
      <w:r>
        <w:rPr>
          <w:rFonts w:ascii="Verdana" w:hAnsi="Verdana"/>
        </w:rPr>
        <w:t>The agreements referred to in the previous paragraph must comply with the following requirements:</w:t>
      </w:r>
      <w:bookmarkEnd w:id="16"/>
    </w:p>
    <w:p w14:paraId="380A7111" w14:textId="2AD04D67" w:rsidR="00544073" w:rsidRPr="00F7675E" w:rsidRDefault="00544073" w:rsidP="00C525D6">
      <w:pPr>
        <w:pStyle w:val="ListParagraph"/>
        <w:numPr>
          <w:ilvl w:val="0"/>
          <w:numId w:val="24"/>
        </w:numPr>
        <w:spacing w:line="240" w:lineRule="auto"/>
        <w:rPr>
          <w:rFonts w:ascii="Verdana" w:hAnsi="Verdana"/>
        </w:rPr>
      </w:pPr>
      <w:r>
        <w:rPr>
          <w:rFonts w:ascii="Verdana" w:hAnsi="Verdana"/>
        </w:rPr>
        <w:t xml:space="preserve">The agreements shall specify the objectives, sector-specific </w:t>
      </w:r>
      <w:proofErr w:type="gramStart"/>
      <w:r>
        <w:rPr>
          <w:rFonts w:ascii="Verdana" w:hAnsi="Verdana"/>
        </w:rPr>
        <w:t>measures</w:t>
      </w:r>
      <w:proofErr w:type="gramEnd"/>
      <w:r>
        <w:rPr>
          <w:rFonts w:ascii="Verdana" w:hAnsi="Verdana"/>
        </w:rPr>
        <w:t xml:space="preserve"> and corresponding time limits, depending on the sector, type of product and/or size of the entities concerned;</w:t>
      </w:r>
    </w:p>
    <w:p w14:paraId="03A0617C" w14:textId="6F08D608" w:rsidR="00544073" w:rsidRPr="00F7675E" w:rsidRDefault="00544073" w:rsidP="00C525D6">
      <w:pPr>
        <w:pStyle w:val="ListParagraph"/>
        <w:numPr>
          <w:ilvl w:val="0"/>
          <w:numId w:val="24"/>
        </w:numPr>
        <w:spacing w:line="240" w:lineRule="auto"/>
        <w:rPr>
          <w:rFonts w:ascii="Verdana" w:hAnsi="Verdana"/>
        </w:rPr>
      </w:pPr>
      <w:r>
        <w:rPr>
          <w:rFonts w:ascii="Verdana" w:hAnsi="Verdana"/>
        </w:rPr>
        <w:t>The results achieved under the agreements shall be monitored annually by the DGAE and made available to the public under the conditions laid down in the agreement itself;</w:t>
      </w:r>
    </w:p>
    <w:p w14:paraId="1B81D803" w14:textId="77777777" w:rsidR="00A21790" w:rsidRPr="00F7675E" w:rsidRDefault="00284CB1" w:rsidP="00C525D6">
      <w:pPr>
        <w:pStyle w:val="ListParagraph"/>
        <w:numPr>
          <w:ilvl w:val="0"/>
          <w:numId w:val="24"/>
        </w:numPr>
        <w:spacing w:line="240" w:lineRule="auto"/>
        <w:rPr>
          <w:rFonts w:ascii="Verdana" w:hAnsi="Verdana"/>
        </w:rPr>
      </w:pPr>
      <w:r>
        <w:rPr>
          <w:rFonts w:ascii="Verdana" w:hAnsi="Verdana"/>
        </w:rPr>
        <w:t>The agreements shall be published on the DGAE website.</w:t>
      </w:r>
    </w:p>
    <w:p w14:paraId="2B468A49" w14:textId="699C2C5C" w:rsidR="00284CB1" w:rsidRPr="00F7675E" w:rsidRDefault="00A21790" w:rsidP="00C525D6">
      <w:pPr>
        <w:pStyle w:val="ListParagraph"/>
        <w:numPr>
          <w:ilvl w:val="0"/>
          <w:numId w:val="25"/>
        </w:numPr>
        <w:tabs>
          <w:tab w:val="left" w:pos="993"/>
        </w:tabs>
        <w:ind w:left="709"/>
        <w:jc w:val="both"/>
        <w:rPr>
          <w:rFonts w:ascii="Verdana" w:hAnsi="Verdana"/>
        </w:rPr>
      </w:pPr>
      <w:r>
        <w:rPr>
          <w:rFonts w:ascii="Verdana" w:hAnsi="Verdana"/>
        </w:rPr>
        <w:t>Any information arising from the monitoring of the sectoral arrangements referred to in point (b) of the previous paragraph which contributes to the assessment of the reduction in consumption of single-use plastic products, shall be sent annually to APA, I.P.</w:t>
      </w:r>
    </w:p>
    <w:p w14:paraId="402788C3" w14:textId="0921CCEE" w:rsidR="00743415" w:rsidRPr="00F7675E" w:rsidRDefault="00544073" w:rsidP="00C525D6">
      <w:pPr>
        <w:pStyle w:val="ListParagraph"/>
        <w:numPr>
          <w:ilvl w:val="0"/>
          <w:numId w:val="25"/>
        </w:numPr>
        <w:tabs>
          <w:tab w:val="left" w:pos="993"/>
        </w:tabs>
        <w:ind w:left="709"/>
        <w:jc w:val="both"/>
        <w:rPr>
          <w:rFonts w:ascii="Verdana" w:hAnsi="Verdana"/>
        </w:rPr>
      </w:pPr>
      <w:r>
        <w:rPr>
          <w:rFonts w:ascii="Verdana" w:hAnsi="Verdana"/>
        </w:rPr>
        <w:t xml:space="preserve">The agreements referred to in the previous paragraphs shall be drawn up and published by 30 June 2023. </w:t>
      </w:r>
    </w:p>
    <w:p w14:paraId="0324057B" w14:textId="77777777" w:rsidR="00284CB1" w:rsidRPr="00407DEE" w:rsidRDefault="00284CB1" w:rsidP="00407DEE">
      <w:pPr>
        <w:pStyle w:val="ListParagraph"/>
        <w:ind w:left="928"/>
        <w:jc w:val="both"/>
        <w:rPr>
          <w:rFonts w:ascii="Verdana" w:hAnsi="Verdana" w:cs="Arial"/>
        </w:rPr>
      </w:pPr>
    </w:p>
    <w:p w14:paraId="21D34718" w14:textId="4B6E5EB2" w:rsidR="00D61808" w:rsidRPr="008A461E" w:rsidRDefault="008A461E" w:rsidP="008A461E">
      <w:pPr>
        <w:pStyle w:val="Heading1"/>
        <w:tabs>
          <w:tab w:val="clear" w:pos="3969"/>
          <w:tab w:val="left" w:pos="2268"/>
          <w:tab w:val="left" w:pos="2410"/>
        </w:tabs>
      </w:pPr>
      <w:r>
        <w:br/>
        <w:t>Requirements for single-use plastic products</w:t>
      </w:r>
    </w:p>
    <w:p w14:paraId="4261089B" w14:textId="77777777" w:rsidR="00F256AF" w:rsidRPr="0023255A" w:rsidRDefault="00F256AF" w:rsidP="00DA7B55">
      <w:pPr>
        <w:autoSpaceDE w:val="0"/>
        <w:autoSpaceDN w:val="0"/>
        <w:adjustRightInd w:val="0"/>
        <w:rPr>
          <w:rFonts w:ascii="Verdana" w:hAnsi="Verdana" w:cs="EU Albertina"/>
          <w:color w:val="000000"/>
        </w:rPr>
      </w:pPr>
    </w:p>
    <w:p w14:paraId="1DDF2FB0" w14:textId="56BF29EE" w:rsidR="000B1395" w:rsidRPr="00407DEE" w:rsidRDefault="00AC3F76" w:rsidP="000600E7">
      <w:pPr>
        <w:pStyle w:val="Heading2"/>
        <w:numPr>
          <w:ilvl w:val="0"/>
          <w:numId w:val="0"/>
        </w:numPr>
        <w:tabs>
          <w:tab w:val="clear" w:pos="1701"/>
          <w:tab w:val="left" w:pos="1276"/>
        </w:tabs>
        <w:ind w:left="426"/>
      </w:pPr>
      <w:bookmarkStart w:id="17" w:name="_Ref66120924"/>
      <w:r>
        <w:t xml:space="preserve">Article </w:t>
      </w:r>
      <w:r w:rsidR="000600E7">
        <w:t>10</w:t>
      </w:r>
      <w:r w:rsidR="00407DEE">
        <w:br/>
      </w:r>
      <w:bookmarkEnd w:id="17"/>
      <w:r w:rsidR="00407DEE">
        <w:t>Design requirements for beverage containers</w:t>
      </w:r>
    </w:p>
    <w:p w14:paraId="32932739" w14:textId="77777777" w:rsidR="006610EC" w:rsidRPr="000B1395" w:rsidRDefault="006610EC" w:rsidP="000B1395">
      <w:pPr>
        <w:jc w:val="center"/>
        <w:rPr>
          <w:rFonts w:ascii="Verdana" w:hAnsi="Verdana"/>
          <w:b/>
        </w:rPr>
      </w:pPr>
    </w:p>
    <w:p w14:paraId="3F2E2D86" w14:textId="4AAAD1B0" w:rsidR="000B1395" w:rsidRDefault="000B1395" w:rsidP="00C525D6">
      <w:pPr>
        <w:pStyle w:val="ListParagraph"/>
        <w:numPr>
          <w:ilvl w:val="0"/>
          <w:numId w:val="26"/>
        </w:numPr>
        <w:tabs>
          <w:tab w:val="left" w:pos="993"/>
        </w:tabs>
        <w:ind w:left="709"/>
        <w:jc w:val="both"/>
        <w:rPr>
          <w:rFonts w:ascii="Verdana" w:hAnsi="Verdana"/>
        </w:rPr>
      </w:pPr>
      <w:r>
        <w:rPr>
          <w:rFonts w:ascii="Verdana" w:hAnsi="Verdana"/>
        </w:rPr>
        <w:t>From 3 July 2024, single-use plastic containers for beverages with a capacity of up to three litres, i.e., receptacles used to contain liquid, such as beverage bottles and composite beverage packaging including their caps and lids, when those cap and lids remain attached to the containers during the product’s intended use stage.</w:t>
      </w:r>
    </w:p>
    <w:p w14:paraId="6995420C" w14:textId="45131C9A" w:rsidR="000B1395" w:rsidRPr="00182AD4" w:rsidRDefault="00407DEE" w:rsidP="00C525D6">
      <w:pPr>
        <w:pStyle w:val="ListParagraph"/>
        <w:numPr>
          <w:ilvl w:val="0"/>
          <w:numId w:val="26"/>
        </w:numPr>
        <w:tabs>
          <w:tab w:val="left" w:pos="993"/>
        </w:tabs>
        <w:ind w:left="709"/>
        <w:jc w:val="both"/>
        <w:rPr>
          <w:rFonts w:ascii="Verdana" w:hAnsi="Verdana"/>
        </w:rPr>
      </w:pPr>
      <w:r>
        <w:rPr>
          <w:rFonts w:ascii="Verdana" w:hAnsi="Verdana"/>
        </w:rPr>
        <w:t>The following are excluded from the previous paragraph:</w:t>
      </w:r>
    </w:p>
    <w:p w14:paraId="1E13B46E" w14:textId="77777777" w:rsidR="000B1395" w:rsidRPr="00F7675E" w:rsidRDefault="000B1395" w:rsidP="00C525D6">
      <w:pPr>
        <w:pStyle w:val="ListParagraph"/>
        <w:numPr>
          <w:ilvl w:val="0"/>
          <w:numId w:val="27"/>
        </w:numPr>
        <w:spacing w:line="240" w:lineRule="auto"/>
        <w:rPr>
          <w:rFonts w:ascii="Verdana" w:hAnsi="Verdana"/>
        </w:rPr>
      </w:pPr>
      <w:r>
        <w:rPr>
          <w:rFonts w:ascii="Verdana" w:hAnsi="Verdana"/>
        </w:rPr>
        <w:t xml:space="preserve">Glass or metal beverage containers that have caps and lids made from plastic; </w:t>
      </w:r>
    </w:p>
    <w:p w14:paraId="74FDB347" w14:textId="77777777" w:rsidR="000B1395" w:rsidRPr="00F7675E" w:rsidRDefault="000B1395" w:rsidP="00C525D6">
      <w:pPr>
        <w:pStyle w:val="ListParagraph"/>
        <w:numPr>
          <w:ilvl w:val="0"/>
          <w:numId w:val="27"/>
        </w:numPr>
        <w:spacing w:line="240" w:lineRule="auto"/>
        <w:rPr>
          <w:rFonts w:ascii="Verdana" w:hAnsi="Verdana"/>
        </w:rPr>
      </w:pPr>
      <w:r>
        <w:rPr>
          <w:rFonts w:ascii="Verdana" w:hAnsi="Verdana"/>
        </w:rPr>
        <w:t>Beverage containers intended and used for food for special medical purposes as defined in point (g) of Article 2 of Regulation (EU) No 609/2013 of the European Parliament and of the Council (3) that is in liquid form.</w:t>
      </w:r>
    </w:p>
    <w:p w14:paraId="43D3AA65" w14:textId="0B3AC49C" w:rsidR="000B1395" w:rsidRDefault="000B1395" w:rsidP="00C525D6">
      <w:pPr>
        <w:pStyle w:val="ListParagraph"/>
        <w:numPr>
          <w:ilvl w:val="0"/>
          <w:numId w:val="26"/>
        </w:numPr>
        <w:tabs>
          <w:tab w:val="left" w:pos="993"/>
        </w:tabs>
        <w:ind w:left="709"/>
        <w:jc w:val="both"/>
        <w:rPr>
          <w:rFonts w:ascii="Verdana" w:hAnsi="Verdana"/>
        </w:rPr>
      </w:pPr>
      <w:r>
        <w:rPr>
          <w:rFonts w:ascii="Verdana" w:hAnsi="Verdana"/>
        </w:rPr>
        <w:t xml:space="preserve">For the purposes of the above paragraphs, metal caps or lids with plastic seals shall not </w:t>
      </w:r>
      <w:proofErr w:type="gramStart"/>
      <w:r>
        <w:rPr>
          <w:rFonts w:ascii="Verdana" w:hAnsi="Verdana"/>
        </w:rPr>
        <w:t>be considered to be</w:t>
      </w:r>
      <w:proofErr w:type="gramEnd"/>
      <w:r>
        <w:rPr>
          <w:rFonts w:ascii="Verdana" w:hAnsi="Verdana"/>
        </w:rPr>
        <w:t xml:space="preserve"> made of plastic.</w:t>
      </w:r>
    </w:p>
    <w:p w14:paraId="2A3CCB6B" w14:textId="21E6BCBC" w:rsidR="000B1395" w:rsidRPr="00DB0171" w:rsidRDefault="000B1395" w:rsidP="00C525D6">
      <w:pPr>
        <w:pStyle w:val="ListParagraph"/>
        <w:numPr>
          <w:ilvl w:val="0"/>
          <w:numId w:val="26"/>
        </w:numPr>
        <w:tabs>
          <w:tab w:val="left" w:pos="993"/>
        </w:tabs>
        <w:ind w:left="709"/>
        <w:jc w:val="both"/>
        <w:rPr>
          <w:rFonts w:ascii="Verdana" w:hAnsi="Verdana"/>
        </w:rPr>
      </w:pPr>
      <w:r>
        <w:t>For the purposes of this Article, the single-use plastic products referred to in paragraph 1 shall be presumed to be in conformity with the harmonised standards on this matter, or with the part applicable to them, which shall be published at European Union level, complying with the requirements referred to in paragraph 1.</w:t>
      </w:r>
    </w:p>
    <w:p w14:paraId="14D80B17" w14:textId="77777777" w:rsidR="000B1395" w:rsidRPr="000B1395" w:rsidRDefault="000B1395" w:rsidP="000B1395"/>
    <w:p w14:paraId="47E09CB1" w14:textId="6E6EEAB2" w:rsidR="00910B5B" w:rsidRDefault="00AC3F76" w:rsidP="000600E7">
      <w:pPr>
        <w:pStyle w:val="Heading2"/>
        <w:numPr>
          <w:ilvl w:val="0"/>
          <w:numId w:val="0"/>
        </w:numPr>
        <w:ind w:left="426"/>
      </w:pPr>
      <w:bookmarkStart w:id="18" w:name="_Ref66120945"/>
      <w:r>
        <w:t xml:space="preserve">Article </w:t>
      </w:r>
      <w:r w:rsidR="000600E7">
        <w:t>11</w:t>
      </w:r>
      <w:r w:rsidR="00407DEE">
        <w:br/>
      </w:r>
      <w:bookmarkEnd w:id="18"/>
      <w:r w:rsidR="00407DEE">
        <w:t xml:space="preserve">Requirements for incorporating recycled plastic into beverage </w:t>
      </w:r>
      <w:proofErr w:type="gramStart"/>
      <w:r w:rsidR="00407DEE">
        <w:t>bottles</w:t>
      </w:r>
      <w:proofErr w:type="gramEnd"/>
    </w:p>
    <w:p w14:paraId="71D0ED01" w14:textId="77777777" w:rsidR="00C756A3" w:rsidRPr="00C756A3" w:rsidRDefault="00C756A3" w:rsidP="00C756A3"/>
    <w:p w14:paraId="293CC75C" w14:textId="0F21C308" w:rsidR="00910B5B" w:rsidRDefault="00910B5B" w:rsidP="00C525D6">
      <w:pPr>
        <w:pStyle w:val="ListParagraph"/>
        <w:numPr>
          <w:ilvl w:val="0"/>
          <w:numId w:val="28"/>
        </w:numPr>
        <w:tabs>
          <w:tab w:val="left" w:pos="993"/>
        </w:tabs>
        <w:ind w:left="709"/>
        <w:jc w:val="both"/>
        <w:rPr>
          <w:rFonts w:ascii="Verdana" w:hAnsi="Verdana"/>
        </w:rPr>
      </w:pPr>
      <w:bookmarkStart w:id="19" w:name="_Ref63443128"/>
      <w:bookmarkStart w:id="20" w:name="_Ref66120973"/>
      <w:r>
        <w:t>From 1 January 2025, single-use plastic bottles for beverages with a capacity of up to three litres, including their caps and lids, which are manufactured from polyethylene terephthalate as the major component (‘PET bottles’) must contain at least 25 % recycled plastic, calculated as an average for all PET bottles placed on the market</w:t>
      </w:r>
      <w:bookmarkEnd w:id="19"/>
      <w:r>
        <w:t>.</w:t>
      </w:r>
      <w:bookmarkEnd w:id="20"/>
    </w:p>
    <w:p w14:paraId="1BB8DA42" w14:textId="46544031" w:rsidR="00910B5B" w:rsidRDefault="00910B5B" w:rsidP="00C525D6">
      <w:pPr>
        <w:pStyle w:val="ListParagraph"/>
        <w:numPr>
          <w:ilvl w:val="0"/>
          <w:numId w:val="28"/>
        </w:numPr>
        <w:tabs>
          <w:tab w:val="left" w:pos="993"/>
        </w:tabs>
        <w:ind w:left="709"/>
        <w:jc w:val="both"/>
        <w:rPr>
          <w:rFonts w:ascii="Verdana" w:hAnsi="Verdana"/>
        </w:rPr>
      </w:pPr>
      <w:bookmarkStart w:id="21" w:name="_Ref66120985"/>
      <w:r>
        <w:rPr>
          <w:rFonts w:ascii="Verdana" w:hAnsi="Verdana"/>
        </w:rPr>
        <w:t>From 1 January 2030, single-use plastic bottles for beverages with a capacity of up to three litres, including their caps and lids, must contain at least 30 % recycled plastic, calculated as an average for all bottles for beverages placed on the market.</w:t>
      </w:r>
      <w:bookmarkEnd w:id="21"/>
    </w:p>
    <w:p w14:paraId="1D99D48B" w14:textId="667F57C9" w:rsidR="00910B5B" w:rsidRPr="00B65C65" w:rsidRDefault="00910B5B" w:rsidP="00C525D6">
      <w:pPr>
        <w:pStyle w:val="ListParagraph"/>
        <w:numPr>
          <w:ilvl w:val="0"/>
          <w:numId w:val="28"/>
        </w:numPr>
        <w:tabs>
          <w:tab w:val="left" w:pos="993"/>
        </w:tabs>
        <w:ind w:left="709"/>
        <w:jc w:val="both"/>
        <w:rPr>
          <w:rFonts w:ascii="Verdana" w:hAnsi="Verdana"/>
        </w:rPr>
      </w:pPr>
      <w:r>
        <w:lastRenderedPageBreak/>
        <w:t>The following are excluded from paragraphs 1 and 2 of this Article:</w:t>
      </w:r>
      <w:r>
        <w:rPr>
          <w:rFonts w:ascii="Verdana" w:hAnsi="Verdana"/>
        </w:rPr>
        <w:t xml:space="preserve"> </w:t>
      </w:r>
    </w:p>
    <w:p w14:paraId="317BA5AC" w14:textId="1FBF2639" w:rsidR="00910B5B" w:rsidRPr="00F7675E" w:rsidRDefault="00910B5B" w:rsidP="00C525D6">
      <w:pPr>
        <w:pStyle w:val="ListParagraph"/>
        <w:numPr>
          <w:ilvl w:val="0"/>
          <w:numId w:val="29"/>
        </w:numPr>
        <w:spacing w:line="240" w:lineRule="auto"/>
        <w:rPr>
          <w:rFonts w:ascii="Verdana" w:hAnsi="Verdana"/>
        </w:rPr>
      </w:pPr>
      <w:r>
        <w:rPr>
          <w:rFonts w:ascii="Verdana" w:hAnsi="Verdana"/>
        </w:rPr>
        <w:t>Glass or metal beverage bottles with caps and lids made from plastic;</w:t>
      </w:r>
    </w:p>
    <w:p w14:paraId="6F8F94C4" w14:textId="77777777" w:rsidR="00910B5B" w:rsidRPr="00F7675E" w:rsidRDefault="00910B5B" w:rsidP="00C525D6">
      <w:pPr>
        <w:pStyle w:val="ListParagraph"/>
        <w:numPr>
          <w:ilvl w:val="0"/>
          <w:numId w:val="29"/>
        </w:numPr>
        <w:spacing w:line="240" w:lineRule="auto"/>
        <w:rPr>
          <w:rFonts w:ascii="Verdana" w:hAnsi="Verdana"/>
        </w:rPr>
      </w:pPr>
      <w:r>
        <w:rPr>
          <w:rFonts w:ascii="Verdana" w:hAnsi="Verdana"/>
        </w:rPr>
        <w:t xml:space="preserve">Bottles for beverages intended and used for food for specific medical purposes as defined in point (g) of Article 2 of Regulation (EU) No 609/2013 that is in liquid form. </w:t>
      </w:r>
    </w:p>
    <w:p w14:paraId="724B28DF" w14:textId="77777777" w:rsidR="00910B5B" w:rsidRDefault="00910B5B" w:rsidP="00C525D6">
      <w:pPr>
        <w:pStyle w:val="ListParagraph"/>
        <w:numPr>
          <w:ilvl w:val="0"/>
          <w:numId w:val="28"/>
        </w:numPr>
        <w:tabs>
          <w:tab w:val="left" w:pos="993"/>
        </w:tabs>
        <w:ind w:left="709"/>
        <w:jc w:val="both"/>
        <w:rPr>
          <w:rFonts w:ascii="Verdana" w:hAnsi="Verdana"/>
        </w:rPr>
      </w:pPr>
      <w:r>
        <w:rPr>
          <w:rFonts w:ascii="Verdana" w:hAnsi="Verdana"/>
        </w:rPr>
        <w:t xml:space="preserve">For the purposes of this Article, metal caps or lids with plastic seals shall not </w:t>
      </w:r>
      <w:proofErr w:type="gramStart"/>
      <w:r>
        <w:rPr>
          <w:rFonts w:ascii="Verdana" w:hAnsi="Verdana"/>
        </w:rPr>
        <w:t>be considered to be</w:t>
      </w:r>
      <w:proofErr w:type="gramEnd"/>
      <w:r>
        <w:rPr>
          <w:rFonts w:ascii="Verdana" w:hAnsi="Verdana"/>
        </w:rPr>
        <w:t xml:space="preserve"> made of plastic.</w:t>
      </w:r>
    </w:p>
    <w:p w14:paraId="46E244C4" w14:textId="4F894862" w:rsidR="007E1EED" w:rsidRDefault="00910B5B" w:rsidP="00C525D6">
      <w:pPr>
        <w:pStyle w:val="ListParagraph"/>
        <w:numPr>
          <w:ilvl w:val="0"/>
          <w:numId w:val="28"/>
        </w:numPr>
        <w:tabs>
          <w:tab w:val="left" w:pos="993"/>
        </w:tabs>
        <w:ind w:left="709"/>
        <w:jc w:val="both"/>
        <w:rPr>
          <w:rFonts w:ascii="Verdana" w:hAnsi="Verdana"/>
        </w:rPr>
      </w:pPr>
      <w:r>
        <w:t>The percentages referred to in paragraphs 1 and 2 must be complied with annually by each packager placing its bottles on the market.</w:t>
      </w:r>
    </w:p>
    <w:p w14:paraId="486BF503" w14:textId="1E9AB095" w:rsidR="00910B5B" w:rsidRPr="00B65C65" w:rsidRDefault="007E1EED" w:rsidP="00C525D6">
      <w:pPr>
        <w:pStyle w:val="ListParagraph"/>
        <w:numPr>
          <w:ilvl w:val="0"/>
          <w:numId w:val="28"/>
        </w:numPr>
        <w:tabs>
          <w:tab w:val="left" w:pos="993"/>
        </w:tabs>
        <w:ind w:left="709"/>
        <w:jc w:val="both"/>
        <w:rPr>
          <w:rFonts w:ascii="Verdana" w:hAnsi="Verdana"/>
        </w:rPr>
      </w:pPr>
      <w:r>
        <w:rPr>
          <w:rFonts w:ascii="Verdana" w:hAnsi="Verdana"/>
        </w:rPr>
        <w:t>Packers shall, when requested by the competent authorities, provide appropriate proof of the quantity of recycled plastic contained in beverage bottles, in particular by means of declarations from their manufacturers or suppliers.</w:t>
      </w:r>
    </w:p>
    <w:p w14:paraId="70A3539F" w14:textId="60AAB4A9" w:rsidR="00910B5B" w:rsidRPr="00B65C65" w:rsidRDefault="00910B5B" w:rsidP="00C525D6">
      <w:pPr>
        <w:pStyle w:val="ListParagraph"/>
        <w:numPr>
          <w:ilvl w:val="0"/>
          <w:numId w:val="28"/>
        </w:numPr>
        <w:tabs>
          <w:tab w:val="left" w:pos="993"/>
        </w:tabs>
        <w:ind w:left="709"/>
        <w:jc w:val="both"/>
        <w:rPr>
          <w:rFonts w:ascii="Verdana" w:hAnsi="Verdana"/>
        </w:rPr>
      </w:pPr>
      <w:proofErr w:type="gramStart"/>
      <w:r>
        <w:t>For the purpose of</w:t>
      </w:r>
      <w:proofErr w:type="gramEnd"/>
      <w:r>
        <w:t xml:space="preserve"> verifying compliance with the objectives set out in paragraph 1 of this Article, account shall be taken of the calculation rules laid down in the implementing act adopted by the European Commission.</w:t>
      </w:r>
      <w:r>
        <w:rPr>
          <w:rFonts w:ascii="Verdana" w:hAnsi="Verdana"/>
        </w:rPr>
        <w:t xml:space="preserve"> </w:t>
      </w:r>
    </w:p>
    <w:p w14:paraId="08D164A0" w14:textId="640DF22A" w:rsidR="00910B5B" w:rsidRDefault="00910B5B" w:rsidP="00910B5B"/>
    <w:p w14:paraId="233E763D" w14:textId="378D6E9D" w:rsidR="006610EC" w:rsidRPr="006610EC" w:rsidRDefault="00AC3F76" w:rsidP="000600E7">
      <w:pPr>
        <w:pStyle w:val="Heading2"/>
        <w:numPr>
          <w:ilvl w:val="0"/>
          <w:numId w:val="0"/>
        </w:numPr>
        <w:tabs>
          <w:tab w:val="clear" w:pos="1701"/>
          <w:tab w:val="left" w:pos="1418"/>
        </w:tabs>
        <w:ind w:left="426"/>
      </w:pPr>
      <w:r>
        <w:t xml:space="preserve">Article </w:t>
      </w:r>
      <w:r w:rsidR="000600E7">
        <w:t>12</w:t>
      </w:r>
      <w:r w:rsidR="004352AA">
        <w:br/>
        <w:t xml:space="preserve">Marking </w:t>
      </w:r>
      <w:bookmarkStart w:id="22" w:name="_Ref63690920"/>
      <w:proofErr w:type="gramStart"/>
      <w:r w:rsidR="004352AA">
        <w:t>requirements</w:t>
      </w:r>
      <w:bookmarkStart w:id="23" w:name="_Ref66121082"/>
      <w:bookmarkEnd w:id="22"/>
      <w:proofErr w:type="gramEnd"/>
    </w:p>
    <w:p w14:paraId="23B4288E" w14:textId="7CC123E7" w:rsidR="000B1395" w:rsidRPr="00182AD4" w:rsidRDefault="000B1395" w:rsidP="00C525D6">
      <w:pPr>
        <w:pStyle w:val="ListParagraph"/>
        <w:numPr>
          <w:ilvl w:val="0"/>
          <w:numId w:val="13"/>
        </w:numPr>
        <w:ind w:left="709"/>
        <w:jc w:val="both"/>
        <w:rPr>
          <w:rFonts w:ascii="Verdana" w:hAnsi="Verdana"/>
        </w:rPr>
      </w:pPr>
      <w:bookmarkStart w:id="24" w:name="_Hlk65348626"/>
      <w:bookmarkStart w:id="25" w:name="_Ref63441404"/>
      <w:bookmarkEnd w:id="23"/>
      <w:r>
        <w:t>From 3 July 2021</w:t>
      </w:r>
      <w:bookmarkEnd w:id="24"/>
      <w:r>
        <w:t>, the following single-use plastic products may be placed on the market only if they comply with the marking provisions referred to</w:t>
      </w:r>
      <w:bookmarkEnd w:id="25"/>
      <w:r>
        <w:t xml:space="preserve"> in the following paragraphs of this Article:</w:t>
      </w:r>
    </w:p>
    <w:p w14:paraId="51848D1A" w14:textId="77777777" w:rsidR="000B1395" w:rsidRPr="00637341" w:rsidRDefault="000B1395" w:rsidP="00C525D6">
      <w:pPr>
        <w:pStyle w:val="ListParagraph"/>
        <w:numPr>
          <w:ilvl w:val="0"/>
          <w:numId w:val="30"/>
        </w:numPr>
        <w:spacing w:line="240" w:lineRule="auto"/>
        <w:rPr>
          <w:rFonts w:ascii="Verdana" w:hAnsi="Verdana"/>
        </w:rPr>
      </w:pPr>
      <w:r>
        <w:rPr>
          <w:rFonts w:ascii="Verdana" w:hAnsi="Verdana"/>
        </w:rPr>
        <w:t>sanitary towels (pads), tampons and tampon applicators;</w:t>
      </w:r>
    </w:p>
    <w:p w14:paraId="6525FD27" w14:textId="77777777" w:rsidR="000B1395" w:rsidRDefault="000B1395" w:rsidP="00C525D6">
      <w:pPr>
        <w:pStyle w:val="ListParagraph"/>
        <w:numPr>
          <w:ilvl w:val="0"/>
          <w:numId w:val="30"/>
        </w:numPr>
        <w:spacing w:line="240" w:lineRule="auto"/>
        <w:rPr>
          <w:rFonts w:ascii="Verdana" w:hAnsi="Verdana"/>
        </w:rPr>
      </w:pPr>
      <w:r>
        <w:rPr>
          <w:rFonts w:ascii="Verdana" w:hAnsi="Verdana"/>
        </w:rPr>
        <w:t>wet wipes, i.e., pre-wetted personal care and domestic wipes;</w:t>
      </w:r>
    </w:p>
    <w:p w14:paraId="7D6DB1C8" w14:textId="77777777" w:rsidR="000B1395" w:rsidRPr="00637341" w:rsidRDefault="000B1395" w:rsidP="00C525D6">
      <w:pPr>
        <w:pStyle w:val="ListParagraph"/>
        <w:numPr>
          <w:ilvl w:val="0"/>
          <w:numId w:val="30"/>
        </w:numPr>
        <w:spacing w:line="240" w:lineRule="auto"/>
        <w:rPr>
          <w:rFonts w:ascii="Verdana" w:hAnsi="Verdana"/>
        </w:rPr>
      </w:pPr>
      <w:r>
        <w:rPr>
          <w:rFonts w:ascii="Verdana" w:hAnsi="Verdana"/>
        </w:rPr>
        <w:t xml:space="preserve">tobacco products with filters and filters marketed for use in combination with tobacco products; and </w:t>
      </w:r>
    </w:p>
    <w:p w14:paraId="744A4615" w14:textId="77777777" w:rsidR="000B1395" w:rsidRDefault="000B1395" w:rsidP="00C525D6">
      <w:pPr>
        <w:pStyle w:val="ListParagraph"/>
        <w:numPr>
          <w:ilvl w:val="0"/>
          <w:numId w:val="30"/>
        </w:numPr>
        <w:spacing w:line="240" w:lineRule="auto"/>
        <w:rPr>
          <w:rFonts w:ascii="Verdana" w:hAnsi="Verdana"/>
        </w:rPr>
      </w:pPr>
      <w:r>
        <w:rPr>
          <w:rFonts w:ascii="Verdana" w:hAnsi="Verdana"/>
        </w:rPr>
        <w:t xml:space="preserve">cups for drinks. </w:t>
      </w:r>
    </w:p>
    <w:p w14:paraId="2FB5D019" w14:textId="77777777" w:rsidR="000B1395" w:rsidRDefault="000B1395" w:rsidP="00C525D6">
      <w:pPr>
        <w:pStyle w:val="ListParagraph"/>
        <w:numPr>
          <w:ilvl w:val="0"/>
          <w:numId w:val="13"/>
        </w:numPr>
        <w:jc w:val="both"/>
        <w:rPr>
          <w:rFonts w:ascii="Verdana" w:hAnsi="Verdana"/>
        </w:rPr>
      </w:pPr>
      <w:r>
        <w:rPr>
          <w:rFonts w:ascii="Verdana" w:hAnsi="Verdana"/>
        </w:rPr>
        <w:t>The single-use plastic products referred to in the preceding paragraph shall bear on their packaging or on the product itself a clearly legible and indelible marking which shall contain the following information intended for consumers:</w:t>
      </w:r>
    </w:p>
    <w:p w14:paraId="6CFD1D28" w14:textId="77777777" w:rsidR="000B1395" w:rsidRPr="003F6B93" w:rsidRDefault="000B1395" w:rsidP="00C525D6">
      <w:pPr>
        <w:pStyle w:val="ListParagraph"/>
        <w:numPr>
          <w:ilvl w:val="0"/>
          <w:numId w:val="31"/>
        </w:numPr>
        <w:spacing w:line="240" w:lineRule="auto"/>
        <w:rPr>
          <w:rFonts w:ascii="Verdana" w:hAnsi="Verdana"/>
        </w:rPr>
      </w:pPr>
      <w:r>
        <w:rPr>
          <w:rFonts w:ascii="Verdana" w:hAnsi="Verdana"/>
        </w:rPr>
        <w:t xml:space="preserve">Appropriate means of waste disposal of the product or waste disposal means to be avoided for that product, in line with the waste hierarchy; and </w:t>
      </w:r>
    </w:p>
    <w:p w14:paraId="45546BB6" w14:textId="00EB4430" w:rsidR="000B1395" w:rsidRPr="003F6B93" w:rsidRDefault="000B1395" w:rsidP="00C525D6">
      <w:pPr>
        <w:pStyle w:val="ListParagraph"/>
        <w:numPr>
          <w:ilvl w:val="0"/>
          <w:numId w:val="31"/>
        </w:numPr>
        <w:spacing w:line="240" w:lineRule="auto"/>
        <w:rPr>
          <w:rFonts w:ascii="Verdana" w:hAnsi="Verdana"/>
        </w:rPr>
      </w:pPr>
      <w:r>
        <w:rPr>
          <w:rFonts w:ascii="Verdana" w:hAnsi="Verdana"/>
        </w:rPr>
        <w:t xml:space="preserve">The presence of plastic in the product and the resulting negative impact of littering or other inappropriate means of waste disposal of the product on the environment. </w:t>
      </w:r>
    </w:p>
    <w:p w14:paraId="52B4F969" w14:textId="23F7E8B2" w:rsidR="000B1395" w:rsidRPr="003A48D5" w:rsidRDefault="000B1395" w:rsidP="00C525D6">
      <w:pPr>
        <w:pStyle w:val="ListParagraph"/>
        <w:numPr>
          <w:ilvl w:val="0"/>
          <w:numId w:val="13"/>
        </w:numPr>
        <w:jc w:val="both"/>
        <w:rPr>
          <w:rFonts w:ascii="Verdana" w:hAnsi="Verdana"/>
        </w:rPr>
      </w:pPr>
      <w:r>
        <w:rPr>
          <w:rFonts w:ascii="Verdana" w:hAnsi="Verdana"/>
        </w:rPr>
        <w:lastRenderedPageBreak/>
        <w:t>The rules on marking specifications referred to in previous paragraphs are laid down in Commission Implementing Regulation (EU) 2020/2151 of 17 December 2020.</w:t>
      </w:r>
    </w:p>
    <w:p w14:paraId="03D11840" w14:textId="2FEB97F4" w:rsidR="000B1395" w:rsidRDefault="000B1395" w:rsidP="00C525D6">
      <w:pPr>
        <w:pStyle w:val="ListParagraph"/>
        <w:numPr>
          <w:ilvl w:val="0"/>
          <w:numId w:val="13"/>
        </w:numPr>
        <w:jc w:val="both"/>
        <w:rPr>
          <w:rFonts w:ascii="Verdana" w:hAnsi="Verdana"/>
        </w:rPr>
      </w:pPr>
      <w:r>
        <w:rPr>
          <w:rFonts w:ascii="Verdana" w:hAnsi="Verdana"/>
        </w:rPr>
        <w:t>The provisions of this Article relating to tobacco products shall be added to those laid down in Decree-Law No 109/2015 of 26 August.</w:t>
      </w:r>
    </w:p>
    <w:p w14:paraId="4528C33F" w14:textId="77777777" w:rsidR="000B1395" w:rsidRPr="003F6B93" w:rsidRDefault="000B1395" w:rsidP="00A85085">
      <w:pPr>
        <w:spacing w:before="120" w:after="120" w:line="240" w:lineRule="auto"/>
        <w:jc w:val="both"/>
        <w:rPr>
          <w:rFonts w:ascii="Verdana" w:hAnsi="Verdana" w:cs="Arial"/>
          <w:color w:val="3C3C3C"/>
          <w:sz w:val="21"/>
          <w:szCs w:val="21"/>
        </w:rPr>
      </w:pPr>
    </w:p>
    <w:p w14:paraId="182C2EF4" w14:textId="77777777" w:rsidR="00F9082F" w:rsidRPr="003F6B93" w:rsidRDefault="00F9082F" w:rsidP="00893B34">
      <w:pPr>
        <w:jc w:val="both"/>
        <w:rPr>
          <w:rFonts w:ascii="Verdana" w:hAnsi="Verdana"/>
        </w:rPr>
      </w:pPr>
    </w:p>
    <w:p w14:paraId="6AE4673B" w14:textId="762ECF40" w:rsidR="009820C4" w:rsidRPr="003F6B93" w:rsidRDefault="003F14EA" w:rsidP="00E92A33">
      <w:pPr>
        <w:pStyle w:val="Heading1"/>
        <w:tabs>
          <w:tab w:val="clear" w:pos="3969"/>
          <w:tab w:val="left" w:pos="2410"/>
        </w:tabs>
      </w:pPr>
      <w:r>
        <w:br/>
      </w:r>
      <w:bookmarkStart w:id="26" w:name="_Ref66121225"/>
      <w:r>
        <w:t>Extended Producer Responsibility</w:t>
      </w:r>
      <w:bookmarkEnd w:id="26"/>
    </w:p>
    <w:p w14:paraId="4D4FD2B1" w14:textId="6A54F531" w:rsidR="00CF3B6A" w:rsidRDefault="00AC3F76" w:rsidP="000600E7">
      <w:pPr>
        <w:pStyle w:val="Heading2"/>
        <w:numPr>
          <w:ilvl w:val="0"/>
          <w:numId w:val="0"/>
        </w:numPr>
        <w:tabs>
          <w:tab w:val="clear" w:pos="1701"/>
          <w:tab w:val="left" w:pos="1418"/>
        </w:tabs>
        <w:ind w:left="426"/>
      </w:pPr>
      <w:bookmarkStart w:id="27" w:name="_Ref66121190"/>
      <w:r>
        <w:t xml:space="preserve">Article </w:t>
      </w:r>
      <w:r w:rsidR="000600E7">
        <w:t>13</w:t>
      </w:r>
      <w:r w:rsidR="001D7D5A">
        <w:br/>
      </w:r>
      <w:bookmarkEnd w:id="27"/>
      <w:r w:rsidR="001D7D5A">
        <w:t>Adaptation of the extended producer responsibility scheme</w:t>
      </w:r>
    </w:p>
    <w:p w14:paraId="078DCD32" w14:textId="77777777" w:rsidR="006610EC" w:rsidRPr="006610EC" w:rsidRDefault="006610EC" w:rsidP="006610EC"/>
    <w:p w14:paraId="3392D79B" w14:textId="0F56A5E4" w:rsidR="00CF3B6A" w:rsidRPr="00F7675E" w:rsidRDefault="00CF3B6A" w:rsidP="00C525D6">
      <w:pPr>
        <w:pStyle w:val="ListParagraph"/>
        <w:numPr>
          <w:ilvl w:val="0"/>
          <w:numId w:val="32"/>
        </w:numPr>
        <w:jc w:val="both"/>
        <w:rPr>
          <w:rFonts w:ascii="Verdana" w:hAnsi="Verdana"/>
        </w:rPr>
      </w:pPr>
      <w:bookmarkStart w:id="28" w:name="_Hlk65401219"/>
      <w:bookmarkStart w:id="29" w:name="_Ref63444363"/>
      <w:bookmarkStart w:id="30" w:name="_Hlk65800056"/>
      <w:bookmarkStart w:id="31" w:name="_Hlk65440645"/>
      <w:r>
        <w:t xml:space="preserve">By 1 January 2023, the current extended producer responsibility scheme for packaging and packaging waste for the following single-use plastic products placed on the market shall be amended </w:t>
      </w:r>
      <w:proofErr w:type="gramStart"/>
      <w:r>
        <w:t>in order to</w:t>
      </w:r>
      <w:proofErr w:type="gramEnd"/>
      <w:r>
        <w:t xml:space="preserve"> provide for the requirements referred to in Article 15</w:t>
      </w:r>
      <w:bookmarkEnd w:id="28"/>
      <w:r>
        <w:t>:</w:t>
      </w:r>
      <w:bookmarkEnd w:id="29"/>
    </w:p>
    <w:bookmarkEnd w:id="30"/>
    <w:p w14:paraId="02229E91" w14:textId="77777777" w:rsidR="00197BF8" w:rsidRPr="00F7675E" w:rsidRDefault="00197BF8" w:rsidP="00C525D6">
      <w:pPr>
        <w:pStyle w:val="ListParagraph"/>
        <w:numPr>
          <w:ilvl w:val="0"/>
          <w:numId w:val="33"/>
        </w:numPr>
        <w:spacing w:line="240" w:lineRule="auto"/>
        <w:rPr>
          <w:rFonts w:ascii="Verdana" w:hAnsi="Verdana"/>
        </w:rPr>
      </w:pPr>
      <w:r>
        <w:rPr>
          <w:rFonts w:ascii="Verdana" w:hAnsi="Verdana"/>
        </w:rPr>
        <w:t xml:space="preserve">Food containers, i.e., receptacles such as boxes, with or without a cover, used to contain food which: </w:t>
      </w:r>
    </w:p>
    <w:p w14:paraId="0529DB33" w14:textId="77777777" w:rsidR="00197BF8" w:rsidRPr="00E92A33" w:rsidRDefault="00197BF8" w:rsidP="00C525D6">
      <w:pPr>
        <w:pStyle w:val="ListParagraph"/>
        <w:numPr>
          <w:ilvl w:val="2"/>
          <w:numId w:val="14"/>
        </w:numPr>
        <w:tabs>
          <w:tab w:val="left" w:pos="567"/>
        </w:tabs>
        <w:spacing w:after="200" w:line="276" w:lineRule="auto"/>
        <w:ind w:left="1843" w:hanging="383"/>
        <w:jc w:val="both"/>
        <w:rPr>
          <w:rFonts w:ascii="Verdana" w:hAnsi="Verdana"/>
        </w:rPr>
      </w:pPr>
      <w:r>
        <w:rPr>
          <w:rFonts w:ascii="Verdana" w:hAnsi="Verdana"/>
        </w:rPr>
        <w:t>is intended for immediate consumption, either on-the-spot or take-away;</w:t>
      </w:r>
    </w:p>
    <w:p w14:paraId="31CAE1B0" w14:textId="77777777" w:rsidR="00197BF8" w:rsidRPr="00E92A33" w:rsidRDefault="00197BF8" w:rsidP="00C525D6">
      <w:pPr>
        <w:pStyle w:val="ListParagraph"/>
        <w:numPr>
          <w:ilvl w:val="2"/>
          <w:numId w:val="14"/>
        </w:numPr>
        <w:tabs>
          <w:tab w:val="left" w:pos="567"/>
        </w:tabs>
        <w:spacing w:after="200" w:line="276" w:lineRule="auto"/>
        <w:ind w:left="1843" w:hanging="383"/>
        <w:jc w:val="both"/>
        <w:rPr>
          <w:rFonts w:ascii="Verdana" w:hAnsi="Verdana"/>
        </w:rPr>
      </w:pPr>
      <w:r>
        <w:rPr>
          <w:rFonts w:ascii="Verdana" w:hAnsi="Verdana"/>
        </w:rPr>
        <w:t>is typically consumed from the receptacle; and</w:t>
      </w:r>
    </w:p>
    <w:p w14:paraId="4F40E336" w14:textId="77777777" w:rsidR="00197BF8" w:rsidRPr="00E92A33" w:rsidRDefault="00197BF8" w:rsidP="00C525D6">
      <w:pPr>
        <w:pStyle w:val="ListParagraph"/>
        <w:numPr>
          <w:ilvl w:val="2"/>
          <w:numId w:val="14"/>
        </w:numPr>
        <w:tabs>
          <w:tab w:val="left" w:pos="567"/>
        </w:tabs>
        <w:spacing w:after="200" w:line="276" w:lineRule="auto"/>
        <w:ind w:left="1843" w:hanging="383"/>
        <w:jc w:val="both"/>
        <w:rPr>
          <w:rFonts w:ascii="Verdana" w:hAnsi="Verdana"/>
        </w:rPr>
      </w:pPr>
      <w:r>
        <w:rPr>
          <w:rFonts w:ascii="Verdana" w:hAnsi="Verdana"/>
        </w:rPr>
        <w:t xml:space="preserve">is ready to be consumed without any further preparation, such as cooking, </w:t>
      </w:r>
      <w:proofErr w:type="gramStart"/>
      <w:r>
        <w:rPr>
          <w:rFonts w:ascii="Verdana" w:hAnsi="Verdana"/>
        </w:rPr>
        <w:t>boiling</w:t>
      </w:r>
      <w:proofErr w:type="gramEnd"/>
      <w:r>
        <w:rPr>
          <w:rFonts w:ascii="Verdana" w:hAnsi="Verdana"/>
        </w:rPr>
        <w:t xml:space="preserve"> or heating, </w:t>
      </w:r>
    </w:p>
    <w:p w14:paraId="075967C0" w14:textId="77777777" w:rsidR="00197BF8" w:rsidRPr="00E92A33" w:rsidRDefault="00197BF8" w:rsidP="00197BF8">
      <w:pPr>
        <w:tabs>
          <w:tab w:val="left" w:pos="567"/>
        </w:tabs>
        <w:spacing w:after="200" w:line="276" w:lineRule="auto"/>
        <w:ind w:left="1134"/>
        <w:jc w:val="both"/>
        <w:rPr>
          <w:rFonts w:ascii="Verdana" w:hAnsi="Verdana"/>
        </w:rPr>
      </w:pPr>
      <w:r>
        <w:rPr>
          <w:rFonts w:ascii="Verdana" w:hAnsi="Verdana"/>
        </w:rPr>
        <w:t>including food containers used for fast food or other meals ready for immediate consumption, except beverage containers, plates and packets and wrappers containing food;</w:t>
      </w:r>
    </w:p>
    <w:p w14:paraId="0BEDD35F" w14:textId="77777777" w:rsidR="00197BF8" w:rsidRPr="00F7675E" w:rsidRDefault="00197BF8" w:rsidP="00C525D6">
      <w:pPr>
        <w:pStyle w:val="ListParagraph"/>
        <w:numPr>
          <w:ilvl w:val="0"/>
          <w:numId w:val="33"/>
        </w:numPr>
        <w:spacing w:line="240" w:lineRule="auto"/>
        <w:rPr>
          <w:rFonts w:ascii="Verdana" w:hAnsi="Verdana"/>
        </w:rPr>
      </w:pPr>
      <w:r>
        <w:rPr>
          <w:rFonts w:ascii="Verdana" w:hAnsi="Verdana"/>
        </w:rPr>
        <w:t xml:space="preserve">Packets and wrappers made from flexible material containing food that is intended for immediate consumption from the packet or wrapper without any further preparation; </w:t>
      </w:r>
    </w:p>
    <w:p w14:paraId="3DD293D7" w14:textId="77777777" w:rsidR="00197BF8" w:rsidRPr="00F7675E" w:rsidRDefault="00197BF8" w:rsidP="00C525D6">
      <w:pPr>
        <w:pStyle w:val="ListParagraph"/>
        <w:numPr>
          <w:ilvl w:val="0"/>
          <w:numId w:val="33"/>
        </w:numPr>
        <w:spacing w:line="240" w:lineRule="auto"/>
        <w:rPr>
          <w:rFonts w:ascii="Verdana" w:hAnsi="Verdana"/>
        </w:rPr>
      </w:pPr>
      <w:r>
        <w:rPr>
          <w:rFonts w:ascii="Verdana" w:hAnsi="Verdana"/>
        </w:rPr>
        <w:t xml:space="preserve">Beverage containers with a capacity of up to three litres, i.e., receptacles used to contain liquid such as beverage bottles including their caps and lids and composite beverage packaging including their caps and lids, but not glass or metal beverage containers that have caps and lids made from plastic; </w:t>
      </w:r>
    </w:p>
    <w:p w14:paraId="527E7F03" w14:textId="77777777" w:rsidR="00197BF8" w:rsidRPr="00F7675E" w:rsidRDefault="00197BF8" w:rsidP="00C525D6">
      <w:pPr>
        <w:pStyle w:val="ListParagraph"/>
        <w:numPr>
          <w:ilvl w:val="0"/>
          <w:numId w:val="33"/>
        </w:numPr>
        <w:spacing w:line="240" w:lineRule="auto"/>
        <w:rPr>
          <w:rFonts w:ascii="Verdana" w:hAnsi="Verdana"/>
        </w:rPr>
      </w:pPr>
      <w:r>
        <w:rPr>
          <w:rFonts w:ascii="Verdana" w:hAnsi="Verdana"/>
        </w:rPr>
        <w:lastRenderedPageBreak/>
        <w:t xml:space="preserve">Cups for beverage, including their covers and lids; </w:t>
      </w:r>
    </w:p>
    <w:p w14:paraId="59DB831C" w14:textId="1B14A90A" w:rsidR="00197BF8" w:rsidRPr="00F7675E" w:rsidRDefault="00197BF8" w:rsidP="00C525D6">
      <w:pPr>
        <w:pStyle w:val="ListParagraph"/>
        <w:numPr>
          <w:ilvl w:val="0"/>
          <w:numId w:val="33"/>
        </w:numPr>
        <w:spacing w:line="240" w:lineRule="auto"/>
        <w:rPr>
          <w:rFonts w:ascii="Verdana" w:hAnsi="Verdana"/>
        </w:rPr>
      </w:pPr>
      <w:r>
        <w:rPr>
          <w:rFonts w:ascii="Verdana" w:hAnsi="Verdana"/>
        </w:rPr>
        <w:t>Lightweight plastic carrier bags.</w:t>
      </w:r>
    </w:p>
    <w:p w14:paraId="7E641AC3" w14:textId="6163971C" w:rsidR="00197BF8" w:rsidRDefault="00197BF8" w:rsidP="00D4270E">
      <w:pPr>
        <w:pStyle w:val="ListParagraph"/>
        <w:tabs>
          <w:tab w:val="left" w:pos="284"/>
        </w:tabs>
        <w:autoSpaceDE w:val="0"/>
        <w:autoSpaceDN w:val="0"/>
        <w:adjustRightInd w:val="0"/>
        <w:ind w:left="426"/>
        <w:jc w:val="center"/>
        <w:rPr>
          <w:rFonts w:ascii="Verdana" w:hAnsi="Verdana" w:cs="EU Albertina"/>
        </w:rPr>
      </w:pPr>
    </w:p>
    <w:p w14:paraId="5D248077" w14:textId="0B4608A6" w:rsidR="00CF3B6A" w:rsidRPr="00F7675E" w:rsidRDefault="00700314" w:rsidP="00C525D6">
      <w:pPr>
        <w:pStyle w:val="ListParagraph"/>
        <w:numPr>
          <w:ilvl w:val="0"/>
          <w:numId w:val="32"/>
        </w:numPr>
        <w:jc w:val="both"/>
        <w:rPr>
          <w:rFonts w:ascii="Verdana" w:hAnsi="Verdana"/>
        </w:rPr>
      </w:pPr>
      <w:bookmarkStart w:id="32" w:name="_Hlk65800069"/>
      <w:bookmarkEnd w:id="31"/>
      <w:r>
        <w:rPr>
          <w:rFonts w:ascii="Verdana" w:hAnsi="Verdana"/>
        </w:rPr>
        <w:t>The amendment provided for in the previous paragraph shall be published no later than one year before its entry into force.</w:t>
      </w:r>
    </w:p>
    <w:p w14:paraId="53598B95" w14:textId="77777777" w:rsidR="001D7D5A" w:rsidRPr="00F7675E" w:rsidRDefault="001D7D5A" w:rsidP="00F7675E">
      <w:pPr>
        <w:pStyle w:val="ListParagraph"/>
        <w:ind w:left="928"/>
        <w:jc w:val="both"/>
        <w:rPr>
          <w:rFonts w:ascii="Verdana" w:hAnsi="Verdana"/>
        </w:rPr>
      </w:pPr>
    </w:p>
    <w:p w14:paraId="42F5CA37" w14:textId="10733D2B" w:rsidR="00AA57E3" w:rsidRPr="001D7D5A" w:rsidRDefault="00AC3F76" w:rsidP="000600E7">
      <w:pPr>
        <w:pStyle w:val="Heading2"/>
        <w:numPr>
          <w:ilvl w:val="0"/>
          <w:numId w:val="0"/>
        </w:numPr>
        <w:tabs>
          <w:tab w:val="clear" w:pos="1701"/>
          <w:tab w:val="left" w:pos="1418"/>
        </w:tabs>
        <w:ind w:left="426"/>
      </w:pPr>
      <w:bookmarkStart w:id="33" w:name="_Ref66121335"/>
      <w:bookmarkEnd w:id="32"/>
      <w:r>
        <w:t xml:space="preserve">Article </w:t>
      </w:r>
      <w:r w:rsidR="000600E7">
        <w:t>14</w:t>
      </w:r>
      <w:r w:rsidR="001D7D5A">
        <w:br/>
      </w:r>
      <w:bookmarkEnd w:id="33"/>
      <w:r w:rsidR="001D7D5A">
        <w:t>Creation of extended producer responsibility schemes for single-use plastic products</w:t>
      </w:r>
    </w:p>
    <w:p w14:paraId="34F37462" w14:textId="77777777" w:rsidR="006610EC" w:rsidRPr="00AA57E3" w:rsidRDefault="006610EC" w:rsidP="00AA57E3">
      <w:pPr>
        <w:jc w:val="center"/>
        <w:rPr>
          <w:rFonts w:ascii="Verdana" w:hAnsi="Verdana"/>
          <w:b/>
        </w:rPr>
      </w:pPr>
    </w:p>
    <w:p w14:paraId="2759F1AD" w14:textId="488A6E81" w:rsidR="00AA57E3" w:rsidRPr="00F7675E" w:rsidRDefault="00AA57E3" w:rsidP="00C525D6">
      <w:pPr>
        <w:pStyle w:val="ListParagraph"/>
        <w:numPr>
          <w:ilvl w:val="0"/>
          <w:numId w:val="34"/>
        </w:numPr>
        <w:jc w:val="both"/>
        <w:rPr>
          <w:rFonts w:ascii="Verdana" w:hAnsi="Verdana"/>
        </w:rPr>
      </w:pPr>
      <w:bookmarkStart w:id="34" w:name="_Ref63444386"/>
      <w:bookmarkStart w:id="35" w:name="_Ref63444377"/>
      <w:r>
        <w:rPr>
          <w:rFonts w:ascii="Verdana" w:hAnsi="Verdana"/>
        </w:rPr>
        <w:t>By 1 January 2023, the extended producer responsibility scheme for tobacco products with filters and filters marketed for use in combination with tobacco products shall have been set up;</w:t>
      </w:r>
      <w:bookmarkEnd w:id="34"/>
      <w:r>
        <w:rPr>
          <w:rFonts w:ascii="Verdana" w:hAnsi="Verdana"/>
        </w:rPr>
        <w:t xml:space="preserve"> </w:t>
      </w:r>
    </w:p>
    <w:p w14:paraId="40994946" w14:textId="419FC4E7" w:rsidR="00AA57E3" w:rsidRPr="00F7675E" w:rsidRDefault="00AA57E3" w:rsidP="00C525D6">
      <w:pPr>
        <w:pStyle w:val="ListParagraph"/>
        <w:numPr>
          <w:ilvl w:val="0"/>
          <w:numId w:val="34"/>
        </w:numPr>
        <w:jc w:val="both"/>
        <w:rPr>
          <w:rFonts w:ascii="Verdana" w:hAnsi="Verdana"/>
        </w:rPr>
      </w:pPr>
      <w:bookmarkStart w:id="36" w:name="_Ref66121489"/>
      <w:r>
        <w:rPr>
          <w:rFonts w:ascii="Verdana" w:hAnsi="Verdana"/>
        </w:rPr>
        <w:t>By 1 January 2025, the producer’s extended responsibility schemes shall have been established for the following single-use plastic products:</w:t>
      </w:r>
      <w:bookmarkEnd w:id="35"/>
      <w:bookmarkEnd w:id="36"/>
    </w:p>
    <w:p w14:paraId="539CCA96" w14:textId="77777777" w:rsidR="00AA57E3" w:rsidRPr="00F7675E" w:rsidRDefault="00AA57E3" w:rsidP="00C525D6">
      <w:pPr>
        <w:pStyle w:val="ListParagraph"/>
        <w:numPr>
          <w:ilvl w:val="0"/>
          <w:numId w:val="35"/>
        </w:numPr>
        <w:spacing w:line="240" w:lineRule="auto"/>
        <w:rPr>
          <w:rFonts w:ascii="Verdana" w:hAnsi="Verdana"/>
        </w:rPr>
      </w:pPr>
      <w:r>
        <w:rPr>
          <w:rFonts w:ascii="Verdana" w:hAnsi="Verdana"/>
        </w:rPr>
        <w:t xml:space="preserve">Wet wipes, i.e., pre-wetted personal care and domestic wipes; </w:t>
      </w:r>
    </w:p>
    <w:p w14:paraId="4114B342" w14:textId="77777777" w:rsidR="00AA57E3" w:rsidRPr="00F7675E" w:rsidRDefault="00AA57E3" w:rsidP="00C525D6">
      <w:pPr>
        <w:pStyle w:val="ListParagraph"/>
        <w:numPr>
          <w:ilvl w:val="0"/>
          <w:numId w:val="35"/>
        </w:numPr>
        <w:spacing w:line="240" w:lineRule="auto"/>
        <w:rPr>
          <w:rFonts w:ascii="Verdana" w:hAnsi="Verdana"/>
        </w:rPr>
      </w:pPr>
      <w:r>
        <w:rPr>
          <w:rFonts w:ascii="Verdana" w:hAnsi="Verdana"/>
        </w:rPr>
        <w:t>Balloons, except balloons for industrial or other professional uses and applications that are not distributed to consumers;</w:t>
      </w:r>
    </w:p>
    <w:p w14:paraId="522DD1DA" w14:textId="7C4D7238" w:rsidR="00AA57E3" w:rsidRPr="00F7675E" w:rsidRDefault="00AA57E3" w:rsidP="00C525D6">
      <w:pPr>
        <w:pStyle w:val="ListParagraph"/>
        <w:numPr>
          <w:ilvl w:val="0"/>
          <w:numId w:val="35"/>
        </w:numPr>
        <w:spacing w:line="240" w:lineRule="auto"/>
        <w:rPr>
          <w:rFonts w:ascii="Verdana" w:hAnsi="Verdana"/>
        </w:rPr>
      </w:pPr>
      <w:r>
        <w:rPr>
          <w:rFonts w:ascii="Verdana" w:hAnsi="Verdana"/>
        </w:rPr>
        <w:t>Cups for beverages, including their covers and lids.</w:t>
      </w:r>
    </w:p>
    <w:p w14:paraId="42D88118" w14:textId="55FDD9ED" w:rsidR="00AA57E3" w:rsidRPr="00F7675E" w:rsidRDefault="00AA57E3" w:rsidP="00C525D6">
      <w:pPr>
        <w:pStyle w:val="ListParagraph"/>
        <w:numPr>
          <w:ilvl w:val="0"/>
          <w:numId w:val="34"/>
        </w:numPr>
        <w:jc w:val="both"/>
        <w:rPr>
          <w:rFonts w:ascii="Verdana" w:hAnsi="Verdana"/>
        </w:rPr>
      </w:pPr>
      <w:bookmarkStart w:id="37" w:name="_Ref63672653"/>
      <w:bookmarkStart w:id="38" w:name="_Ref63697458"/>
      <w:r>
        <w:rPr>
          <w:rFonts w:ascii="Verdana" w:hAnsi="Verdana"/>
        </w:rPr>
        <w:t xml:space="preserve">By 1 January 2025, the extended producer responsibility scheme for fishing gear containing plastics placed on the market must have been established and shall set a national minimum annual collection rate of waste fishing gear containing plastic for recycling. </w:t>
      </w:r>
      <w:bookmarkEnd w:id="37"/>
      <w:bookmarkEnd w:id="38"/>
    </w:p>
    <w:p w14:paraId="52EACFCD" w14:textId="1800FB3B" w:rsidR="00700314" w:rsidRPr="00F7675E" w:rsidRDefault="00AA57E3" w:rsidP="00C525D6">
      <w:pPr>
        <w:pStyle w:val="ListParagraph"/>
        <w:numPr>
          <w:ilvl w:val="0"/>
          <w:numId w:val="34"/>
        </w:numPr>
        <w:jc w:val="both"/>
        <w:rPr>
          <w:rFonts w:ascii="Verdana" w:hAnsi="Verdana"/>
        </w:rPr>
      </w:pPr>
      <w:r>
        <w:rPr>
          <w:rFonts w:ascii="Verdana" w:hAnsi="Verdana"/>
        </w:rPr>
        <w:t>The Directorate-General for Natural Resources, Safety and Maritime Services (DGRM) shall be responsible for conducting a study supporting the definition of the rate referred to in the previous paragraph.</w:t>
      </w:r>
      <w:bookmarkStart w:id="39" w:name="_Hlk65427440"/>
    </w:p>
    <w:p w14:paraId="06EFD80B" w14:textId="160A381E" w:rsidR="00700314" w:rsidRPr="00F7675E" w:rsidRDefault="00700314" w:rsidP="00C525D6">
      <w:pPr>
        <w:pStyle w:val="ListParagraph"/>
        <w:numPr>
          <w:ilvl w:val="0"/>
          <w:numId w:val="34"/>
        </w:numPr>
        <w:jc w:val="both"/>
        <w:rPr>
          <w:rFonts w:ascii="Verdana" w:hAnsi="Verdana"/>
        </w:rPr>
      </w:pPr>
      <w:r>
        <w:t>The establishment of each of the extended producer responsibility schemes provided for in paragraphs 1, 2 and 3 shall be published no later than one year before the entry into force of the scheme.</w:t>
      </w:r>
      <w:bookmarkEnd w:id="39"/>
    </w:p>
    <w:p w14:paraId="756377B4" w14:textId="77777777" w:rsidR="00AA57E3" w:rsidRPr="00AA57E3" w:rsidRDefault="00AA57E3" w:rsidP="00040D73">
      <w:pPr>
        <w:pStyle w:val="ListParagraph"/>
        <w:tabs>
          <w:tab w:val="left" w:pos="284"/>
        </w:tabs>
        <w:autoSpaceDE w:val="0"/>
        <w:autoSpaceDN w:val="0"/>
        <w:adjustRightInd w:val="0"/>
        <w:spacing w:before="120" w:after="120" w:line="240" w:lineRule="auto"/>
        <w:ind w:left="426"/>
        <w:jc w:val="both"/>
      </w:pPr>
    </w:p>
    <w:p w14:paraId="793F53FD" w14:textId="3286B9D4" w:rsidR="00F92863" w:rsidRPr="00040D73" w:rsidRDefault="00AC3F76" w:rsidP="00AC3F76">
      <w:pPr>
        <w:pStyle w:val="Heading2"/>
        <w:numPr>
          <w:ilvl w:val="0"/>
          <w:numId w:val="0"/>
        </w:numPr>
        <w:tabs>
          <w:tab w:val="clear" w:pos="1701"/>
          <w:tab w:val="left" w:pos="1276"/>
        </w:tabs>
        <w:ind w:left="426"/>
      </w:pPr>
      <w:bookmarkStart w:id="40" w:name="_Ref66121553"/>
      <w:r>
        <w:t xml:space="preserve">Article </w:t>
      </w:r>
      <w:r w:rsidR="000600E7">
        <w:t>15</w:t>
      </w:r>
      <w:r w:rsidR="00040D73">
        <w:br/>
      </w:r>
      <w:bookmarkEnd w:id="40"/>
      <w:r w:rsidR="00040D73">
        <w:t xml:space="preserve">Costs to be covered by extended producer responsibility </w:t>
      </w:r>
      <w:proofErr w:type="gramStart"/>
      <w:r w:rsidR="00040D73">
        <w:t>schemes</w:t>
      </w:r>
      <w:proofErr w:type="gramEnd"/>
    </w:p>
    <w:p w14:paraId="0390D9A7" w14:textId="77777777" w:rsidR="006610EC" w:rsidRPr="00040D73" w:rsidRDefault="006610EC" w:rsidP="00040D73">
      <w:pPr>
        <w:pStyle w:val="ListParagraph"/>
        <w:tabs>
          <w:tab w:val="left" w:pos="284"/>
        </w:tabs>
        <w:autoSpaceDE w:val="0"/>
        <w:autoSpaceDN w:val="0"/>
        <w:adjustRightInd w:val="0"/>
        <w:spacing w:before="120" w:after="120" w:line="240" w:lineRule="auto"/>
        <w:ind w:left="426"/>
        <w:jc w:val="both"/>
      </w:pPr>
    </w:p>
    <w:p w14:paraId="08105367" w14:textId="1DFBFEB6" w:rsidR="00F92863" w:rsidRPr="00F7675E" w:rsidRDefault="00F92863" w:rsidP="00C525D6">
      <w:pPr>
        <w:pStyle w:val="ListParagraph"/>
        <w:numPr>
          <w:ilvl w:val="0"/>
          <w:numId w:val="36"/>
        </w:numPr>
        <w:jc w:val="both"/>
        <w:rPr>
          <w:rFonts w:ascii="Verdana" w:hAnsi="Verdana"/>
        </w:rPr>
      </w:pPr>
      <w:bookmarkStart w:id="41" w:name="_Ref63444260"/>
      <w:r>
        <w:rPr>
          <w:rFonts w:ascii="Verdana" w:hAnsi="Verdana"/>
        </w:rPr>
        <w:lastRenderedPageBreak/>
        <w:t xml:space="preserve">In addition to the costs provided for in Article 13(3)(a) of the GSWM and </w:t>
      </w:r>
      <w:proofErr w:type="spellStart"/>
      <w:r>
        <w:rPr>
          <w:rFonts w:ascii="Verdana" w:hAnsi="Verdana"/>
        </w:rPr>
        <w:t>Unilex</w:t>
      </w:r>
      <w:proofErr w:type="spellEnd"/>
      <w:r>
        <w:rPr>
          <w:rFonts w:ascii="Verdana" w:hAnsi="Verdana"/>
        </w:rPr>
        <w:t>, producers of single-use plastic products referred to in Article 13 shall also cover the following costs, in so far as they are not already included in said costs:</w:t>
      </w:r>
      <w:bookmarkEnd w:id="41"/>
      <w:r>
        <w:rPr>
          <w:rFonts w:ascii="Verdana" w:hAnsi="Verdana"/>
        </w:rPr>
        <w:t xml:space="preserve"> </w:t>
      </w:r>
    </w:p>
    <w:p w14:paraId="755C5CD9" w14:textId="6FEA5A33" w:rsidR="00F92863" w:rsidRPr="003F6B93" w:rsidRDefault="00F92863" w:rsidP="00C525D6">
      <w:pPr>
        <w:pStyle w:val="ListParagraph"/>
        <w:numPr>
          <w:ilvl w:val="0"/>
          <w:numId w:val="37"/>
        </w:numPr>
        <w:spacing w:line="240" w:lineRule="auto"/>
        <w:rPr>
          <w:rFonts w:ascii="Verdana" w:hAnsi="Verdana"/>
        </w:rPr>
      </w:pPr>
      <w:r>
        <w:t>The costs of the awareness raising measures referred to in this Decree-Law relating to those products;</w:t>
      </w:r>
      <w:r>
        <w:rPr>
          <w:rFonts w:ascii="Verdana" w:hAnsi="Verdana"/>
        </w:rPr>
        <w:t xml:space="preserve"> </w:t>
      </w:r>
    </w:p>
    <w:p w14:paraId="7362E724" w14:textId="77777777" w:rsidR="00F92863" w:rsidRPr="003F6B93" w:rsidRDefault="00F92863" w:rsidP="00C525D6">
      <w:pPr>
        <w:pStyle w:val="ListParagraph"/>
        <w:numPr>
          <w:ilvl w:val="0"/>
          <w:numId w:val="37"/>
        </w:numPr>
        <w:spacing w:line="240" w:lineRule="auto"/>
        <w:rPr>
          <w:rFonts w:ascii="Verdana" w:hAnsi="Verdana"/>
        </w:rPr>
      </w:pPr>
      <w:r>
        <w:rPr>
          <w:rFonts w:ascii="Verdana" w:hAnsi="Verdana"/>
        </w:rPr>
        <w:t xml:space="preserve">The costs of waste collection for those products that are discarded in public collection systems, including the infrastructure and its operation, and the subsequent transport and treatment of that waste; and </w:t>
      </w:r>
    </w:p>
    <w:p w14:paraId="344A4917" w14:textId="77777777" w:rsidR="00F92863" w:rsidRPr="003F6B93" w:rsidRDefault="00F92863" w:rsidP="00C525D6">
      <w:pPr>
        <w:pStyle w:val="ListParagraph"/>
        <w:numPr>
          <w:ilvl w:val="0"/>
          <w:numId w:val="37"/>
        </w:numPr>
        <w:spacing w:line="240" w:lineRule="auto"/>
        <w:rPr>
          <w:rFonts w:ascii="Verdana" w:hAnsi="Verdana"/>
        </w:rPr>
      </w:pPr>
      <w:r>
        <w:rPr>
          <w:rFonts w:ascii="Verdana" w:hAnsi="Verdana"/>
        </w:rPr>
        <w:t>The costs of cleaning up litter resulting from those products and the subsequent transport and treatment of that litter.</w:t>
      </w:r>
    </w:p>
    <w:p w14:paraId="20E2B852" w14:textId="544EF49E" w:rsidR="00F92863" w:rsidRPr="00F7675E" w:rsidRDefault="00F92863" w:rsidP="00C525D6">
      <w:pPr>
        <w:pStyle w:val="ListParagraph"/>
        <w:numPr>
          <w:ilvl w:val="0"/>
          <w:numId w:val="36"/>
        </w:numPr>
        <w:jc w:val="both"/>
        <w:rPr>
          <w:rFonts w:ascii="Verdana" w:hAnsi="Verdana"/>
        </w:rPr>
      </w:pPr>
      <w:bookmarkStart w:id="42" w:name="_Ref63444269"/>
      <w:r>
        <w:t>The producers of the single-use plastic products referred to in paragraphs 1 and 2 shall cover at least the following costs:</w:t>
      </w:r>
      <w:bookmarkEnd w:id="42"/>
      <w:r>
        <w:rPr>
          <w:rFonts w:ascii="Verdana" w:hAnsi="Verdana"/>
        </w:rPr>
        <w:t xml:space="preserve"> </w:t>
      </w:r>
    </w:p>
    <w:p w14:paraId="34C5E7C6" w14:textId="6CEF6915" w:rsidR="00F92863" w:rsidRPr="003F6B93" w:rsidRDefault="00F92863" w:rsidP="00C525D6">
      <w:pPr>
        <w:pStyle w:val="ListParagraph"/>
        <w:numPr>
          <w:ilvl w:val="0"/>
          <w:numId w:val="38"/>
        </w:numPr>
        <w:spacing w:line="240" w:lineRule="auto"/>
        <w:rPr>
          <w:rFonts w:ascii="Verdana" w:hAnsi="Verdana"/>
        </w:rPr>
      </w:pPr>
      <w:r>
        <w:t>The costs of the awareness raising measures referred to in this Decree-Law relating to those products;</w:t>
      </w:r>
    </w:p>
    <w:p w14:paraId="2759636F" w14:textId="77777777" w:rsidR="00F92863" w:rsidRPr="003F6B93" w:rsidRDefault="00F92863" w:rsidP="00C525D6">
      <w:pPr>
        <w:pStyle w:val="ListParagraph"/>
        <w:numPr>
          <w:ilvl w:val="0"/>
          <w:numId w:val="38"/>
        </w:numPr>
        <w:spacing w:line="240" w:lineRule="auto"/>
        <w:rPr>
          <w:rFonts w:ascii="Verdana" w:hAnsi="Verdana"/>
        </w:rPr>
      </w:pPr>
      <w:r>
        <w:rPr>
          <w:rFonts w:ascii="Verdana" w:hAnsi="Verdana"/>
        </w:rPr>
        <w:t xml:space="preserve">The costs of cleaning up litter resulting from those products and the subsequent transport and treatment of that litter; and </w:t>
      </w:r>
    </w:p>
    <w:p w14:paraId="2B485E43" w14:textId="4F86EA8B" w:rsidR="00F92863" w:rsidRPr="003F6B93" w:rsidRDefault="00F92863" w:rsidP="00C525D6">
      <w:pPr>
        <w:pStyle w:val="ListParagraph"/>
        <w:numPr>
          <w:ilvl w:val="0"/>
          <w:numId w:val="38"/>
        </w:numPr>
        <w:spacing w:line="240" w:lineRule="auto"/>
        <w:rPr>
          <w:rFonts w:ascii="Verdana" w:hAnsi="Verdana"/>
        </w:rPr>
      </w:pPr>
      <w:r>
        <w:rPr>
          <w:rFonts w:ascii="Verdana" w:hAnsi="Verdana"/>
        </w:rPr>
        <w:t xml:space="preserve">Costs of data gathering and reporting pursuant to Article 13(1)(c) and (d) of the GSWM. </w:t>
      </w:r>
    </w:p>
    <w:p w14:paraId="1254E804" w14:textId="77777777" w:rsidR="00F92863" w:rsidRPr="00F7675E" w:rsidRDefault="00F92863" w:rsidP="00C525D6">
      <w:pPr>
        <w:pStyle w:val="ListParagraph"/>
        <w:numPr>
          <w:ilvl w:val="0"/>
          <w:numId w:val="36"/>
        </w:numPr>
        <w:jc w:val="both"/>
        <w:rPr>
          <w:rFonts w:ascii="Verdana" w:hAnsi="Verdana"/>
        </w:rPr>
      </w:pPr>
      <w:bookmarkStart w:id="43" w:name="_Ref63444276"/>
      <w:r>
        <w:rPr>
          <w:rFonts w:ascii="Verdana" w:hAnsi="Verdana"/>
        </w:rPr>
        <w:t>In the case of tobacco products with filters and filters marketed for use in combination with tobacco products, producers are also to cover the costs of waste collection for those products that are discarded in public collection systems, including the infrastructure and its operation, and the subsequent transport and treatment of that waste.</w:t>
      </w:r>
      <w:bookmarkEnd w:id="43"/>
      <w:r>
        <w:rPr>
          <w:rFonts w:ascii="Verdana" w:hAnsi="Verdana"/>
        </w:rPr>
        <w:t xml:space="preserve"> </w:t>
      </w:r>
    </w:p>
    <w:p w14:paraId="5E55935B" w14:textId="77777777" w:rsidR="00F92863" w:rsidRPr="00F7675E" w:rsidRDefault="00F92863" w:rsidP="00C525D6">
      <w:pPr>
        <w:pStyle w:val="ListParagraph"/>
        <w:numPr>
          <w:ilvl w:val="0"/>
          <w:numId w:val="36"/>
        </w:numPr>
        <w:jc w:val="both"/>
        <w:rPr>
          <w:rFonts w:ascii="Verdana" w:hAnsi="Verdana"/>
        </w:rPr>
      </w:pPr>
      <w:bookmarkStart w:id="44" w:name="_Ref63444282"/>
      <w:r>
        <w:rPr>
          <w:rFonts w:ascii="Verdana" w:hAnsi="Verdana"/>
        </w:rPr>
        <w:t>The costs referred to in the preceding paragraph may include the setting-up of specific infrastructures for waste collection for those products, such as appropriate waste receptacles in common litter hotspots.</w:t>
      </w:r>
      <w:bookmarkEnd w:id="44"/>
      <w:r>
        <w:rPr>
          <w:rFonts w:ascii="Verdana" w:hAnsi="Verdana"/>
        </w:rPr>
        <w:t xml:space="preserve"> </w:t>
      </w:r>
    </w:p>
    <w:p w14:paraId="1402E2DA" w14:textId="14DE25D9" w:rsidR="00F92863" w:rsidRPr="00F7675E" w:rsidRDefault="00F92863" w:rsidP="00C525D6">
      <w:pPr>
        <w:pStyle w:val="ListParagraph"/>
        <w:numPr>
          <w:ilvl w:val="0"/>
          <w:numId w:val="36"/>
        </w:numPr>
        <w:jc w:val="both"/>
        <w:rPr>
          <w:rFonts w:ascii="Verdana" w:hAnsi="Verdana"/>
        </w:rPr>
      </w:pPr>
      <w:r>
        <w:rPr>
          <w:rFonts w:ascii="Verdana" w:hAnsi="Verdana"/>
        </w:rPr>
        <w:t>The costs to be covered referred to in preceding paragraphs shall not exceed the costs that are necessary to provide the services referred to therein in a cost-efficient way and shall be established in a transparent way between the actors concerned.</w:t>
      </w:r>
    </w:p>
    <w:p w14:paraId="4DC58209" w14:textId="295EBFA3" w:rsidR="00F92863" w:rsidRPr="00F7675E" w:rsidRDefault="00F92863" w:rsidP="00C525D6">
      <w:pPr>
        <w:pStyle w:val="ListParagraph"/>
        <w:numPr>
          <w:ilvl w:val="0"/>
          <w:numId w:val="36"/>
        </w:numPr>
        <w:jc w:val="both"/>
        <w:rPr>
          <w:rFonts w:ascii="Verdana" w:hAnsi="Verdana"/>
        </w:rPr>
      </w:pPr>
      <w:r>
        <w:rPr>
          <w:rFonts w:ascii="Verdana" w:hAnsi="Verdana"/>
        </w:rPr>
        <w:t>The costs of cleaning up litter shall be limited to activities undertaken by public authorities or on their behalf, and the calculation methodology shall be developed in a way that allows for the costs of cleaning up litter to be established in a proportionate way.</w:t>
      </w:r>
    </w:p>
    <w:p w14:paraId="2D1A7FFE" w14:textId="77777777" w:rsidR="00F92863" w:rsidRPr="00F7675E" w:rsidRDefault="00F92863" w:rsidP="00C525D6">
      <w:pPr>
        <w:pStyle w:val="ListParagraph"/>
        <w:numPr>
          <w:ilvl w:val="0"/>
          <w:numId w:val="36"/>
        </w:numPr>
        <w:jc w:val="both"/>
        <w:rPr>
          <w:rFonts w:ascii="Verdana" w:hAnsi="Verdana"/>
        </w:rPr>
      </w:pPr>
      <w:r>
        <w:rPr>
          <w:rFonts w:ascii="Verdana" w:hAnsi="Verdana"/>
        </w:rPr>
        <w:t xml:space="preserve">To minimise administrative costs, financial contributions towards the costs of cleaning up litter shall be determined by setting appropriate multi-annual fixed amounts, which will be fixed by an order of the </w:t>
      </w:r>
      <w:r>
        <w:rPr>
          <w:rFonts w:ascii="Verdana" w:hAnsi="Verdana"/>
        </w:rPr>
        <w:lastRenderedPageBreak/>
        <w:t>members of the government responsible for economic and environmental matters.</w:t>
      </w:r>
    </w:p>
    <w:p w14:paraId="6CACFC40" w14:textId="5C1FE9BF" w:rsidR="00F92863" w:rsidRPr="00F7675E" w:rsidRDefault="00F92863" w:rsidP="00C525D6">
      <w:pPr>
        <w:pStyle w:val="ListParagraph"/>
        <w:numPr>
          <w:ilvl w:val="0"/>
          <w:numId w:val="36"/>
        </w:numPr>
        <w:jc w:val="both"/>
        <w:rPr>
          <w:rFonts w:ascii="Verdana" w:hAnsi="Verdana"/>
        </w:rPr>
      </w:pPr>
      <w:r>
        <w:rPr>
          <w:rFonts w:ascii="Verdana" w:hAnsi="Verdana"/>
        </w:rPr>
        <w:t xml:space="preserve">The financial contributions referred to in the previous paragraph may be updated and should </w:t>
      </w:r>
      <w:proofErr w:type="gramStart"/>
      <w:r>
        <w:rPr>
          <w:rFonts w:ascii="Verdana" w:hAnsi="Verdana"/>
        </w:rPr>
        <w:t>take into account</w:t>
      </w:r>
      <w:proofErr w:type="gramEnd"/>
      <w:r>
        <w:rPr>
          <w:rFonts w:ascii="Verdana" w:hAnsi="Verdana"/>
        </w:rPr>
        <w:t xml:space="preserve"> at all times the guidelines adopted by the European Commission on criteria relating to the cost of cleaning up litter.</w:t>
      </w:r>
    </w:p>
    <w:p w14:paraId="5AD567E5" w14:textId="01156E0F" w:rsidR="00231C0A" w:rsidRPr="00F7675E" w:rsidRDefault="00231C0A" w:rsidP="00C525D6">
      <w:pPr>
        <w:pStyle w:val="ListParagraph"/>
        <w:numPr>
          <w:ilvl w:val="0"/>
          <w:numId w:val="36"/>
        </w:numPr>
        <w:jc w:val="both"/>
        <w:rPr>
          <w:rFonts w:ascii="Verdana" w:hAnsi="Verdana"/>
        </w:rPr>
      </w:pPr>
      <w:bookmarkStart w:id="45" w:name="_Ref63672961"/>
      <w:r>
        <w:t>As regards the extended producer responsibility schemes set up under point (3) of Article 14, producers of fishing gear containing plastic shall cover the costs of separate collection of waste fishing gear containing plastic that has been delivered to adequate port reception facilities in accordance with Decree-Law No 102/2020 of 9 December or to other equivalent collection systems that fall outside the scope of that Directive, and the costs of its subsequent transport and treatment.</w:t>
      </w:r>
      <w:bookmarkEnd w:id="45"/>
      <w:r>
        <w:rPr>
          <w:rFonts w:ascii="Verdana" w:hAnsi="Verdana"/>
        </w:rPr>
        <w:t xml:space="preserve"> </w:t>
      </w:r>
    </w:p>
    <w:p w14:paraId="47FFA491" w14:textId="2E2BE508" w:rsidR="00231C0A" w:rsidRPr="00F7675E" w:rsidRDefault="00231C0A" w:rsidP="00C525D6">
      <w:pPr>
        <w:pStyle w:val="ListParagraph"/>
        <w:numPr>
          <w:ilvl w:val="0"/>
          <w:numId w:val="36"/>
        </w:numPr>
        <w:jc w:val="both"/>
        <w:rPr>
          <w:rFonts w:ascii="Verdana" w:hAnsi="Verdana"/>
        </w:rPr>
      </w:pPr>
      <w:bookmarkStart w:id="46" w:name="_Ref63672968"/>
      <w:r>
        <w:t>Producers of fishing gear shall also cover the costs of the awareness raising measures referred to in Article 18 of this Regulation, concerning those products.</w:t>
      </w:r>
      <w:bookmarkEnd w:id="46"/>
      <w:r>
        <w:rPr>
          <w:rFonts w:ascii="Verdana" w:hAnsi="Verdana"/>
        </w:rPr>
        <w:t xml:space="preserve"> </w:t>
      </w:r>
    </w:p>
    <w:p w14:paraId="3559297D" w14:textId="26D04FCD" w:rsidR="00231C0A" w:rsidRPr="00F7675E" w:rsidRDefault="00231C0A" w:rsidP="00C525D6">
      <w:pPr>
        <w:pStyle w:val="ListParagraph"/>
        <w:numPr>
          <w:ilvl w:val="0"/>
          <w:numId w:val="36"/>
        </w:numPr>
        <w:jc w:val="both"/>
        <w:rPr>
          <w:rFonts w:ascii="Verdana" w:hAnsi="Verdana"/>
        </w:rPr>
      </w:pPr>
      <w:r>
        <w:t>The requirements set out in paragraph 9 and 10 supplement the requirements applicable to waste from fishing vessels provided for in Decree-Law No 102/2020 of 9 December.</w:t>
      </w:r>
      <w:r>
        <w:rPr>
          <w:rFonts w:ascii="Verdana" w:hAnsi="Verdana"/>
        </w:rPr>
        <w:t xml:space="preserve"> </w:t>
      </w:r>
    </w:p>
    <w:p w14:paraId="690C7125" w14:textId="69198AB9" w:rsidR="00F92863" w:rsidRDefault="00F92863" w:rsidP="00F92863"/>
    <w:p w14:paraId="64CD888A" w14:textId="162B1D69" w:rsidR="003F14EA" w:rsidRDefault="00AC3F76" w:rsidP="000600E7">
      <w:pPr>
        <w:pStyle w:val="Heading2"/>
        <w:numPr>
          <w:ilvl w:val="0"/>
          <w:numId w:val="0"/>
        </w:numPr>
        <w:tabs>
          <w:tab w:val="clear" w:pos="1701"/>
          <w:tab w:val="left" w:pos="1418"/>
        </w:tabs>
        <w:ind w:left="426"/>
      </w:pPr>
      <w:r>
        <w:t xml:space="preserve">Article </w:t>
      </w:r>
      <w:r w:rsidR="000600E7">
        <w:t>16</w:t>
      </w:r>
      <w:r w:rsidR="003F14EA">
        <w:br/>
      </w:r>
      <w:bookmarkStart w:id="47" w:name="_Ref66121774"/>
      <w:r w:rsidR="003F14EA">
        <w:t xml:space="preserve">Authorised </w:t>
      </w:r>
      <w:proofErr w:type="gramStart"/>
      <w:r w:rsidR="003F14EA">
        <w:t>representative</w:t>
      </w:r>
      <w:bookmarkEnd w:id="47"/>
      <w:proofErr w:type="gramEnd"/>
    </w:p>
    <w:p w14:paraId="0E6F245D" w14:textId="77777777" w:rsidR="00014396" w:rsidRPr="00014396" w:rsidRDefault="00014396" w:rsidP="00014396"/>
    <w:p w14:paraId="5E8ECB47" w14:textId="794F8C80" w:rsidR="00231C0A" w:rsidRPr="000E29F8" w:rsidRDefault="00231C0A" w:rsidP="00C525D6">
      <w:pPr>
        <w:pStyle w:val="ListParagraph"/>
        <w:numPr>
          <w:ilvl w:val="0"/>
          <w:numId w:val="39"/>
        </w:numPr>
        <w:jc w:val="both"/>
        <w:rPr>
          <w:rFonts w:ascii="Verdana" w:hAnsi="Verdana"/>
        </w:rPr>
      </w:pPr>
      <w:r>
        <w:rPr>
          <w:rFonts w:ascii="Verdana" w:hAnsi="Verdana"/>
        </w:rPr>
        <w:t>Producers of the single-use plastic products referred to in Articles 13 and 14, who are established in another Member State of the European Union or in a third country and who sell products by means of distance communication techniques directly to final consumers in Portugal shall appoint a natural or legal person established in Portugal as their authorised representative, who shall be responsible for fulfilling the obligations under this Decree-Law.</w:t>
      </w:r>
    </w:p>
    <w:p w14:paraId="7C661ED7" w14:textId="27C8AC62" w:rsidR="00231C0A" w:rsidRPr="000E29F8" w:rsidRDefault="00231C0A" w:rsidP="00C525D6">
      <w:pPr>
        <w:pStyle w:val="ListParagraph"/>
        <w:numPr>
          <w:ilvl w:val="0"/>
          <w:numId w:val="39"/>
        </w:numPr>
        <w:jc w:val="both"/>
        <w:rPr>
          <w:rFonts w:ascii="Verdana" w:hAnsi="Verdana"/>
        </w:rPr>
      </w:pPr>
      <w:r>
        <w:rPr>
          <w:rFonts w:ascii="Verdana" w:hAnsi="Verdana"/>
        </w:rPr>
        <w:t>Without prejudice to the obligation provided for in paragraph 13, producers of the single-use plastic products referred to in Articles 13 and 14 established in another Member State of the European Union may appoint a natural or legal person established in Portugal as their authorised representative for the purposes of fulfilling the producer’s obligations under this Decree-Law.</w:t>
      </w:r>
    </w:p>
    <w:p w14:paraId="55C99F0A" w14:textId="3DA443E7" w:rsidR="001F7456" w:rsidRPr="000E29F8" w:rsidRDefault="001F7456" w:rsidP="00C525D6">
      <w:pPr>
        <w:pStyle w:val="ListParagraph"/>
        <w:numPr>
          <w:ilvl w:val="0"/>
          <w:numId w:val="39"/>
        </w:numPr>
        <w:jc w:val="both"/>
        <w:rPr>
          <w:rFonts w:ascii="Verdana" w:hAnsi="Verdana"/>
        </w:rPr>
      </w:pPr>
      <w:r>
        <w:rPr>
          <w:rFonts w:ascii="Verdana" w:hAnsi="Verdana"/>
        </w:rPr>
        <w:t xml:space="preserve">Producers established in Portugal who sell the single-use plastic products referred to in Articles 13 and 14 by means of distance communication techniques directly to final consumers in another </w:t>
      </w:r>
      <w:r>
        <w:rPr>
          <w:rFonts w:ascii="Verdana" w:hAnsi="Verdana"/>
        </w:rPr>
        <w:lastRenderedPageBreak/>
        <w:t>Member State in which they are not established shall appoint an authorised representative in that Member State, who shall be responsible for fulfilling the producer’s obligations under this Decree-Law on the territory of that other Member State.</w:t>
      </w:r>
    </w:p>
    <w:p w14:paraId="77BFA3F9" w14:textId="2747B585" w:rsidR="00CC50F8" w:rsidRPr="000E29F8" w:rsidRDefault="003679EF" w:rsidP="00C525D6">
      <w:pPr>
        <w:pStyle w:val="ListParagraph"/>
        <w:numPr>
          <w:ilvl w:val="0"/>
          <w:numId w:val="39"/>
        </w:numPr>
        <w:jc w:val="both"/>
        <w:rPr>
          <w:rFonts w:ascii="Verdana" w:hAnsi="Verdana"/>
        </w:rPr>
      </w:pPr>
      <w:r>
        <w:rPr>
          <w:rFonts w:ascii="Verdana" w:hAnsi="Verdana"/>
        </w:rPr>
        <w:t xml:space="preserve">The conditions for appointment of an authorised representative and the respective obligations laid down in Article 20 of </w:t>
      </w:r>
      <w:proofErr w:type="spellStart"/>
      <w:r>
        <w:rPr>
          <w:rFonts w:ascii="Verdana" w:hAnsi="Verdana"/>
        </w:rPr>
        <w:t>Unilex</w:t>
      </w:r>
      <w:proofErr w:type="spellEnd"/>
      <w:r>
        <w:rPr>
          <w:rFonts w:ascii="Verdana" w:hAnsi="Verdana"/>
        </w:rPr>
        <w:t xml:space="preserve"> shall be complied with.</w:t>
      </w:r>
    </w:p>
    <w:p w14:paraId="7547E496" w14:textId="621945A0" w:rsidR="004A192F" w:rsidRDefault="004A192F" w:rsidP="004A192F">
      <w:pPr>
        <w:pStyle w:val="ListParagraph"/>
        <w:tabs>
          <w:tab w:val="left" w:pos="851"/>
        </w:tabs>
        <w:autoSpaceDE w:val="0"/>
        <w:autoSpaceDN w:val="0"/>
        <w:adjustRightInd w:val="0"/>
        <w:ind w:left="644"/>
        <w:jc w:val="both"/>
        <w:rPr>
          <w:rFonts w:ascii="Verdana" w:hAnsi="Verdana" w:cs="EU Albertina"/>
          <w:color w:val="000000"/>
        </w:rPr>
      </w:pPr>
    </w:p>
    <w:p w14:paraId="7E8920A4" w14:textId="77777777" w:rsidR="000E29F8" w:rsidRDefault="000E29F8" w:rsidP="004A192F">
      <w:pPr>
        <w:pStyle w:val="ListParagraph"/>
        <w:tabs>
          <w:tab w:val="left" w:pos="851"/>
        </w:tabs>
        <w:autoSpaceDE w:val="0"/>
        <w:autoSpaceDN w:val="0"/>
        <w:adjustRightInd w:val="0"/>
        <w:ind w:left="644"/>
        <w:jc w:val="both"/>
        <w:rPr>
          <w:rFonts w:ascii="Verdana" w:hAnsi="Verdana" w:cs="EU Albertina"/>
          <w:color w:val="000000"/>
        </w:rPr>
      </w:pPr>
    </w:p>
    <w:p w14:paraId="1D37557F" w14:textId="0E026CC3" w:rsidR="00ED79DD" w:rsidRPr="003F6B93" w:rsidRDefault="003F14EA" w:rsidP="00AA057C">
      <w:pPr>
        <w:pStyle w:val="Heading1"/>
        <w:tabs>
          <w:tab w:val="clear" w:pos="3969"/>
          <w:tab w:val="left" w:pos="2410"/>
        </w:tabs>
        <w:ind w:firstLine="180"/>
      </w:pPr>
      <w:r>
        <w:br/>
        <w:t>Separate collection</w:t>
      </w:r>
    </w:p>
    <w:p w14:paraId="6118BF46" w14:textId="0F140822" w:rsidR="00ED79DD" w:rsidRDefault="00AC3F76" w:rsidP="000600E7">
      <w:pPr>
        <w:pStyle w:val="Heading2"/>
        <w:numPr>
          <w:ilvl w:val="0"/>
          <w:numId w:val="0"/>
        </w:numPr>
        <w:tabs>
          <w:tab w:val="clear" w:pos="1701"/>
          <w:tab w:val="left" w:pos="1418"/>
        </w:tabs>
        <w:ind w:left="426"/>
      </w:pPr>
      <w:r>
        <w:t>Article 1</w:t>
      </w:r>
      <w:r w:rsidR="000600E7">
        <w:t>7</w:t>
      </w:r>
      <w:r w:rsidR="003F14EA">
        <w:br/>
      </w:r>
      <w:bookmarkStart w:id="48" w:name="_Ref66121801"/>
      <w:r w:rsidR="003F14EA">
        <w:t>Objectives for the separate collection of bottles</w:t>
      </w:r>
      <w:bookmarkEnd w:id="48"/>
    </w:p>
    <w:p w14:paraId="663DD529" w14:textId="77777777" w:rsidR="00DA0902" w:rsidRPr="00DA0902" w:rsidRDefault="00DA0902" w:rsidP="00DA0902"/>
    <w:p w14:paraId="4881CA6C" w14:textId="46F49258" w:rsidR="006236DA" w:rsidRPr="000E29F8" w:rsidRDefault="006236DA" w:rsidP="00C525D6">
      <w:pPr>
        <w:pStyle w:val="ListParagraph"/>
        <w:numPr>
          <w:ilvl w:val="0"/>
          <w:numId w:val="40"/>
        </w:numPr>
        <w:jc w:val="both"/>
        <w:rPr>
          <w:rFonts w:ascii="Verdana" w:hAnsi="Verdana"/>
        </w:rPr>
      </w:pPr>
      <w:bookmarkStart w:id="49" w:name="_Ref63698199"/>
      <w:r>
        <w:rPr>
          <w:rFonts w:ascii="Verdana" w:hAnsi="Verdana"/>
        </w:rPr>
        <w:t>Producers of single-use plastic bottles for beverages with a capacity of up to three litres, including their caps and lids, shall ensure:</w:t>
      </w:r>
    </w:p>
    <w:p w14:paraId="00529814" w14:textId="55C98796" w:rsidR="006236DA" w:rsidRPr="000E29F8" w:rsidRDefault="006236DA" w:rsidP="00C525D6">
      <w:pPr>
        <w:pStyle w:val="ListParagraph"/>
        <w:numPr>
          <w:ilvl w:val="0"/>
          <w:numId w:val="41"/>
        </w:numPr>
        <w:spacing w:line="240" w:lineRule="auto"/>
        <w:rPr>
          <w:rFonts w:ascii="Verdana" w:hAnsi="Verdana"/>
        </w:rPr>
      </w:pPr>
      <w:r>
        <w:rPr>
          <w:rFonts w:ascii="Verdana" w:hAnsi="Verdana"/>
        </w:rPr>
        <w:t xml:space="preserve">By 31 December 2025, separate collection of waste for recycling, in a proportion of at least 77 % of such products placed on the market by weight </w:t>
      </w:r>
      <w:proofErr w:type="gramStart"/>
      <w:r>
        <w:rPr>
          <w:rFonts w:ascii="Verdana" w:hAnsi="Verdana"/>
        </w:rPr>
        <w:t>in a given year</w:t>
      </w:r>
      <w:proofErr w:type="gramEnd"/>
      <w:r>
        <w:rPr>
          <w:rFonts w:ascii="Verdana" w:hAnsi="Verdana"/>
        </w:rPr>
        <w:t>;</w:t>
      </w:r>
    </w:p>
    <w:p w14:paraId="1B95B4D1" w14:textId="2F6357FD" w:rsidR="006236DA" w:rsidRPr="000E29F8" w:rsidRDefault="006236DA" w:rsidP="00C525D6">
      <w:pPr>
        <w:pStyle w:val="ListParagraph"/>
        <w:numPr>
          <w:ilvl w:val="0"/>
          <w:numId w:val="41"/>
        </w:numPr>
        <w:spacing w:line="240" w:lineRule="auto"/>
        <w:rPr>
          <w:rFonts w:ascii="Verdana" w:hAnsi="Verdana"/>
        </w:rPr>
      </w:pPr>
      <w:r>
        <w:rPr>
          <w:rFonts w:ascii="Verdana" w:hAnsi="Verdana"/>
        </w:rPr>
        <w:t xml:space="preserve">By 31 December 2029, the separate collection of waste for recycling in a proportion of at least 90 % of such products placed on the market by weight </w:t>
      </w:r>
      <w:proofErr w:type="gramStart"/>
      <w:r>
        <w:rPr>
          <w:rFonts w:ascii="Verdana" w:hAnsi="Verdana"/>
        </w:rPr>
        <w:t>in a given year</w:t>
      </w:r>
      <w:proofErr w:type="gramEnd"/>
      <w:r>
        <w:rPr>
          <w:rFonts w:ascii="Verdana" w:hAnsi="Verdana"/>
        </w:rPr>
        <w:t>.</w:t>
      </w:r>
    </w:p>
    <w:p w14:paraId="2A1F56ED" w14:textId="4E3E67AA" w:rsidR="006236DA" w:rsidRPr="000E29F8" w:rsidRDefault="006236DA" w:rsidP="00C525D6">
      <w:pPr>
        <w:pStyle w:val="ListParagraph"/>
        <w:numPr>
          <w:ilvl w:val="0"/>
          <w:numId w:val="40"/>
        </w:numPr>
        <w:jc w:val="both"/>
        <w:rPr>
          <w:rFonts w:ascii="Verdana" w:hAnsi="Verdana"/>
        </w:rPr>
      </w:pPr>
      <w:r>
        <w:rPr>
          <w:rFonts w:ascii="Verdana" w:hAnsi="Verdana"/>
        </w:rPr>
        <w:t xml:space="preserve">To meet the targets set out in the previous paragraphs, the system of depositing non-re-usable plastic beverage packaging set out in Article 23c of </w:t>
      </w:r>
      <w:proofErr w:type="spellStart"/>
      <w:r>
        <w:rPr>
          <w:rFonts w:ascii="Verdana" w:hAnsi="Verdana"/>
        </w:rPr>
        <w:t>Unilex</w:t>
      </w:r>
      <w:proofErr w:type="spellEnd"/>
      <w:r>
        <w:rPr>
          <w:rFonts w:ascii="Verdana" w:hAnsi="Verdana"/>
        </w:rPr>
        <w:t>, as it stands, shall contribute.</w:t>
      </w:r>
    </w:p>
    <w:bookmarkEnd w:id="49"/>
    <w:p w14:paraId="53319A72" w14:textId="61D4E81F" w:rsidR="00A53FF8" w:rsidRPr="000E29F8" w:rsidRDefault="00A53FF8" w:rsidP="00C525D6">
      <w:pPr>
        <w:pStyle w:val="ListParagraph"/>
        <w:numPr>
          <w:ilvl w:val="0"/>
          <w:numId w:val="40"/>
        </w:numPr>
        <w:jc w:val="both"/>
        <w:rPr>
          <w:rFonts w:ascii="Verdana" w:hAnsi="Verdana"/>
        </w:rPr>
      </w:pPr>
      <w:r>
        <w:t>The following shall be excluded from paragraphs 1 and 2:</w:t>
      </w:r>
    </w:p>
    <w:p w14:paraId="0351D4D5" w14:textId="2D9F9A35" w:rsidR="006236DA" w:rsidRPr="000E29F8" w:rsidRDefault="00A53FF8" w:rsidP="00C525D6">
      <w:pPr>
        <w:pStyle w:val="ListParagraph"/>
        <w:numPr>
          <w:ilvl w:val="0"/>
          <w:numId w:val="42"/>
        </w:numPr>
        <w:spacing w:line="240" w:lineRule="auto"/>
        <w:rPr>
          <w:rFonts w:ascii="Verdana" w:hAnsi="Verdana"/>
        </w:rPr>
      </w:pPr>
      <w:r>
        <w:rPr>
          <w:rFonts w:ascii="Verdana" w:hAnsi="Verdana"/>
        </w:rPr>
        <w:t xml:space="preserve">Glass or metal beverage bottles with caps and lids made from plastic; </w:t>
      </w:r>
    </w:p>
    <w:p w14:paraId="3CEC0E19" w14:textId="77777777" w:rsidR="00A53FF8" w:rsidRPr="000E29F8" w:rsidRDefault="00A53FF8" w:rsidP="00C525D6">
      <w:pPr>
        <w:pStyle w:val="ListParagraph"/>
        <w:numPr>
          <w:ilvl w:val="0"/>
          <w:numId w:val="42"/>
        </w:numPr>
        <w:spacing w:line="240" w:lineRule="auto"/>
        <w:rPr>
          <w:rFonts w:ascii="Verdana" w:hAnsi="Verdana"/>
        </w:rPr>
      </w:pPr>
      <w:r>
        <w:rPr>
          <w:rFonts w:ascii="Verdana" w:hAnsi="Verdana"/>
        </w:rPr>
        <w:t>Bottles for beverages intended and used for food for specific medical purposes as defined in point (g) of Article 2 of Regulation (EU) No 609/2013 that is in liquid form.</w:t>
      </w:r>
    </w:p>
    <w:p w14:paraId="0D3B6430" w14:textId="20E31A6E" w:rsidR="003067B2" w:rsidRPr="000E29F8" w:rsidRDefault="003067B2" w:rsidP="00C525D6">
      <w:pPr>
        <w:pStyle w:val="ListParagraph"/>
        <w:numPr>
          <w:ilvl w:val="0"/>
          <w:numId w:val="40"/>
        </w:numPr>
        <w:jc w:val="both"/>
        <w:rPr>
          <w:rFonts w:ascii="Verdana" w:hAnsi="Verdana"/>
        </w:rPr>
      </w:pPr>
      <w:proofErr w:type="gramStart"/>
      <w:r>
        <w:t>For the purpose of</w:t>
      </w:r>
      <w:proofErr w:type="gramEnd"/>
      <w:r>
        <w:t xml:space="preserve"> verifying compliance with the objectives set out in paragraphs 1 and 2, account shall be taken of the calculation rules laid down in the implementing act adopted by the European Commission.</w:t>
      </w:r>
      <w:r>
        <w:rPr>
          <w:rFonts w:ascii="Verdana" w:hAnsi="Verdana"/>
        </w:rPr>
        <w:t xml:space="preserve"> </w:t>
      </w:r>
    </w:p>
    <w:p w14:paraId="5B274A4B" w14:textId="1678079D" w:rsidR="002B07FB" w:rsidRPr="000E29F8" w:rsidRDefault="00486308" w:rsidP="00C525D6">
      <w:pPr>
        <w:pStyle w:val="ListParagraph"/>
        <w:numPr>
          <w:ilvl w:val="0"/>
          <w:numId w:val="40"/>
        </w:numPr>
        <w:jc w:val="both"/>
        <w:rPr>
          <w:rFonts w:ascii="Verdana" w:hAnsi="Verdana"/>
        </w:rPr>
      </w:pPr>
      <w:r>
        <w:rPr>
          <w:rFonts w:ascii="Verdana" w:hAnsi="Verdana"/>
        </w:rPr>
        <w:t xml:space="preserve">The quantity of single-use plastic bottles for beverages with a capacity of up to three litres that has been placed on the market may </w:t>
      </w:r>
      <w:r>
        <w:rPr>
          <w:rFonts w:ascii="Verdana" w:hAnsi="Verdana"/>
        </w:rPr>
        <w:lastRenderedPageBreak/>
        <w:t>be considered equal to the amount of waste generated from such bottles, including litter, in the same year.</w:t>
      </w:r>
    </w:p>
    <w:p w14:paraId="4DBFCC05" w14:textId="77777777" w:rsidR="00E1488F" w:rsidRPr="00AE50FA" w:rsidRDefault="00E1488F" w:rsidP="003B7EF0">
      <w:pPr>
        <w:spacing w:after="0"/>
        <w:rPr>
          <w:rFonts w:ascii="Verdana" w:hAnsi="Verdana"/>
          <w:b/>
          <w:sz w:val="24"/>
        </w:rPr>
      </w:pPr>
    </w:p>
    <w:p w14:paraId="18717885" w14:textId="7BE4F46B" w:rsidR="00E06216" w:rsidRPr="003F6B93" w:rsidRDefault="00CD4ECA" w:rsidP="00A66A89">
      <w:pPr>
        <w:pStyle w:val="Heading1"/>
        <w:tabs>
          <w:tab w:val="clear" w:pos="3969"/>
          <w:tab w:val="left" w:pos="2552"/>
        </w:tabs>
      </w:pPr>
      <w:r>
        <w:br/>
        <w:t xml:space="preserve">Awareness raising </w:t>
      </w:r>
      <w:proofErr w:type="gramStart"/>
      <w:r>
        <w:t>measures</w:t>
      </w:r>
      <w:proofErr w:type="gramEnd"/>
    </w:p>
    <w:p w14:paraId="4B983E0F" w14:textId="0E88C2AB" w:rsidR="00E06216" w:rsidRDefault="00AC3F76" w:rsidP="00AC3F76">
      <w:pPr>
        <w:pStyle w:val="Heading2"/>
        <w:numPr>
          <w:ilvl w:val="0"/>
          <w:numId w:val="0"/>
        </w:numPr>
        <w:tabs>
          <w:tab w:val="clear" w:pos="1701"/>
          <w:tab w:val="left" w:pos="1418"/>
        </w:tabs>
        <w:ind w:left="426"/>
      </w:pPr>
      <w:bookmarkStart w:id="50" w:name="_Ref63444090"/>
      <w:r>
        <w:t>Article 1</w:t>
      </w:r>
      <w:r w:rsidR="000600E7">
        <w:t>8</w:t>
      </w:r>
      <w:r w:rsidR="00CD4ECA">
        <w:br/>
      </w:r>
      <w:bookmarkStart w:id="51" w:name="_Ref66121837"/>
      <w:r w:rsidR="00CD4ECA">
        <w:t xml:space="preserve">Awareness raising </w:t>
      </w:r>
      <w:proofErr w:type="gramStart"/>
      <w:r w:rsidR="00CD4ECA">
        <w:t>measures</w:t>
      </w:r>
      <w:bookmarkEnd w:id="50"/>
      <w:bookmarkEnd w:id="51"/>
      <w:proofErr w:type="gramEnd"/>
    </w:p>
    <w:p w14:paraId="176D4E94" w14:textId="77777777" w:rsidR="00DA0902" w:rsidRPr="000E29F8" w:rsidRDefault="00DA0902" w:rsidP="000E29F8"/>
    <w:p w14:paraId="6254D43E" w14:textId="4CDEA858" w:rsidR="00EE73F2" w:rsidRPr="000E29F8" w:rsidRDefault="00EE73F2" w:rsidP="00C525D6">
      <w:pPr>
        <w:pStyle w:val="ListParagraph"/>
        <w:numPr>
          <w:ilvl w:val="0"/>
          <w:numId w:val="43"/>
        </w:numPr>
        <w:ind w:left="709"/>
        <w:jc w:val="both"/>
        <w:rPr>
          <w:rFonts w:ascii="Verdana" w:hAnsi="Verdana"/>
        </w:rPr>
      </w:pPr>
      <w:r>
        <w:rPr>
          <w:rFonts w:ascii="Verdana" w:hAnsi="Verdana"/>
        </w:rPr>
        <w:t>Producers placing on the market the products listed in paragraph 3 of this Article and fishing gear shall promote information and awareness campaigns for consumers and users of such products with the aim of encouraging responsible behaviour and reducing waste from such products.</w:t>
      </w:r>
    </w:p>
    <w:p w14:paraId="6B5F3553" w14:textId="77777777" w:rsidR="00EE73F2" w:rsidRPr="000E29F8" w:rsidRDefault="00EE73F2" w:rsidP="00C525D6">
      <w:pPr>
        <w:pStyle w:val="ListParagraph"/>
        <w:numPr>
          <w:ilvl w:val="0"/>
          <w:numId w:val="43"/>
        </w:numPr>
        <w:ind w:left="709"/>
        <w:jc w:val="both"/>
        <w:rPr>
          <w:rFonts w:ascii="Verdana" w:hAnsi="Verdana"/>
        </w:rPr>
      </w:pPr>
      <w:r>
        <w:rPr>
          <w:rFonts w:ascii="Verdana" w:hAnsi="Verdana"/>
        </w:rPr>
        <w:t>The campaigns referred to in the preceding paragraph shall include at least information on:</w:t>
      </w:r>
    </w:p>
    <w:p w14:paraId="3E8D9316" w14:textId="40533EE7" w:rsidR="00EE73F2" w:rsidRPr="000E29F8" w:rsidRDefault="00EE73F2" w:rsidP="00C525D6">
      <w:pPr>
        <w:pStyle w:val="ListParagraph"/>
        <w:numPr>
          <w:ilvl w:val="0"/>
          <w:numId w:val="44"/>
        </w:numPr>
        <w:spacing w:line="240" w:lineRule="auto"/>
        <w:ind w:left="1134"/>
        <w:rPr>
          <w:rFonts w:ascii="Verdana" w:hAnsi="Verdana"/>
        </w:rPr>
      </w:pPr>
      <w:r>
        <w:rPr>
          <w:rFonts w:ascii="Verdana" w:hAnsi="Verdana"/>
        </w:rPr>
        <w:t>The availability of re-usable alternatives, re-use systems and waste management options for single-use plastic products and fishing gear containing plastic, as well as best waste management practices carried out in accordance with Article 6 of the GSWM;</w:t>
      </w:r>
    </w:p>
    <w:p w14:paraId="0AFDDD62" w14:textId="77777777" w:rsidR="001D4FEE" w:rsidRPr="000E29F8" w:rsidRDefault="00EE73F2" w:rsidP="00C525D6">
      <w:pPr>
        <w:pStyle w:val="ListParagraph"/>
        <w:numPr>
          <w:ilvl w:val="0"/>
          <w:numId w:val="44"/>
        </w:numPr>
        <w:spacing w:line="240" w:lineRule="auto"/>
        <w:ind w:left="1134"/>
        <w:rPr>
          <w:rFonts w:ascii="Verdana" w:hAnsi="Verdana"/>
        </w:rPr>
      </w:pPr>
      <w:r>
        <w:rPr>
          <w:rFonts w:ascii="Verdana" w:hAnsi="Verdana"/>
        </w:rPr>
        <w:t xml:space="preserve">The environmental impact of waste disposal and other inappropriate methods of disposal of waste from single-use plastic products and fishing gear containing plastics, especially on the marine environment; and </w:t>
      </w:r>
    </w:p>
    <w:p w14:paraId="21CDC05E" w14:textId="4822A51C" w:rsidR="00EE73F2" w:rsidRPr="000E29F8" w:rsidRDefault="00EE73F2" w:rsidP="00C525D6">
      <w:pPr>
        <w:pStyle w:val="ListParagraph"/>
        <w:numPr>
          <w:ilvl w:val="0"/>
          <w:numId w:val="44"/>
        </w:numPr>
        <w:spacing w:line="240" w:lineRule="auto"/>
        <w:ind w:left="1134"/>
        <w:rPr>
          <w:rFonts w:ascii="Verdana" w:hAnsi="Verdana"/>
        </w:rPr>
      </w:pPr>
      <w:r>
        <w:rPr>
          <w:rFonts w:ascii="Verdana" w:hAnsi="Verdana"/>
        </w:rPr>
        <w:t>The impact on the sewage network of inadequate means of disposal of these single-use plastic products.</w:t>
      </w:r>
    </w:p>
    <w:p w14:paraId="6D59A259" w14:textId="7D55787E" w:rsidR="00EE73F2" w:rsidRPr="000E29F8" w:rsidRDefault="00EE73F2" w:rsidP="00C525D6">
      <w:pPr>
        <w:pStyle w:val="ListParagraph"/>
        <w:numPr>
          <w:ilvl w:val="0"/>
          <w:numId w:val="43"/>
        </w:numPr>
        <w:ind w:left="709"/>
        <w:jc w:val="both"/>
        <w:rPr>
          <w:rFonts w:ascii="Verdana" w:hAnsi="Verdana"/>
        </w:rPr>
      </w:pPr>
      <w:r>
        <w:rPr>
          <w:rFonts w:ascii="Verdana" w:hAnsi="Verdana"/>
        </w:rPr>
        <w:t>The single-use plastic products for which the awareness and information campaigns referred to in paragraph 1 of this Article are carried out shall be as follows:</w:t>
      </w:r>
    </w:p>
    <w:p w14:paraId="22B6261F" w14:textId="77777777" w:rsidR="00EE73F2" w:rsidRPr="000E29F8" w:rsidRDefault="00EE73F2" w:rsidP="00C525D6">
      <w:pPr>
        <w:pStyle w:val="ListParagraph"/>
        <w:numPr>
          <w:ilvl w:val="0"/>
          <w:numId w:val="46"/>
        </w:numPr>
        <w:spacing w:line="240" w:lineRule="auto"/>
        <w:ind w:left="1134"/>
        <w:rPr>
          <w:rFonts w:ascii="Verdana" w:hAnsi="Verdana"/>
        </w:rPr>
      </w:pPr>
      <w:r>
        <w:rPr>
          <w:rFonts w:ascii="Verdana" w:hAnsi="Verdana"/>
        </w:rPr>
        <w:t xml:space="preserve">Food containers, i.e., receptacles such as boxes, with or without a cover, used to contain food which: </w:t>
      </w:r>
    </w:p>
    <w:p w14:paraId="40E13B6B" w14:textId="77777777" w:rsidR="00EE73F2" w:rsidRPr="006B0045" w:rsidRDefault="00EE73F2" w:rsidP="00C525D6">
      <w:pPr>
        <w:pStyle w:val="ListParagraph"/>
        <w:numPr>
          <w:ilvl w:val="0"/>
          <w:numId w:val="45"/>
        </w:numPr>
        <w:autoSpaceDE w:val="0"/>
        <w:autoSpaceDN w:val="0"/>
        <w:adjustRightInd w:val="0"/>
        <w:ind w:left="1560"/>
        <w:jc w:val="both"/>
        <w:rPr>
          <w:rFonts w:ascii="Verdana" w:hAnsi="Verdana"/>
        </w:rPr>
      </w:pPr>
      <w:r>
        <w:rPr>
          <w:rFonts w:ascii="Verdana" w:hAnsi="Verdana"/>
        </w:rPr>
        <w:t xml:space="preserve">is intended for immediate consumption, either on-the-spot or take-away; </w:t>
      </w:r>
    </w:p>
    <w:p w14:paraId="1BB14EA4" w14:textId="77777777" w:rsidR="00EE73F2" w:rsidRPr="006B0045" w:rsidRDefault="00EE73F2" w:rsidP="00C525D6">
      <w:pPr>
        <w:pStyle w:val="ListParagraph"/>
        <w:numPr>
          <w:ilvl w:val="0"/>
          <w:numId w:val="45"/>
        </w:numPr>
        <w:autoSpaceDE w:val="0"/>
        <w:autoSpaceDN w:val="0"/>
        <w:adjustRightInd w:val="0"/>
        <w:ind w:left="1560"/>
        <w:jc w:val="both"/>
        <w:rPr>
          <w:rFonts w:ascii="Verdana" w:hAnsi="Verdana"/>
        </w:rPr>
      </w:pPr>
      <w:r>
        <w:rPr>
          <w:rFonts w:ascii="Verdana" w:hAnsi="Verdana"/>
        </w:rPr>
        <w:t xml:space="preserve">is typically consumed from the receptacle; and </w:t>
      </w:r>
    </w:p>
    <w:p w14:paraId="7C22AA17" w14:textId="77777777" w:rsidR="00EE73F2" w:rsidRPr="006B0045" w:rsidRDefault="00EE73F2" w:rsidP="00C525D6">
      <w:pPr>
        <w:pStyle w:val="ListParagraph"/>
        <w:numPr>
          <w:ilvl w:val="0"/>
          <w:numId w:val="45"/>
        </w:numPr>
        <w:autoSpaceDE w:val="0"/>
        <w:autoSpaceDN w:val="0"/>
        <w:adjustRightInd w:val="0"/>
        <w:ind w:left="1560"/>
        <w:jc w:val="both"/>
        <w:rPr>
          <w:rFonts w:ascii="Verdana" w:hAnsi="Verdana"/>
        </w:rPr>
      </w:pPr>
      <w:r>
        <w:rPr>
          <w:rFonts w:ascii="Verdana" w:hAnsi="Verdana"/>
        </w:rPr>
        <w:t xml:space="preserve">is ready to consume without any further preparation, i.e., without cooking, </w:t>
      </w:r>
      <w:proofErr w:type="gramStart"/>
      <w:r>
        <w:rPr>
          <w:rFonts w:ascii="Verdana" w:hAnsi="Verdana"/>
        </w:rPr>
        <w:t>boiling</w:t>
      </w:r>
      <w:proofErr w:type="gramEnd"/>
      <w:r>
        <w:rPr>
          <w:rFonts w:ascii="Verdana" w:hAnsi="Verdana"/>
        </w:rPr>
        <w:t xml:space="preserve"> or heating. </w:t>
      </w:r>
    </w:p>
    <w:p w14:paraId="58E41D41" w14:textId="77777777" w:rsidR="00EE73F2" w:rsidRPr="006B0045" w:rsidRDefault="00EE73F2" w:rsidP="006B0045">
      <w:pPr>
        <w:pStyle w:val="ListParagraph"/>
        <w:spacing w:line="240" w:lineRule="auto"/>
        <w:ind w:left="1134"/>
        <w:rPr>
          <w:rFonts w:ascii="Verdana" w:hAnsi="Verdana"/>
        </w:rPr>
      </w:pPr>
      <w:r>
        <w:rPr>
          <w:rFonts w:ascii="Verdana" w:hAnsi="Verdana"/>
        </w:rPr>
        <w:lastRenderedPageBreak/>
        <w:t xml:space="preserve">including food containers used for fast food or other meals ready for immediate consumption, except beverage containers, plates and packets and wrappers containing food; </w:t>
      </w:r>
    </w:p>
    <w:p w14:paraId="42432BD7" w14:textId="77777777" w:rsidR="00EE73F2" w:rsidRPr="000E29F8" w:rsidRDefault="00EE73F2" w:rsidP="00C525D6">
      <w:pPr>
        <w:pStyle w:val="ListParagraph"/>
        <w:numPr>
          <w:ilvl w:val="0"/>
          <w:numId w:val="46"/>
        </w:numPr>
        <w:spacing w:line="240" w:lineRule="auto"/>
        <w:ind w:left="1134"/>
        <w:rPr>
          <w:rFonts w:ascii="Verdana" w:hAnsi="Verdana"/>
        </w:rPr>
      </w:pPr>
      <w:r>
        <w:rPr>
          <w:rFonts w:ascii="Verdana" w:hAnsi="Verdana"/>
        </w:rPr>
        <w:t xml:space="preserve">Packets and wrappers made from flexible material containing food intended for immediate consumption from the packet or wrapper without further preparation; </w:t>
      </w:r>
    </w:p>
    <w:p w14:paraId="25F5C028" w14:textId="77777777" w:rsidR="00EE73F2" w:rsidRPr="000E29F8" w:rsidRDefault="00EE73F2" w:rsidP="00C525D6">
      <w:pPr>
        <w:pStyle w:val="ListParagraph"/>
        <w:numPr>
          <w:ilvl w:val="0"/>
          <w:numId w:val="46"/>
        </w:numPr>
        <w:spacing w:line="240" w:lineRule="auto"/>
        <w:ind w:left="1134"/>
        <w:rPr>
          <w:rFonts w:ascii="Verdana" w:hAnsi="Verdana"/>
        </w:rPr>
      </w:pPr>
      <w:r>
        <w:rPr>
          <w:rFonts w:ascii="Verdana" w:hAnsi="Verdana"/>
        </w:rPr>
        <w:t xml:space="preserve"> Beverage containers with a capacity of up to three litres, i.e., receptacles used to contain liquid such as beverage bottles including their caps and lids and composite beverage packaging including their caps and lids, but not glass or metal beverage containers that have caps and lids made from plastic; </w:t>
      </w:r>
    </w:p>
    <w:p w14:paraId="5FD98B55" w14:textId="77777777" w:rsidR="00EE73F2" w:rsidRPr="000E29F8" w:rsidRDefault="00EE73F2" w:rsidP="00C525D6">
      <w:pPr>
        <w:pStyle w:val="ListParagraph"/>
        <w:numPr>
          <w:ilvl w:val="0"/>
          <w:numId w:val="46"/>
        </w:numPr>
        <w:spacing w:line="240" w:lineRule="auto"/>
        <w:ind w:left="1134"/>
        <w:rPr>
          <w:rFonts w:ascii="Verdana" w:hAnsi="Verdana"/>
        </w:rPr>
      </w:pPr>
      <w:r>
        <w:rPr>
          <w:rFonts w:ascii="Verdana" w:hAnsi="Verdana"/>
        </w:rPr>
        <w:t xml:space="preserve">Cups for beverage, including their covers and lids; </w:t>
      </w:r>
    </w:p>
    <w:p w14:paraId="37C31CB0" w14:textId="77777777" w:rsidR="00EE73F2" w:rsidRPr="000E29F8" w:rsidRDefault="00EE73F2" w:rsidP="00C525D6">
      <w:pPr>
        <w:pStyle w:val="ListParagraph"/>
        <w:numPr>
          <w:ilvl w:val="0"/>
          <w:numId w:val="46"/>
        </w:numPr>
        <w:spacing w:line="240" w:lineRule="auto"/>
        <w:ind w:left="1134"/>
        <w:rPr>
          <w:rFonts w:ascii="Verdana" w:hAnsi="Verdana"/>
        </w:rPr>
      </w:pPr>
      <w:r>
        <w:rPr>
          <w:rFonts w:ascii="Verdana" w:hAnsi="Verdana"/>
        </w:rPr>
        <w:t xml:space="preserve"> Tobacco products with filters and filters marketed for use in combination with tobacco products; </w:t>
      </w:r>
    </w:p>
    <w:p w14:paraId="5330597D" w14:textId="77777777" w:rsidR="00EE73F2" w:rsidRPr="000E29F8" w:rsidRDefault="00EE73F2" w:rsidP="00C525D6">
      <w:pPr>
        <w:pStyle w:val="ListParagraph"/>
        <w:numPr>
          <w:ilvl w:val="0"/>
          <w:numId w:val="46"/>
        </w:numPr>
        <w:spacing w:line="240" w:lineRule="auto"/>
        <w:ind w:left="1134"/>
        <w:rPr>
          <w:rFonts w:ascii="Verdana" w:hAnsi="Verdana"/>
        </w:rPr>
      </w:pPr>
      <w:r>
        <w:rPr>
          <w:rFonts w:ascii="Verdana" w:hAnsi="Verdana"/>
        </w:rPr>
        <w:t xml:space="preserve"> Wet wipes, i.e., pre-wetted personal care and domestic wipes; </w:t>
      </w:r>
    </w:p>
    <w:p w14:paraId="00E5EA2E" w14:textId="77777777" w:rsidR="00EE73F2" w:rsidRPr="000E29F8" w:rsidRDefault="00EE73F2" w:rsidP="00C525D6">
      <w:pPr>
        <w:pStyle w:val="ListParagraph"/>
        <w:numPr>
          <w:ilvl w:val="0"/>
          <w:numId w:val="46"/>
        </w:numPr>
        <w:spacing w:line="240" w:lineRule="auto"/>
        <w:ind w:left="1134"/>
        <w:rPr>
          <w:rFonts w:ascii="Verdana" w:hAnsi="Verdana"/>
        </w:rPr>
      </w:pPr>
      <w:r>
        <w:rPr>
          <w:rFonts w:ascii="Verdana" w:hAnsi="Verdana"/>
        </w:rPr>
        <w:t xml:space="preserve"> Balloons, except balloons for industrial or other professional uses and applications that are not distributed to consumers; </w:t>
      </w:r>
    </w:p>
    <w:p w14:paraId="0F558B0E" w14:textId="7981C8AC" w:rsidR="00EE73F2" w:rsidRPr="000E29F8" w:rsidRDefault="00EE73F2" w:rsidP="00C525D6">
      <w:pPr>
        <w:pStyle w:val="ListParagraph"/>
        <w:numPr>
          <w:ilvl w:val="0"/>
          <w:numId w:val="46"/>
        </w:numPr>
        <w:spacing w:line="240" w:lineRule="auto"/>
        <w:ind w:left="1134"/>
        <w:rPr>
          <w:rFonts w:ascii="Verdana" w:hAnsi="Verdana"/>
        </w:rPr>
      </w:pPr>
      <w:r>
        <w:rPr>
          <w:rFonts w:ascii="Verdana" w:hAnsi="Verdana"/>
        </w:rPr>
        <w:t>Lightweight plastic carrier bags;</w:t>
      </w:r>
    </w:p>
    <w:p w14:paraId="5FC44F3C" w14:textId="77777777" w:rsidR="00EE73F2" w:rsidRPr="000E29F8" w:rsidRDefault="00EE73F2" w:rsidP="00C525D6">
      <w:pPr>
        <w:pStyle w:val="ListParagraph"/>
        <w:numPr>
          <w:ilvl w:val="0"/>
          <w:numId w:val="46"/>
        </w:numPr>
        <w:spacing w:line="240" w:lineRule="auto"/>
        <w:ind w:left="1134"/>
        <w:rPr>
          <w:rFonts w:ascii="Verdana" w:hAnsi="Verdana"/>
        </w:rPr>
      </w:pPr>
      <w:r>
        <w:rPr>
          <w:rFonts w:ascii="Verdana" w:hAnsi="Verdana"/>
        </w:rPr>
        <w:t xml:space="preserve"> Sanitary towels (pads), tampons and tampon applicators.</w:t>
      </w:r>
    </w:p>
    <w:p w14:paraId="3B85A2EB" w14:textId="3E56771B" w:rsidR="00EE73F2" w:rsidRPr="000E29F8" w:rsidRDefault="004E09D6" w:rsidP="00C525D6">
      <w:pPr>
        <w:pStyle w:val="ListParagraph"/>
        <w:numPr>
          <w:ilvl w:val="0"/>
          <w:numId w:val="43"/>
        </w:numPr>
        <w:ind w:left="709"/>
        <w:jc w:val="both"/>
        <w:rPr>
          <w:rFonts w:ascii="Verdana" w:hAnsi="Verdana"/>
        </w:rPr>
      </w:pPr>
      <w:r>
        <w:rPr>
          <w:rFonts w:ascii="Verdana" w:hAnsi="Verdana"/>
        </w:rPr>
        <w:t xml:space="preserve">For the single-use plastic products referred to in points (a) to (g) of the preceding paragraph, producers shall comply with the obligation referred to in this Article through the managing body of the integrated system to which they transfer the producer’s extended responsibility, or an individual system authorised under </w:t>
      </w:r>
      <w:proofErr w:type="spellStart"/>
      <w:r>
        <w:rPr>
          <w:rFonts w:ascii="Verdana" w:hAnsi="Verdana"/>
        </w:rPr>
        <w:t>Unilex</w:t>
      </w:r>
      <w:proofErr w:type="spellEnd"/>
      <w:r>
        <w:rPr>
          <w:rFonts w:ascii="Verdana" w:hAnsi="Verdana"/>
        </w:rPr>
        <w:t>.</w:t>
      </w:r>
    </w:p>
    <w:p w14:paraId="58299463" w14:textId="31299E33" w:rsidR="00B779E1" w:rsidRPr="000E29F8" w:rsidRDefault="005016C9" w:rsidP="00C525D6">
      <w:pPr>
        <w:pStyle w:val="ListParagraph"/>
        <w:numPr>
          <w:ilvl w:val="0"/>
          <w:numId w:val="43"/>
        </w:numPr>
        <w:ind w:left="709"/>
        <w:jc w:val="both"/>
        <w:rPr>
          <w:rFonts w:ascii="Verdana" w:hAnsi="Verdana"/>
        </w:rPr>
      </w:pPr>
      <w:r>
        <w:t>In the case of the single-use plastic products referred to in paragraph 3(h), producers shall comply with the obligations laid down in paragraphs 1 and 2 individually and/or through a representative association.</w:t>
      </w:r>
      <w:r>
        <w:rPr>
          <w:rFonts w:ascii="Verdana" w:hAnsi="Verdana"/>
        </w:rPr>
        <w:t xml:space="preserve"> </w:t>
      </w:r>
    </w:p>
    <w:p w14:paraId="4B055247" w14:textId="2EBF5C69" w:rsidR="002B37F4" w:rsidRPr="000E29F8" w:rsidRDefault="004C777A" w:rsidP="00C525D6">
      <w:pPr>
        <w:pStyle w:val="ListParagraph"/>
        <w:numPr>
          <w:ilvl w:val="0"/>
          <w:numId w:val="43"/>
        </w:numPr>
        <w:ind w:left="709"/>
        <w:jc w:val="both"/>
        <w:rPr>
          <w:rFonts w:ascii="Verdana" w:hAnsi="Verdana"/>
        </w:rPr>
      </w:pPr>
      <w:r>
        <w:t>The producers and/or associations referred to in the previous paragraph shall send to the APA, I.P. and DGAE a report demonstrating the campaigns carried out in compliance with paragraphs 1 and 2, by 30 April of the following year, with the minimum information contained in the document published on the Internet portals of APA, I.P. and DGAE.</w:t>
      </w:r>
    </w:p>
    <w:p w14:paraId="25C23FBA" w14:textId="0F60BA64" w:rsidR="004C777A" w:rsidRPr="000E29F8" w:rsidRDefault="002B37F4" w:rsidP="00C525D6">
      <w:pPr>
        <w:pStyle w:val="ListParagraph"/>
        <w:numPr>
          <w:ilvl w:val="0"/>
          <w:numId w:val="43"/>
        </w:numPr>
        <w:ind w:left="709"/>
        <w:jc w:val="both"/>
        <w:rPr>
          <w:rFonts w:ascii="Verdana" w:hAnsi="Verdana"/>
        </w:rPr>
      </w:pPr>
      <w:r>
        <w:rPr>
          <w:rFonts w:ascii="Verdana" w:hAnsi="Verdana"/>
        </w:rPr>
        <w:t xml:space="preserve">Without prejudice to the responsibility of producers provided for in the preceding paragraphs, the other economic operators involved in the commercial chain, in particular distributors, </w:t>
      </w:r>
      <w:proofErr w:type="gramStart"/>
      <w:r>
        <w:rPr>
          <w:rFonts w:ascii="Verdana" w:hAnsi="Verdana"/>
        </w:rPr>
        <w:t>sellers</w:t>
      </w:r>
      <w:proofErr w:type="gramEnd"/>
      <w:r>
        <w:rPr>
          <w:rFonts w:ascii="Verdana" w:hAnsi="Verdana"/>
        </w:rPr>
        <w:t xml:space="preserve"> and catering service providers, responsible for making the products listed in paragraph 3 of this Article and fishing gear available on the market, in view of their proximity to consumers and end-users, shall also contribute to the information and awareness of such products.</w:t>
      </w:r>
    </w:p>
    <w:p w14:paraId="4359F6E2" w14:textId="46BE87AA" w:rsidR="00A26F33" w:rsidRPr="000E29F8" w:rsidRDefault="00A26F33" w:rsidP="00C525D6">
      <w:pPr>
        <w:pStyle w:val="ListParagraph"/>
        <w:numPr>
          <w:ilvl w:val="0"/>
          <w:numId w:val="43"/>
        </w:numPr>
        <w:ind w:left="709"/>
        <w:jc w:val="both"/>
        <w:rPr>
          <w:rFonts w:ascii="Verdana" w:hAnsi="Verdana"/>
        </w:rPr>
      </w:pPr>
      <w:r>
        <w:rPr>
          <w:rFonts w:ascii="Verdana" w:hAnsi="Verdana"/>
        </w:rPr>
        <w:t xml:space="preserve">The economic operators referred to in the previous paragraph shall keep a record showing the information and awareness raising actions </w:t>
      </w:r>
      <w:r>
        <w:rPr>
          <w:rFonts w:ascii="Verdana" w:hAnsi="Verdana"/>
        </w:rPr>
        <w:lastRenderedPageBreak/>
        <w:t>carried out by making it available at the request of the competent authorities.</w:t>
      </w:r>
    </w:p>
    <w:p w14:paraId="617C23B6" w14:textId="58FCB739" w:rsidR="008B4B7F" w:rsidRDefault="008B4B7F" w:rsidP="009820C4">
      <w:pPr>
        <w:rPr>
          <w:rFonts w:ascii="Verdana" w:hAnsi="Verdana"/>
          <w:b/>
          <w:sz w:val="24"/>
        </w:rPr>
      </w:pPr>
    </w:p>
    <w:p w14:paraId="07713E95" w14:textId="47FB0247" w:rsidR="006B0668" w:rsidRPr="003F6B93" w:rsidRDefault="00AE50FA" w:rsidP="000600E7">
      <w:pPr>
        <w:pStyle w:val="Heading1"/>
        <w:tabs>
          <w:tab w:val="clear" w:pos="3969"/>
          <w:tab w:val="left" w:pos="2268"/>
        </w:tabs>
        <w:ind w:firstLine="540"/>
      </w:pPr>
      <w:r>
        <w:br/>
        <w:t>Reporting</w:t>
      </w:r>
    </w:p>
    <w:p w14:paraId="1B798C4B" w14:textId="4329DFBF" w:rsidR="0075174E" w:rsidRPr="0075174E" w:rsidRDefault="00AC3F76" w:rsidP="00AC3F76">
      <w:pPr>
        <w:pStyle w:val="Heading2"/>
        <w:numPr>
          <w:ilvl w:val="0"/>
          <w:numId w:val="0"/>
        </w:numPr>
        <w:tabs>
          <w:tab w:val="clear" w:pos="1701"/>
          <w:tab w:val="left" w:pos="1418"/>
        </w:tabs>
        <w:ind w:left="426"/>
      </w:pPr>
      <w:r>
        <w:t xml:space="preserve">Article </w:t>
      </w:r>
      <w:r w:rsidR="000600E7">
        <w:t>19</w:t>
      </w:r>
      <w:r w:rsidR="00AE50FA">
        <w:br/>
        <w:t>Registration of Producers</w:t>
      </w:r>
    </w:p>
    <w:p w14:paraId="465253EE" w14:textId="77777777" w:rsidR="0075174E" w:rsidRPr="0075174E" w:rsidRDefault="0075174E" w:rsidP="0075174E"/>
    <w:p w14:paraId="30FE0A7E" w14:textId="730BFBEF" w:rsidR="00655287" w:rsidRPr="001D4FEE" w:rsidRDefault="00655287" w:rsidP="00C525D6">
      <w:pPr>
        <w:pStyle w:val="ListParagraph"/>
        <w:numPr>
          <w:ilvl w:val="0"/>
          <w:numId w:val="47"/>
        </w:numPr>
        <w:ind w:left="709"/>
        <w:jc w:val="both"/>
        <w:rPr>
          <w:rFonts w:ascii="Verdana" w:hAnsi="Verdana" w:cs="EU Albertina"/>
          <w:color w:val="000000"/>
        </w:rPr>
      </w:pPr>
      <w:r>
        <w:rPr>
          <w:rFonts w:ascii="Verdana" w:hAnsi="Verdana"/>
        </w:rPr>
        <w:t xml:space="preserve">Producers of single-use plastic products provided for in this Decree-Law shall be required to enter and submit data into the integrated electronic waste register system (SIRER), as provided for in Articles 97, 98 and 99 of the GSWM, by informing APA, I. P. of the type and quantity of products placed on the market, without prejudice to other specific information in the case of a product falling within a specific flow of waste, and in </w:t>
      </w:r>
      <w:r>
        <w:rPr>
          <w:rFonts w:ascii="Verdana" w:hAnsi="Verdana"/>
          <w:color w:val="000000"/>
        </w:rPr>
        <w:t>compliance with the provisions of the SIRER Regulation.</w:t>
      </w:r>
    </w:p>
    <w:p w14:paraId="564433F5" w14:textId="77777777" w:rsidR="001D4FEE" w:rsidRPr="006B0045" w:rsidRDefault="00655287" w:rsidP="00C525D6">
      <w:pPr>
        <w:pStyle w:val="ListParagraph"/>
        <w:numPr>
          <w:ilvl w:val="0"/>
          <w:numId w:val="47"/>
        </w:numPr>
        <w:ind w:left="709"/>
        <w:jc w:val="both"/>
        <w:rPr>
          <w:rFonts w:ascii="Verdana" w:hAnsi="Verdana"/>
        </w:rPr>
      </w:pPr>
      <w:r>
        <w:rPr>
          <w:rFonts w:ascii="Verdana" w:hAnsi="Verdana"/>
        </w:rPr>
        <w:t>For the purposes of submitting the data provided for in paragraph 31, producers of products or their authorised representatives shall submit annually by 31 March of the year (</w:t>
      </w:r>
      <w:r>
        <w:rPr>
          <w:rFonts w:ascii="Verdana" w:hAnsi="Verdana"/>
          <w:i/>
          <w:iCs/>
        </w:rPr>
        <w:t>n</w:t>
      </w:r>
      <w:r>
        <w:rPr>
          <w:rFonts w:ascii="Verdana" w:hAnsi="Verdana"/>
        </w:rPr>
        <w:t>):</w:t>
      </w:r>
    </w:p>
    <w:p w14:paraId="3535B3DD" w14:textId="77777777" w:rsidR="001D4FEE" w:rsidRPr="008855C2" w:rsidRDefault="00655287" w:rsidP="00C525D6">
      <w:pPr>
        <w:pStyle w:val="ListParagraph"/>
        <w:numPr>
          <w:ilvl w:val="0"/>
          <w:numId w:val="48"/>
        </w:numPr>
        <w:ind w:left="1134"/>
        <w:jc w:val="both"/>
        <w:rPr>
          <w:rFonts w:ascii="Verdana" w:hAnsi="Verdana"/>
        </w:rPr>
      </w:pPr>
      <w:r>
        <w:rPr>
          <w:rFonts w:ascii="Verdana" w:hAnsi="Verdana"/>
        </w:rPr>
        <w:t>A correction statement from the previous year (</w:t>
      </w:r>
      <w:r>
        <w:rPr>
          <w:rFonts w:ascii="Verdana" w:hAnsi="Verdana"/>
          <w:i/>
          <w:iCs/>
        </w:rPr>
        <w:t>n-1</w:t>
      </w:r>
      <w:r>
        <w:rPr>
          <w:rFonts w:ascii="Verdana" w:hAnsi="Verdana"/>
        </w:rPr>
        <w:t xml:space="preserve">) to report information on the quantities of products placed on the market in year </w:t>
      </w:r>
      <w:r>
        <w:rPr>
          <w:rFonts w:ascii="Verdana" w:hAnsi="Verdana"/>
          <w:i/>
          <w:iCs/>
        </w:rPr>
        <w:t>n-1</w:t>
      </w:r>
      <w:r>
        <w:rPr>
          <w:rFonts w:ascii="Verdana" w:hAnsi="Verdana"/>
        </w:rPr>
        <w:t>;</w:t>
      </w:r>
    </w:p>
    <w:p w14:paraId="33716009" w14:textId="6841F9F4" w:rsidR="00655287" w:rsidRPr="008855C2" w:rsidRDefault="00655287" w:rsidP="00C525D6">
      <w:pPr>
        <w:pStyle w:val="ListParagraph"/>
        <w:numPr>
          <w:ilvl w:val="0"/>
          <w:numId w:val="48"/>
        </w:numPr>
        <w:ind w:left="1134" w:hanging="357"/>
        <w:jc w:val="both"/>
        <w:rPr>
          <w:rFonts w:ascii="Verdana" w:hAnsi="Verdana"/>
        </w:rPr>
      </w:pPr>
      <w:r>
        <w:rPr>
          <w:rFonts w:ascii="Verdana" w:hAnsi="Verdana"/>
        </w:rPr>
        <w:t xml:space="preserve">A year n estimate statement to report information on the quantities of products they estimate to place on the market in year </w:t>
      </w:r>
      <w:r>
        <w:rPr>
          <w:rFonts w:ascii="Verdana" w:hAnsi="Verdana"/>
          <w:i/>
          <w:iCs/>
        </w:rPr>
        <w:t>n</w:t>
      </w:r>
      <w:r>
        <w:rPr>
          <w:rFonts w:ascii="Verdana" w:hAnsi="Verdana"/>
        </w:rPr>
        <w:t>.</w:t>
      </w:r>
    </w:p>
    <w:p w14:paraId="35305B8F" w14:textId="13A601C9" w:rsidR="00006B68" w:rsidRPr="006B0045" w:rsidRDefault="00006B68" w:rsidP="00C525D6">
      <w:pPr>
        <w:pStyle w:val="ListParagraph"/>
        <w:numPr>
          <w:ilvl w:val="0"/>
          <w:numId w:val="47"/>
        </w:numPr>
        <w:ind w:left="709"/>
        <w:jc w:val="both"/>
        <w:rPr>
          <w:rFonts w:ascii="Verdana" w:hAnsi="Verdana"/>
        </w:rPr>
      </w:pPr>
      <w:bookmarkStart w:id="52" w:name="_Hlk66371193"/>
      <w:proofErr w:type="gramStart"/>
      <w:r>
        <w:rPr>
          <w:rFonts w:ascii="Verdana" w:hAnsi="Verdana"/>
        </w:rPr>
        <w:t>For the purpose of</w:t>
      </w:r>
      <w:proofErr w:type="gramEnd"/>
      <w:r>
        <w:rPr>
          <w:rFonts w:ascii="Verdana" w:hAnsi="Verdana"/>
        </w:rPr>
        <w:t xml:space="preserve"> measuring compliance with the measures provided for in this Decree-Law, APA, I.P. collects the following information in accordance with specific legislation or regulations: </w:t>
      </w:r>
    </w:p>
    <w:p w14:paraId="281594D3" w14:textId="77777777" w:rsidR="00006B68" w:rsidRPr="008855C2" w:rsidRDefault="00006B68" w:rsidP="00C525D6">
      <w:pPr>
        <w:pStyle w:val="ListParagraph"/>
        <w:numPr>
          <w:ilvl w:val="0"/>
          <w:numId w:val="49"/>
        </w:numPr>
        <w:ind w:left="1134"/>
        <w:jc w:val="both"/>
        <w:rPr>
          <w:rFonts w:ascii="Verdana" w:hAnsi="Verdana"/>
        </w:rPr>
      </w:pPr>
      <w:r>
        <w:rPr>
          <w:rFonts w:ascii="Verdana" w:hAnsi="Verdana"/>
        </w:rPr>
        <w:t xml:space="preserve">Data on cups for beverage and food containers that have been placed on the market </w:t>
      </w:r>
      <w:proofErr w:type="gramStart"/>
      <w:r>
        <w:rPr>
          <w:rFonts w:ascii="Verdana" w:hAnsi="Verdana"/>
        </w:rPr>
        <w:t>in order to</w:t>
      </w:r>
      <w:proofErr w:type="gramEnd"/>
      <w:r>
        <w:rPr>
          <w:rFonts w:ascii="Verdana" w:hAnsi="Verdana"/>
        </w:rPr>
        <w:t xml:space="preserve"> demonstrate a reduction in consumption in accordance with Article 7; </w:t>
      </w:r>
    </w:p>
    <w:p w14:paraId="5EFB3AEB" w14:textId="77777777" w:rsidR="00006B68" w:rsidRPr="008855C2" w:rsidRDefault="00006B68" w:rsidP="00C525D6">
      <w:pPr>
        <w:pStyle w:val="ListParagraph"/>
        <w:numPr>
          <w:ilvl w:val="0"/>
          <w:numId w:val="49"/>
        </w:numPr>
        <w:ind w:left="1134"/>
        <w:jc w:val="both"/>
        <w:rPr>
          <w:rFonts w:ascii="Verdana" w:hAnsi="Verdana"/>
        </w:rPr>
      </w:pPr>
      <w:r>
        <w:rPr>
          <w:rFonts w:ascii="Verdana" w:hAnsi="Verdana"/>
        </w:rPr>
        <w:t xml:space="preserve">Data on single-use plastic bottles for beverages with a capacity of up to three litres, which have been collected separately, </w:t>
      </w:r>
      <w:proofErr w:type="gramStart"/>
      <w:r>
        <w:rPr>
          <w:rFonts w:ascii="Verdana" w:hAnsi="Verdana"/>
        </w:rPr>
        <w:t>in order to</w:t>
      </w:r>
      <w:proofErr w:type="gramEnd"/>
      <w:r>
        <w:rPr>
          <w:rFonts w:ascii="Verdana" w:hAnsi="Verdana"/>
        </w:rPr>
        <w:t xml:space="preserve"> demonstrate compliance with the separate collection target set out in Article 17; </w:t>
      </w:r>
    </w:p>
    <w:p w14:paraId="67102229" w14:textId="77777777" w:rsidR="00006B68" w:rsidRPr="008855C2" w:rsidRDefault="00006B68" w:rsidP="00C525D6">
      <w:pPr>
        <w:pStyle w:val="ListParagraph"/>
        <w:numPr>
          <w:ilvl w:val="0"/>
          <w:numId w:val="49"/>
        </w:numPr>
        <w:ind w:left="1134"/>
        <w:jc w:val="both"/>
        <w:rPr>
          <w:rFonts w:ascii="Verdana" w:hAnsi="Verdana"/>
        </w:rPr>
      </w:pPr>
      <w:r>
        <w:rPr>
          <w:rFonts w:ascii="Verdana" w:hAnsi="Verdana"/>
        </w:rPr>
        <w:lastRenderedPageBreak/>
        <w:t>Data on fishing gear containing plastics placed on the market and waste fishing gear collected annually;</w:t>
      </w:r>
    </w:p>
    <w:p w14:paraId="70FB6219" w14:textId="77777777" w:rsidR="00006B68" w:rsidRPr="008855C2" w:rsidRDefault="00006B68" w:rsidP="00C525D6">
      <w:pPr>
        <w:pStyle w:val="ListParagraph"/>
        <w:numPr>
          <w:ilvl w:val="0"/>
          <w:numId w:val="49"/>
        </w:numPr>
        <w:ind w:left="1134"/>
        <w:jc w:val="both"/>
        <w:rPr>
          <w:rFonts w:ascii="Verdana" w:hAnsi="Verdana"/>
        </w:rPr>
      </w:pPr>
      <w:r>
        <w:rPr>
          <w:rFonts w:ascii="Verdana" w:hAnsi="Verdana"/>
        </w:rPr>
        <w:t xml:space="preserve">Information on the content of recycled material in beverage bottles </w:t>
      </w:r>
      <w:proofErr w:type="gramStart"/>
      <w:r>
        <w:rPr>
          <w:rFonts w:ascii="Verdana" w:hAnsi="Verdana"/>
        </w:rPr>
        <w:t>in order to</w:t>
      </w:r>
      <w:proofErr w:type="gramEnd"/>
      <w:r>
        <w:rPr>
          <w:rFonts w:ascii="Verdana" w:hAnsi="Verdana"/>
        </w:rPr>
        <w:t xml:space="preserve"> demonstrate compliance with the targets set out in Article 11;</w:t>
      </w:r>
    </w:p>
    <w:p w14:paraId="76EF45CD" w14:textId="24CC0CDA" w:rsidR="00006B68" w:rsidRPr="008855C2" w:rsidRDefault="00006B68" w:rsidP="00C525D6">
      <w:pPr>
        <w:pStyle w:val="ListParagraph"/>
        <w:numPr>
          <w:ilvl w:val="0"/>
          <w:numId w:val="49"/>
        </w:numPr>
        <w:ind w:left="1134"/>
        <w:jc w:val="both"/>
        <w:rPr>
          <w:rFonts w:ascii="Verdana" w:hAnsi="Verdana"/>
        </w:rPr>
      </w:pPr>
      <w:r>
        <w:rPr>
          <w:rFonts w:ascii="Verdana" w:hAnsi="Verdana"/>
        </w:rPr>
        <w:t xml:space="preserve">Data on waste from tobacco products with filters and filters marketed for use in combination with tobacco products collected in accordance with Article 15(3). </w:t>
      </w:r>
    </w:p>
    <w:p w14:paraId="626F4EE8" w14:textId="77777777" w:rsidR="00006B68" w:rsidRPr="008855C2" w:rsidRDefault="00006B68" w:rsidP="008855C2">
      <w:pPr>
        <w:pStyle w:val="ListParagraph"/>
        <w:ind w:left="709"/>
        <w:jc w:val="both"/>
        <w:rPr>
          <w:rFonts w:ascii="Verdana" w:hAnsi="Verdana"/>
        </w:rPr>
      </w:pPr>
    </w:p>
    <w:p w14:paraId="56B0C35B" w14:textId="472AB424" w:rsidR="00006B68" w:rsidRPr="006B0045" w:rsidRDefault="00006B68" w:rsidP="00C525D6">
      <w:pPr>
        <w:pStyle w:val="ListParagraph"/>
        <w:numPr>
          <w:ilvl w:val="0"/>
          <w:numId w:val="47"/>
        </w:numPr>
        <w:ind w:left="709"/>
        <w:jc w:val="both"/>
        <w:rPr>
          <w:rFonts w:ascii="Verdana" w:hAnsi="Verdana"/>
        </w:rPr>
      </w:pPr>
      <w:r>
        <w:rPr>
          <w:rFonts w:ascii="Verdana" w:hAnsi="Verdana"/>
        </w:rPr>
        <w:t>The first reporting period provided for in points (a) to (c) shall relate to the year 2022.</w:t>
      </w:r>
    </w:p>
    <w:p w14:paraId="1748737B" w14:textId="270DC7A5" w:rsidR="00006B68" w:rsidRPr="006B0045" w:rsidRDefault="00006B68" w:rsidP="00C525D6">
      <w:pPr>
        <w:pStyle w:val="ListParagraph"/>
        <w:numPr>
          <w:ilvl w:val="0"/>
          <w:numId w:val="47"/>
        </w:numPr>
        <w:ind w:left="709"/>
        <w:jc w:val="both"/>
        <w:rPr>
          <w:rFonts w:ascii="Verdana" w:hAnsi="Verdana"/>
        </w:rPr>
      </w:pPr>
      <w:r>
        <w:rPr>
          <w:rFonts w:ascii="Verdana" w:hAnsi="Verdana"/>
        </w:rPr>
        <w:t>The first reporting period provided for in points (d) and (e) is for the year 2023.</w:t>
      </w:r>
    </w:p>
    <w:bookmarkEnd w:id="52"/>
    <w:p w14:paraId="4C26F6C4" w14:textId="76816B5C" w:rsidR="00B63641" w:rsidRPr="006B0045" w:rsidRDefault="00B63641" w:rsidP="00C525D6">
      <w:pPr>
        <w:pStyle w:val="ListParagraph"/>
        <w:numPr>
          <w:ilvl w:val="0"/>
          <w:numId w:val="47"/>
        </w:numPr>
        <w:ind w:left="709"/>
        <w:jc w:val="both"/>
        <w:rPr>
          <w:rFonts w:ascii="Verdana" w:hAnsi="Verdana"/>
        </w:rPr>
      </w:pPr>
      <w:r>
        <w:rPr>
          <w:rFonts w:ascii="Verdana" w:hAnsi="Verdana"/>
        </w:rPr>
        <w:t>The collection and processing of data resulting from the duties provided for in the preceding paragraph shall be subject to legislation on personal data protection.</w:t>
      </w:r>
    </w:p>
    <w:p w14:paraId="3D42586E" w14:textId="77777777" w:rsidR="00B63641" w:rsidRPr="003F6B93" w:rsidRDefault="00B63641" w:rsidP="008855C2">
      <w:pPr>
        <w:pStyle w:val="ListParagraph"/>
        <w:ind w:left="709"/>
        <w:jc w:val="both"/>
        <w:rPr>
          <w:rFonts w:ascii="Verdana" w:hAnsi="Verdana"/>
        </w:rPr>
      </w:pPr>
    </w:p>
    <w:p w14:paraId="1D7B605F" w14:textId="3BF02AFE" w:rsidR="006B0668" w:rsidRPr="003F6B93" w:rsidRDefault="00DD1E2B" w:rsidP="008855C2">
      <w:pPr>
        <w:pStyle w:val="Heading1"/>
        <w:tabs>
          <w:tab w:val="clear" w:pos="3969"/>
        </w:tabs>
      </w:pPr>
      <w:r>
        <w:br/>
        <w:t>Monitoring and Administrative Offence System</w:t>
      </w:r>
    </w:p>
    <w:p w14:paraId="504AC209" w14:textId="3D54499C" w:rsidR="006B0668" w:rsidRDefault="00AC3F76" w:rsidP="00AC3F76">
      <w:pPr>
        <w:pStyle w:val="Heading2"/>
        <w:numPr>
          <w:ilvl w:val="0"/>
          <w:numId w:val="0"/>
        </w:numPr>
        <w:tabs>
          <w:tab w:val="clear" w:pos="1701"/>
          <w:tab w:val="left" w:pos="1418"/>
        </w:tabs>
        <w:ind w:left="426"/>
      </w:pPr>
      <w:r>
        <w:t xml:space="preserve">Article </w:t>
      </w:r>
      <w:r w:rsidR="000600E7">
        <w:t>20</w:t>
      </w:r>
      <w:r w:rsidR="00DD1E2B">
        <w:br/>
        <w:t>Inspection and monitoring</w:t>
      </w:r>
    </w:p>
    <w:p w14:paraId="52BFFB6C" w14:textId="77777777" w:rsidR="00B82A72" w:rsidRPr="00B82A72" w:rsidRDefault="00B82A72" w:rsidP="00B82A72"/>
    <w:p w14:paraId="5F02C2E9" w14:textId="59F292EB" w:rsidR="006B0668" w:rsidRPr="00DD1E2B" w:rsidRDefault="006B0668" w:rsidP="00C525D6">
      <w:pPr>
        <w:pStyle w:val="ListParagraph"/>
        <w:numPr>
          <w:ilvl w:val="0"/>
          <w:numId w:val="50"/>
        </w:numPr>
        <w:ind w:left="709"/>
        <w:jc w:val="both"/>
        <w:rPr>
          <w:rFonts w:ascii="Verdana" w:hAnsi="Verdana"/>
        </w:rPr>
      </w:pPr>
      <w:r>
        <w:rPr>
          <w:rFonts w:ascii="Verdana" w:hAnsi="Verdana"/>
        </w:rPr>
        <w:t>Monitoring of compliance with the provisions of this Decree-Law shall be the responsibility of the Inspectorate-General for Agriculture, the Sea, the Environment and Spatial Planning (IGAMAOT), the Food and Economic Safety Authority (ASAE) and the Tax and Customs Authority (AT), and the police authorities in accordance with their territorial competence.</w:t>
      </w:r>
    </w:p>
    <w:p w14:paraId="07FC5737" w14:textId="70AB462A" w:rsidR="006B0668" w:rsidRPr="001D278E" w:rsidRDefault="006B0668" w:rsidP="00C525D6">
      <w:pPr>
        <w:pStyle w:val="ListParagraph"/>
        <w:numPr>
          <w:ilvl w:val="0"/>
          <w:numId w:val="50"/>
        </w:numPr>
        <w:ind w:left="709"/>
        <w:jc w:val="both"/>
        <w:rPr>
          <w:rFonts w:ascii="Verdana" w:hAnsi="Verdana"/>
        </w:rPr>
      </w:pPr>
      <w:r>
        <w:rPr>
          <w:rFonts w:ascii="Verdana" w:hAnsi="Verdana"/>
        </w:rPr>
        <w:t>The provisions of the previous paragraph shall be without prejudice to the exercise of the monitoring and police powers granted to other public authorities.</w:t>
      </w:r>
    </w:p>
    <w:p w14:paraId="3BBF5192" w14:textId="77777777" w:rsidR="006B0668" w:rsidRDefault="006B0668" w:rsidP="006B0668">
      <w:pPr>
        <w:jc w:val="center"/>
        <w:rPr>
          <w:rFonts w:ascii="Verdana" w:hAnsi="Verdana"/>
        </w:rPr>
      </w:pPr>
    </w:p>
    <w:p w14:paraId="64B92E95" w14:textId="6598AC2D" w:rsidR="00D22B19" w:rsidRDefault="00AC3F76" w:rsidP="00AC3F76">
      <w:pPr>
        <w:pStyle w:val="Heading2"/>
        <w:numPr>
          <w:ilvl w:val="0"/>
          <w:numId w:val="0"/>
        </w:numPr>
        <w:tabs>
          <w:tab w:val="clear" w:pos="1701"/>
          <w:tab w:val="left" w:pos="1276"/>
        </w:tabs>
        <w:ind w:left="426"/>
      </w:pPr>
      <w:r>
        <w:t>Article 2</w:t>
      </w:r>
      <w:r w:rsidR="000600E7">
        <w:t>1</w:t>
      </w:r>
      <w:r w:rsidR="00D22B19">
        <w:br/>
        <w:t>Economic administrative offences</w:t>
      </w:r>
    </w:p>
    <w:p w14:paraId="0561408D" w14:textId="77777777" w:rsidR="00B82A72" w:rsidRPr="00B82A72" w:rsidRDefault="00B82A72" w:rsidP="00B82A72"/>
    <w:p w14:paraId="380E9DA4" w14:textId="2D1DBB67" w:rsidR="00D22B19" w:rsidRPr="001D278E" w:rsidRDefault="00757BC4" w:rsidP="00C525D6">
      <w:pPr>
        <w:pStyle w:val="ListParagraph"/>
        <w:numPr>
          <w:ilvl w:val="0"/>
          <w:numId w:val="51"/>
        </w:numPr>
        <w:ind w:left="709"/>
        <w:jc w:val="both"/>
        <w:rPr>
          <w:rFonts w:ascii="Verdana" w:hAnsi="Verdana"/>
        </w:rPr>
      </w:pPr>
      <w:r>
        <w:rPr>
          <w:rFonts w:ascii="Verdana" w:hAnsi="Verdana"/>
        </w:rPr>
        <w:t>The following constitute serious economic administrative offences, punishable under the Legal Scheme for Economic Administrative Offences, approved by Decree-Law No 9/2021 of 29 January:</w:t>
      </w:r>
    </w:p>
    <w:p w14:paraId="5D42299A" w14:textId="4C05EAFA" w:rsidR="00757BC4" w:rsidRPr="001D278E" w:rsidRDefault="00757BC4" w:rsidP="00C525D6">
      <w:pPr>
        <w:pStyle w:val="ListParagraph"/>
        <w:numPr>
          <w:ilvl w:val="1"/>
          <w:numId w:val="52"/>
        </w:numPr>
        <w:spacing w:after="0"/>
        <w:ind w:left="1134"/>
        <w:jc w:val="both"/>
        <w:rPr>
          <w:rFonts w:ascii="Verdana" w:hAnsi="Verdana"/>
        </w:rPr>
      </w:pPr>
      <w:r>
        <w:rPr>
          <w:rFonts w:ascii="Verdana" w:hAnsi="Verdana"/>
        </w:rPr>
        <w:t xml:space="preserve">Non-compliance with Article 4(1); </w:t>
      </w:r>
    </w:p>
    <w:p w14:paraId="423006AE" w14:textId="3B2478D6" w:rsidR="00B94B1F" w:rsidRPr="001D278E" w:rsidRDefault="00B94B1F" w:rsidP="00C525D6">
      <w:pPr>
        <w:pStyle w:val="ListParagraph"/>
        <w:numPr>
          <w:ilvl w:val="1"/>
          <w:numId w:val="52"/>
        </w:numPr>
        <w:spacing w:after="0"/>
        <w:ind w:left="1134"/>
        <w:jc w:val="both"/>
        <w:rPr>
          <w:rFonts w:ascii="Verdana" w:hAnsi="Verdana"/>
        </w:rPr>
      </w:pPr>
      <w:r>
        <w:rPr>
          <w:rFonts w:ascii="Verdana" w:hAnsi="Verdana"/>
        </w:rPr>
        <w:t xml:space="preserve">Non-compliance with Article 4(2); </w:t>
      </w:r>
    </w:p>
    <w:p w14:paraId="013C6DC8" w14:textId="0AD0363E" w:rsidR="008B1B8C" w:rsidRPr="001D278E" w:rsidRDefault="008B1B8C" w:rsidP="00C525D6">
      <w:pPr>
        <w:pStyle w:val="ListParagraph"/>
        <w:numPr>
          <w:ilvl w:val="1"/>
          <w:numId w:val="52"/>
        </w:numPr>
        <w:spacing w:after="0"/>
        <w:ind w:left="1134"/>
        <w:jc w:val="both"/>
        <w:rPr>
          <w:rFonts w:ascii="Verdana" w:hAnsi="Verdana"/>
        </w:rPr>
      </w:pPr>
      <w:r>
        <w:rPr>
          <w:rFonts w:ascii="Verdana" w:hAnsi="Verdana"/>
        </w:rPr>
        <w:t xml:space="preserve">Non-compliance with Article 5(1); </w:t>
      </w:r>
    </w:p>
    <w:p w14:paraId="70BD8DE9" w14:textId="49FB245A" w:rsidR="008B1B8C" w:rsidRPr="001D278E" w:rsidRDefault="008B1B8C" w:rsidP="00C525D6">
      <w:pPr>
        <w:pStyle w:val="ListParagraph"/>
        <w:numPr>
          <w:ilvl w:val="1"/>
          <w:numId w:val="52"/>
        </w:numPr>
        <w:spacing w:after="0"/>
        <w:ind w:left="1134"/>
        <w:jc w:val="both"/>
        <w:rPr>
          <w:rFonts w:ascii="Verdana" w:hAnsi="Verdana"/>
        </w:rPr>
      </w:pPr>
      <w:r>
        <w:rPr>
          <w:rFonts w:ascii="Verdana" w:hAnsi="Verdana"/>
        </w:rPr>
        <w:t xml:space="preserve">Non-compliance with Article 5(2) by entities carrying out the activities provided for therein; </w:t>
      </w:r>
    </w:p>
    <w:p w14:paraId="79B7025C" w14:textId="52342E57" w:rsidR="007D2095" w:rsidRPr="001D278E" w:rsidRDefault="007D2095" w:rsidP="00C525D6">
      <w:pPr>
        <w:pStyle w:val="ListParagraph"/>
        <w:numPr>
          <w:ilvl w:val="1"/>
          <w:numId w:val="52"/>
        </w:numPr>
        <w:spacing w:after="0"/>
        <w:ind w:left="1134"/>
        <w:jc w:val="both"/>
        <w:rPr>
          <w:rFonts w:ascii="Verdana" w:hAnsi="Verdana"/>
        </w:rPr>
      </w:pPr>
      <w:r>
        <w:t>Non-compliance with the measures laid down in Article 8(1), (2) and (5) and (6);</w:t>
      </w:r>
    </w:p>
    <w:p w14:paraId="2A1AD62E" w14:textId="24C37A57" w:rsidR="006802F6" w:rsidRPr="001D278E" w:rsidRDefault="006802F6" w:rsidP="00C525D6">
      <w:pPr>
        <w:pStyle w:val="ListParagraph"/>
        <w:numPr>
          <w:ilvl w:val="1"/>
          <w:numId w:val="52"/>
        </w:numPr>
        <w:spacing w:after="0"/>
        <w:ind w:left="1134"/>
        <w:jc w:val="both"/>
        <w:rPr>
          <w:rFonts w:ascii="Verdana" w:hAnsi="Verdana"/>
        </w:rPr>
      </w:pPr>
      <w:r>
        <w:rPr>
          <w:rFonts w:ascii="Verdana" w:hAnsi="Verdana"/>
        </w:rPr>
        <w:t>Non-compliance by the producer with the obligation to appoint an authorised representative, in accordance with Article 20(3);</w:t>
      </w:r>
    </w:p>
    <w:p w14:paraId="597A0744" w14:textId="1E4E2581" w:rsidR="00D22B19" w:rsidRPr="001D278E" w:rsidRDefault="00D22B19" w:rsidP="00C525D6">
      <w:pPr>
        <w:pStyle w:val="ListParagraph"/>
        <w:numPr>
          <w:ilvl w:val="0"/>
          <w:numId w:val="51"/>
        </w:numPr>
        <w:ind w:left="709"/>
        <w:jc w:val="both"/>
        <w:rPr>
          <w:rFonts w:ascii="Verdana" w:hAnsi="Verdana"/>
        </w:rPr>
      </w:pPr>
      <w:r>
        <w:rPr>
          <w:rFonts w:ascii="Verdana" w:hAnsi="Verdana"/>
        </w:rPr>
        <w:t xml:space="preserve">2. Attempts to commit an offence and negligence are punishable and the minimum and maximum limits of the fine shall be reduced to half. </w:t>
      </w:r>
    </w:p>
    <w:p w14:paraId="46A43068" w14:textId="77777777" w:rsidR="00D22B19" w:rsidRDefault="00D22B19" w:rsidP="00FB0A52">
      <w:pPr>
        <w:rPr>
          <w:rFonts w:ascii="Verdana" w:hAnsi="Verdana"/>
        </w:rPr>
      </w:pPr>
    </w:p>
    <w:p w14:paraId="62AA6CC8" w14:textId="51D77CD8" w:rsidR="002B3376" w:rsidRDefault="00AC3F76" w:rsidP="00AC3F76">
      <w:pPr>
        <w:pStyle w:val="Heading2"/>
        <w:numPr>
          <w:ilvl w:val="0"/>
          <w:numId w:val="0"/>
        </w:numPr>
        <w:ind w:left="426"/>
      </w:pPr>
      <w:r>
        <w:t xml:space="preserve">Article </w:t>
      </w:r>
      <w:r w:rsidR="000600E7">
        <w:t>22</w:t>
      </w:r>
      <w:r w:rsidR="00D22B19">
        <w:br/>
        <w:t xml:space="preserve">Proceeds from </w:t>
      </w:r>
      <w:proofErr w:type="gramStart"/>
      <w:r w:rsidR="00D22B19">
        <w:t>fines</w:t>
      </w:r>
      <w:proofErr w:type="gramEnd"/>
    </w:p>
    <w:p w14:paraId="418208D4" w14:textId="77777777" w:rsidR="00B82A72" w:rsidRPr="00B82A72" w:rsidRDefault="00B82A72" w:rsidP="00B82A72"/>
    <w:p w14:paraId="49DD38B3" w14:textId="5F90344D" w:rsidR="008B1B8C" w:rsidRPr="00D22B19" w:rsidRDefault="00D22B19" w:rsidP="00B82A72">
      <w:pPr>
        <w:jc w:val="both"/>
        <w:rPr>
          <w:rFonts w:ascii="Verdana" w:hAnsi="Verdana"/>
        </w:rPr>
      </w:pPr>
      <w:r>
        <w:rPr>
          <w:rFonts w:ascii="Verdana" w:hAnsi="Verdana"/>
        </w:rPr>
        <w:t xml:space="preserve">The proceeds from the fines provided for in the preceding Article shall be allocated in accordance with the </w:t>
      </w:r>
      <w:r>
        <w:rPr>
          <w:rFonts w:ascii="Verdana" w:hAnsi="Verdana"/>
          <w:color w:val="000000" w:themeColor="text1"/>
          <w:shd w:val="clear" w:color="auto" w:fill="FFFFFF"/>
        </w:rPr>
        <w:t>Legal Regime for Economic Administrative Offences</w:t>
      </w:r>
      <w:r>
        <w:rPr>
          <w:rFonts w:ascii="Verdana" w:hAnsi="Verdana"/>
        </w:rPr>
        <w:t xml:space="preserve">. </w:t>
      </w:r>
    </w:p>
    <w:p w14:paraId="7BB9EBFC" w14:textId="77777777" w:rsidR="002B3376" w:rsidRPr="00D22B19" w:rsidRDefault="002B3376" w:rsidP="00FB0A52"/>
    <w:p w14:paraId="29AD576B" w14:textId="0B7D8431" w:rsidR="004551A4" w:rsidRDefault="00AC3F76" w:rsidP="00AC3F76">
      <w:pPr>
        <w:pStyle w:val="Heading2"/>
        <w:numPr>
          <w:ilvl w:val="0"/>
          <w:numId w:val="0"/>
        </w:numPr>
        <w:tabs>
          <w:tab w:val="clear" w:pos="1701"/>
        </w:tabs>
        <w:ind w:left="426"/>
      </w:pPr>
      <w:r>
        <w:t xml:space="preserve">Article </w:t>
      </w:r>
      <w:r w:rsidR="000600E7">
        <w:t>23</w:t>
      </w:r>
      <w:r w:rsidR="00DD1E2B">
        <w:br/>
        <w:t>Environmental administrative offences</w:t>
      </w:r>
    </w:p>
    <w:p w14:paraId="37B492A3" w14:textId="77777777" w:rsidR="002B3376" w:rsidRPr="002B3376" w:rsidRDefault="002B3376" w:rsidP="002B3376"/>
    <w:p w14:paraId="04444803" w14:textId="3745F447" w:rsidR="004551A4" w:rsidRPr="001D278E" w:rsidRDefault="004551A4" w:rsidP="00C525D6">
      <w:pPr>
        <w:pStyle w:val="ListParagraph"/>
        <w:numPr>
          <w:ilvl w:val="0"/>
          <w:numId w:val="53"/>
        </w:numPr>
        <w:ind w:left="709"/>
        <w:jc w:val="both"/>
        <w:rPr>
          <w:rFonts w:ascii="Verdana" w:hAnsi="Verdana"/>
        </w:rPr>
      </w:pPr>
      <w:r>
        <w:t xml:space="preserve">The following constitutes a very serious environmental administrative offence, punishable under the Framework Law on Environmental Administrative Offences, adopted in annex to </w:t>
      </w:r>
      <w:hyperlink r:id="rId8" w:tgtFrame="_blank" w:tooltip="Law No 50/2006" w:history="1">
        <w:r>
          <w:rPr>
            <w:rFonts w:ascii="Verdana" w:hAnsi="Verdana"/>
          </w:rPr>
          <w:t>Law No 50/2006</w:t>
        </w:r>
      </w:hyperlink>
      <w:r>
        <w:t xml:space="preserve"> of 29 August, in its current wording:</w:t>
      </w:r>
    </w:p>
    <w:p w14:paraId="1FC85153" w14:textId="734444EC" w:rsidR="00DD1E2B" w:rsidRPr="001D278E" w:rsidRDefault="005630B1" w:rsidP="00C525D6">
      <w:pPr>
        <w:pStyle w:val="ListParagraph"/>
        <w:numPr>
          <w:ilvl w:val="1"/>
          <w:numId w:val="54"/>
        </w:numPr>
        <w:spacing w:after="0"/>
        <w:ind w:left="1134"/>
        <w:jc w:val="both"/>
        <w:rPr>
          <w:rFonts w:ascii="Verdana" w:hAnsi="Verdana"/>
        </w:rPr>
      </w:pPr>
      <w:r>
        <w:rPr>
          <w:rFonts w:ascii="Verdana" w:hAnsi="Verdana"/>
        </w:rPr>
        <w:t>Non-compliance with the incorporation of recycled plastic into beverage bottles provided for in Article 11(5);</w:t>
      </w:r>
    </w:p>
    <w:p w14:paraId="379602CA" w14:textId="7B93E60C" w:rsidR="004551A4" w:rsidRPr="001D278E" w:rsidRDefault="004551A4" w:rsidP="00C525D6">
      <w:pPr>
        <w:pStyle w:val="ListParagraph"/>
        <w:numPr>
          <w:ilvl w:val="0"/>
          <w:numId w:val="53"/>
        </w:numPr>
        <w:ind w:left="709"/>
        <w:jc w:val="both"/>
        <w:rPr>
          <w:rFonts w:ascii="Verdana" w:hAnsi="Verdana"/>
        </w:rPr>
      </w:pPr>
      <w:r>
        <w:t xml:space="preserve">The following constitute serious environmental administrative offences, punishable under the Framework Law on Environmental Administrative Offences, adopted in annex to </w:t>
      </w:r>
      <w:hyperlink r:id="rId9" w:tgtFrame="_blank" w:tooltip="Law No 50/2006" w:history="1">
        <w:r>
          <w:rPr>
            <w:rFonts w:ascii="Verdana" w:hAnsi="Verdana"/>
          </w:rPr>
          <w:t>Lei n.º 50/2006</w:t>
        </w:r>
      </w:hyperlink>
      <w:r>
        <w:t>Law No 50/2006 of 29 August, in its current wording:</w:t>
      </w:r>
    </w:p>
    <w:p w14:paraId="0E19D986" w14:textId="3A86DB1E" w:rsidR="005630B1" w:rsidRPr="001D278E" w:rsidRDefault="009E11DC" w:rsidP="00C525D6">
      <w:pPr>
        <w:pStyle w:val="ListParagraph"/>
        <w:numPr>
          <w:ilvl w:val="1"/>
          <w:numId w:val="55"/>
        </w:numPr>
        <w:spacing w:after="0"/>
        <w:ind w:left="1134"/>
        <w:jc w:val="both"/>
        <w:rPr>
          <w:rFonts w:ascii="Verdana" w:hAnsi="Verdana"/>
        </w:rPr>
      </w:pPr>
      <w:r>
        <w:rPr>
          <w:rFonts w:ascii="Verdana" w:hAnsi="Verdana"/>
        </w:rPr>
        <w:lastRenderedPageBreak/>
        <w:t>The placing on the market of beverage containers which do not comply with the design requirements laid down in Article 10(1);</w:t>
      </w:r>
    </w:p>
    <w:p w14:paraId="59E5084D" w14:textId="6290E616" w:rsidR="00950E5B" w:rsidRPr="001D278E" w:rsidRDefault="009E11DC" w:rsidP="00C525D6">
      <w:pPr>
        <w:pStyle w:val="ListParagraph"/>
        <w:numPr>
          <w:ilvl w:val="1"/>
          <w:numId w:val="55"/>
        </w:numPr>
        <w:spacing w:after="0"/>
        <w:ind w:left="1134"/>
        <w:jc w:val="both"/>
        <w:rPr>
          <w:rFonts w:ascii="Verdana" w:hAnsi="Verdana"/>
        </w:rPr>
      </w:pPr>
      <w:r>
        <w:rPr>
          <w:rFonts w:ascii="Verdana" w:hAnsi="Verdana"/>
        </w:rPr>
        <w:t xml:space="preserve">Non-compliance with the marking requirements set out in Article 12(2); </w:t>
      </w:r>
    </w:p>
    <w:p w14:paraId="2C12473B" w14:textId="2C68299B" w:rsidR="005630B1" w:rsidRPr="001D278E" w:rsidRDefault="00950E5B" w:rsidP="00C525D6">
      <w:pPr>
        <w:pStyle w:val="ListParagraph"/>
        <w:numPr>
          <w:ilvl w:val="1"/>
          <w:numId w:val="55"/>
        </w:numPr>
        <w:spacing w:after="0"/>
        <w:ind w:left="1134"/>
        <w:jc w:val="both"/>
        <w:rPr>
          <w:rFonts w:ascii="Verdana" w:hAnsi="Verdana"/>
        </w:rPr>
      </w:pPr>
      <w:r>
        <w:rPr>
          <w:rFonts w:ascii="Verdana" w:hAnsi="Verdana"/>
        </w:rPr>
        <w:t>Non-compliance with the rules on marking specifications provided for in Commission Implementing Regulation (EU) 2020/2151 of 17 December 2020.</w:t>
      </w:r>
    </w:p>
    <w:p w14:paraId="56FB7032" w14:textId="5E0C55B6" w:rsidR="00C64656" w:rsidRPr="001D278E" w:rsidRDefault="00C64656" w:rsidP="00C525D6">
      <w:pPr>
        <w:pStyle w:val="ListParagraph"/>
        <w:numPr>
          <w:ilvl w:val="1"/>
          <w:numId w:val="55"/>
        </w:numPr>
        <w:spacing w:after="0"/>
        <w:ind w:left="1134"/>
        <w:jc w:val="both"/>
        <w:rPr>
          <w:rFonts w:ascii="Verdana" w:hAnsi="Verdana"/>
        </w:rPr>
      </w:pPr>
      <w:r>
        <w:rPr>
          <w:rFonts w:ascii="Verdana" w:hAnsi="Verdana"/>
        </w:rPr>
        <w:t xml:space="preserve">Failure by producers to comply with the obligation laid down in Article 18(5); </w:t>
      </w:r>
    </w:p>
    <w:p w14:paraId="0B1C9F8F" w14:textId="4F3555FB" w:rsidR="004551A4" w:rsidRPr="001D278E" w:rsidRDefault="00881A44" w:rsidP="00C525D6">
      <w:pPr>
        <w:pStyle w:val="ListParagraph"/>
        <w:numPr>
          <w:ilvl w:val="1"/>
          <w:numId w:val="55"/>
        </w:numPr>
        <w:spacing w:after="0"/>
        <w:ind w:left="1134"/>
        <w:jc w:val="both"/>
        <w:rPr>
          <w:rFonts w:ascii="Verdana" w:hAnsi="Verdana"/>
        </w:rPr>
      </w:pPr>
      <w:r>
        <w:rPr>
          <w:rFonts w:ascii="Verdana" w:hAnsi="Verdana"/>
        </w:rPr>
        <w:t>Failure by producers, or by producers through associations, to comply with the obligation to send the report referred to in Article 18(6), in accordance with the procedure laid down therein;</w:t>
      </w:r>
    </w:p>
    <w:p w14:paraId="358BC049" w14:textId="74925ACB" w:rsidR="006A5FE8" w:rsidRPr="001D278E" w:rsidRDefault="006A5FE8" w:rsidP="00C525D6">
      <w:pPr>
        <w:pStyle w:val="ListParagraph"/>
        <w:numPr>
          <w:ilvl w:val="1"/>
          <w:numId w:val="55"/>
        </w:numPr>
        <w:spacing w:after="0"/>
        <w:ind w:left="1134"/>
        <w:jc w:val="both"/>
        <w:rPr>
          <w:rFonts w:ascii="Verdana" w:hAnsi="Verdana"/>
        </w:rPr>
      </w:pPr>
      <w:r>
        <w:rPr>
          <w:rFonts w:ascii="Verdana" w:hAnsi="Verdana"/>
        </w:rPr>
        <w:t xml:space="preserve">Failure to comply with Article 18(7) by the economic operators referred to in the rules in question; </w:t>
      </w:r>
    </w:p>
    <w:p w14:paraId="009DF47A" w14:textId="3217E37E" w:rsidR="006A5FE8" w:rsidRPr="001D278E" w:rsidRDefault="006A5FE8" w:rsidP="00C525D6">
      <w:pPr>
        <w:pStyle w:val="ListParagraph"/>
        <w:numPr>
          <w:ilvl w:val="1"/>
          <w:numId w:val="55"/>
        </w:numPr>
        <w:spacing w:after="0"/>
        <w:ind w:left="1134"/>
        <w:jc w:val="both"/>
        <w:rPr>
          <w:rFonts w:ascii="Verdana" w:hAnsi="Verdana"/>
        </w:rPr>
      </w:pPr>
      <w:r>
        <w:rPr>
          <w:rFonts w:ascii="Verdana" w:hAnsi="Verdana"/>
        </w:rPr>
        <w:t xml:space="preserve">Failure to comply with Article 18(8) by economic operators referred to in Article (7). </w:t>
      </w:r>
    </w:p>
    <w:p w14:paraId="53B1C166" w14:textId="77777777" w:rsidR="005630B1" w:rsidRPr="001D278E" w:rsidRDefault="004551A4" w:rsidP="00C525D6">
      <w:pPr>
        <w:pStyle w:val="ListParagraph"/>
        <w:numPr>
          <w:ilvl w:val="0"/>
          <w:numId w:val="53"/>
        </w:numPr>
        <w:ind w:left="709"/>
        <w:jc w:val="both"/>
        <w:rPr>
          <w:rFonts w:ascii="Verdana" w:hAnsi="Verdana"/>
        </w:rPr>
      </w:pPr>
      <w:r>
        <w:t xml:space="preserve">The following constitute minor environmental administrative offences, punishable under the Framework Law on Environmental Administrative Offences, adopted in an annex to </w:t>
      </w:r>
      <w:hyperlink r:id="rId10" w:tgtFrame="_blank" w:tooltip="Law No 50/2006" w:history="1">
        <w:r>
          <w:rPr>
            <w:rFonts w:ascii="Verdana" w:hAnsi="Verdana"/>
          </w:rPr>
          <w:t>Law No 50/2006</w:t>
        </w:r>
      </w:hyperlink>
      <w:r>
        <w:t xml:space="preserve"> of 29 August, in its current wording:</w:t>
      </w:r>
    </w:p>
    <w:p w14:paraId="4F6BA6A5" w14:textId="6BD7D22D" w:rsidR="006E6B90" w:rsidRPr="001D278E" w:rsidRDefault="006E6B90" w:rsidP="00C525D6">
      <w:pPr>
        <w:pStyle w:val="ListParagraph"/>
        <w:numPr>
          <w:ilvl w:val="1"/>
          <w:numId w:val="55"/>
        </w:numPr>
        <w:spacing w:after="0"/>
        <w:ind w:left="1134"/>
        <w:jc w:val="both"/>
        <w:rPr>
          <w:rFonts w:ascii="Verdana" w:hAnsi="Verdana"/>
        </w:rPr>
      </w:pPr>
      <w:r>
        <w:rPr>
          <w:rFonts w:ascii="Verdana" w:hAnsi="Verdana"/>
        </w:rPr>
        <w:t>Failure to comply with the obligations of the Authorised Representative in accordance with Article 16(4).</w:t>
      </w:r>
    </w:p>
    <w:p w14:paraId="50F93058" w14:textId="691E101E" w:rsidR="009D112F" w:rsidRPr="001D278E" w:rsidRDefault="009D112F" w:rsidP="00C525D6">
      <w:pPr>
        <w:pStyle w:val="ListParagraph"/>
        <w:numPr>
          <w:ilvl w:val="0"/>
          <w:numId w:val="53"/>
        </w:numPr>
        <w:ind w:left="709"/>
        <w:jc w:val="both"/>
        <w:rPr>
          <w:rFonts w:ascii="Verdana" w:hAnsi="Verdana"/>
        </w:rPr>
      </w:pPr>
      <w:r>
        <w:rPr>
          <w:rFonts w:ascii="Verdana" w:hAnsi="Verdana"/>
        </w:rPr>
        <w:t>Negligence is punishable in accordance with the Framework Law on Environmental Administrative Offences.</w:t>
      </w:r>
    </w:p>
    <w:p w14:paraId="02C0935D" w14:textId="0366A113" w:rsidR="009D112F" w:rsidRPr="001D278E" w:rsidRDefault="009D112F" w:rsidP="00C525D6">
      <w:pPr>
        <w:pStyle w:val="ListParagraph"/>
        <w:numPr>
          <w:ilvl w:val="0"/>
          <w:numId w:val="53"/>
        </w:numPr>
        <w:ind w:left="709"/>
        <w:jc w:val="both"/>
        <w:rPr>
          <w:rFonts w:ascii="Verdana" w:hAnsi="Verdana"/>
        </w:rPr>
      </w:pPr>
      <w:r>
        <w:rPr>
          <w:rFonts w:ascii="Verdana" w:hAnsi="Verdana"/>
        </w:rPr>
        <w:t>The proceeds from fines provided for in this article shall be divided in accordance with Article 73 of the Framework Law on Environmental Administrative Offences.</w:t>
      </w:r>
    </w:p>
    <w:p w14:paraId="1E162BA3" w14:textId="7D85120F" w:rsidR="009D112F" w:rsidRPr="001D278E" w:rsidRDefault="009D112F" w:rsidP="00C525D6">
      <w:pPr>
        <w:pStyle w:val="ListParagraph"/>
        <w:numPr>
          <w:ilvl w:val="0"/>
          <w:numId w:val="53"/>
        </w:numPr>
        <w:ind w:left="709"/>
        <w:jc w:val="both"/>
        <w:rPr>
          <w:rFonts w:ascii="Verdana" w:hAnsi="Verdana"/>
        </w:rPr>
      </w:pPr>
      <w:r>
        <w:t xml:space="preserve">Conviction of the very serious and serious infringements provided for in paragraphs 1 and 2 may be advertised where the specific measure of the fine imposed exceeds half that of the maximum amount of the </w:t>
      </w:r>
      <w:proofErr w:type="gramStart"/>
      <w:r>
        <w:t>fine</w:t>
      </w:r>
      <w:proofErr w:type="gramEnd"/>
      <w:r>
        <w:t xml:space="preserve"> which is abstractly applicable, in accordance with the provisions of the Framework Law on Environmental Administrative Offences.</w:t>
      </w:r>
    </w:p>
    <w:p w14:paraId="69198DB2" w14:textId="77777777" w:rsidR="009D112F" w:rsidRPr="009D112F" w:rsidRDefault="009D112F" w:rsidP="009D112F">
      <w:pPr>
        <w:jc w:val="both"/>
        <w:rPr>
          <w:rFonts w:ascii="Verdana" w:hAnsi="Verdana"/>
          <w:color w:val="000000" w:themeColor="text1"/>
        </w:rPr>
      </w:pPr>
    </w:p>
    <w:p w14:paraId="14D75E23" w14:textId="5FC68CFC" w:rsidR="009D112F" w:rsidRPr="009D112F" w:rsidRDefault="00AC3F76" w:rsidP="00AC3F76">
      <w:pPr>
        <w:pStyle w:val="Heading2"/>
        <w:numPr>
          <w:ilvl w:val="0"/>
          <w:numId w:val="0"/>
        </w:numPr>
        <w:tabs>
          <w:tab w:val="clear" w:pos="1701"/>
          <w:tab w:val="left" w:pos="1418"/>
        </w:tabs>
        <w:ind w:left="426"/>
      </w:pPr>
      <w:r>
        <w:t xml:space="preserve">Article </w:t>
      </w:r>
      <w:r w:rsidR="000600E7">
        <w:t>24</w:t>
      </w:r>
      <w:r w:rsidR="009D112F">
        <w:br/>
        <w:t>Investigation and decision processes</w:t>
      </w:r>
    </w:p>
    <w:p w14:paraId="2543265B" w14:textId="07ACC442" w:rsidR="009D112F" w:rsidRPr="009D112F" w:rsidRDefault="009D112F" w:rsidP="00C525D6">
      <w:pPr>
        <w:pStyle w:val="ListParagraph"/>
        <w:numPr>
          <w:ilvl w:val="0"/>
          <w:numId w:val="56"/>
        </w:numPr>
        <w:ind w:left="709"/>
        <w:jc w:val="both"/>
        <w:rPr>
          <w:rFonts w:ascii="Verdana" w:hAnsi="Verdana"/>
        </w:rPr>
      </w:pPr>
      <w:r>
        <w:rPr>
          <w:rFonts w:ascii="Verdana" w:hAnsi="Verdana"/>
        </w:rPr>
        <w:t xml:space="preserve">1 - It is for IGAMAOT [General Inspectorate for Agriculture, Sea, Environment and Spatial Planning], ASAE [Food and Economic Safety Authority] and AT [Tax and Customs Authority], within the scope of their respective competences, to initiate administrative offence proceedings filed within the scope of this Decree-Law, as well as the </w:t>
      </w:r>
      <w:r>
        <w:rPr>
          <w:rFonts w:ascii="Verdana" w:hAnsi="Verdana"/>
        </w:rPr>
        <w:lastRenderedPageBreak/>
        <w:t>application of the corresponding fines and ancillary penalties provided for in Article 90(6).</w:t>
      </w:r>
    </w:p>
    <w:p w14:paraId="0E4A6ED5" w14:textId="09F1BE0B" w:rsidR="00A172F1" w:rsidRPr="009D112F" w:rsidRDefault="009D112F" w:rsidP="00C525D6">
      <w:pPr>
        <w:pStyle w:val="ListParagraph"/>
        <w:numPr>
          <w:ilvl w:val="0"/>
          <w:numId w:val="56"/>
        </w:numPr>
        <w:ind w:left="709"/>
        <w:jc w:val="both"/>
        <w:rPr>
          <w:rFonts w:ascii="Verdana" w:hAnsi="Verdana"/>
        </w:rPr>
      </w:pPr>
      <w:r>
        <w:rPr>
          <w:rFonts w:ascii="Verdana" w:hAnsi="Verdana"/>
        </w:rPr>
        <w:t>Where the processing entity does not have the power to investigate the case, IGAMAOT shall investigate and decide in the event of environmental administrative offences provided for in Article 23 and shall inform the processing entities of the decisions.</w:t>
      </w:r>
    </w:p>
    <w:p w14:paraId="162FCAEC" w14:textId="77777777" w:rsidR="009D112F" w:rsidRDefault="009D112F" w:rsidP="009D112F">
      <w:pPr>
        <w:jc w:val="both"/>
        <w:rPr>
          <w:rFonts w:ascii="Verdana" w:hAnsi="Verdana"/>
        </w:rPr>
      </w:pPr>
    </w:p>
    <w:p w14:paraId="43E0AE39" w14:textId="7815CD5A" w:rsidR="009D112F" w:rsidRPr="009D112F" w:rsidRDefault="00AC3F76" w:rsidP="00AC3F76">
      <w:pPr>
        <w:pStyle w:val="Heading2"/>
        <w:numPr>
          <w:ilvl w:val="0"/>
          <w:numId w:val="0"/>
        </w:numPr>
        <w:tabs>
          <w:tab w:val="clear" w:pos="1701"/>
          <w:tab w:val="left" w:pos="1418"/>
        </w:tabs>
        <w:ind w:left="426"/>
      </w:pPr>
      <w:r>
        <w:t xml:space="preserve">Article </w:t>
      </w:r>
      <w:r w:rsidR="000600E7">
        <w:t>25</w:t>
      </w:r>
      <w:r w:rsidR="009D112F">
        <w:br/>
        <w:t>Precautionary seizure</w:t>
      </w:r>
    </w:p>
    <w:p w14:paraId="0BE9E5AF" w14:textId="3FC2B62D" w:rsidR="009D112F" w:rsidRDefault="009D112F" w:rsidP="009D112F">
      <w:pPr>
        <w:jc w:val="both"/>
        <w:rPr>
          <w:rFonts w:ascii="Verdana" w:hAnsi="Verdana"/>
        </w:rPr>
      </w:pPr>
      <w:r>
        <w:rPr>
          <w:rFonts w:ascii="Verdana" w:hAnsi="Verdana"/>
        </w:rPr>
        <w:t xml:space="preserve">The competent authority may, where necessary, determine the provisional seizure of assets and documents under Article 42 of the Framework Law on Environmental Administrative Offences, or the seizure of objects in accordance with the Legal Regime for Economic Administrative Offences. </w:t>
      </w:r>
    </w:p>
    <w:p w14:paraId="40F71398" w14:textId="77777777" w:rsidR="009D112F" w:rsidRPr="003F6B93" w:rsidRDefault="009D112F" w:rsidP="009D112F">
      <w:pPr>
        <w:jc w:val="both"/>
        <w:rPr>
          <w:rFonts w:ascii="Verdana" w:hAnsi="Verdana"/>
        </w:rPr>
      </w:pPr>
    </w:p>
    <w:p w14:paraId="588A90F5" w14:textId="50AF98BA" w:rsidR="00A172F1" w:rsidRPr="003F6B93" w:rsidRDefault="00DD1E2B" w:rsidP="001E4779">
      <w:pPr>
        <w:pStyle w:val="Heading1"/>
        <w:tabs>
          <w:tab w:val="clear" w:pos="3969"/>
          <w:tab w:val="left" w:pos="2410"/>
        </w:tabs>
      </w:pPr>
      <w:r>
        <w:br/>
        <w:t xml:space="preserve">Legislative amendments </w:t>
      </w:r>
    </w:p>
    <w:p w14:paraId="3E28DF84" w14:textId="6C30B52E" w:rsidR="008B4B7F" w:rsidRPr="00007109" w:rsidRDefault="008B4B7F" w:rsidP="00A172F1">
      <w:pPr>
        <w:jc w:val="both"/>
        <w:rPr>
          <w:rFonts w:ascii="Verdana" w:hAnsi="Verdana"/>
        </w:rPr>
      </w:pPr>
    </w:p>
    <w:p w14:paraId="1E8AFD6F" w14:textId="4E66953E" w:rsidR="00054EAE" w:rsidRDefault="00AC3F76" w:rsidP="00AC3F76">
      <w:pPr>
        <w:pStyle w:val="Heading2"/>
        <w:numPr>
          <w:ilvl w:val="0"/>
          <w:numId w:val="0"/>
        </w:numPr>
        <w:tabs>
          <w:tab w:val="clear" w:pos="1701"/>
          <w:tab w:val="left" w:pos="1560"/>
        </w:tabs>
        <w:ind w:left="426"/>
      </w:pPr>
      <w:r>
        <w:t xml:space="preserve">Article </w:t>
      </w:r>
      <w:r w:rsidR="000600E7">
        <w:t>26</w:t>
      </w:r>
      <w:r w:rsidR="006A3393">
        <w:br/>
        <w:t>Amendment to Law No 77/2019 of 2 September</w:t>
      </w:r>
    </w:p>
    <w:p w14:paraId="5E323956" w14:textId="77777777" w:rsidR="00A76322" w:rsidRPr="00007109" w:rsidRDefault="00A76322" w:rsidP="00007109">
      <w:pPr>
        <w:jc w:val="both"/>
        <w:rPr>
          <w:rFonts w:ascii="Verdana" w:hAnsi="Verdana"/>
        </w:rPr>
      </w:pPr>
    </w:p>
    <w:p w14:paraId="55295FC4" w14:textId="1EB7775E" w:rsidR="00054EAE" w:rsidRPr="00007109" w:rsidRDefault="00054EAE" w:rsidP="00007109">
      <w:pPr>
        <w:jc w:val="both"/>
        <w:rPr>
          <w:rFonts w:ascii="Verdana" w:hAnsi="Verdana"/>
        </w:rPr>
      </w:pPr>
      <w:r>
        <w:rPr>
          <w:rFonts w:ascii="Verdana" w:hAnsi="Verdana"/>
        </w:rPr>
        <w:t>Articles 1, 2, 3, 4, 5, 6 and 7 of Law No 77/2019 of 2 September are replaced by the following:</w:t>
      </w:r>
    </w:p>
    <w:p w14:paraId="775CD874" w14:textId="77777777" w:rsidR="006A3393" w:rsidRPr="00007109" w:rsidRDefault="006A3393" w:rsidP="00007109">
      <w:pPr>
        <w:jc w:val="both"/>
        <w:rPr>
          <w:rFonts w:ascii="Verdana" w:hAnsi="Verdana"/>
        </w:rPr>
      </w:pPr>
    </w:p>
    <w:p w14:paraId="2F4BD73E" w14:textId="7F37B1FF" w:rsidR="00054EAE" w:rsidRPr="008E2CAE" w:rsidRDefault="000600E7" w:rsidP="00054EAE">
      <w:pPr>
        <w:spacing w:after="0" w:line="360" w:lineRule="auto"/>
        <w:jc w:val="center"/>
        <w:rPr>
          <w:rFonts w:ascii="Verdana" w:hAnsi="Verdana" w:cstheme="minorHAnsi"/>
        </w:rPr>
      </w:pPr>
      <w:r>
        <w:rPr>
          <w:rFonts w:ascii="Verdana" w:hAnsi="Verdana"/>
        </w:rPr>
        <w:t>‘</w:t>
      </w:r>
      <w:r w:rsidR="00AC3F76">
        <w:t xml:space="preserve">Article </w:t>
      </w:r>
      <w:r>
        <w:t>1</w:t>
      </w:r>
    </w:p>
    <w:p w14:paraId="0B8D34BA" w14:textId="77777777" w:rsidR="00054EAE" w:rsidRPr="008E2CAE" w:rsidRDefault="00054EAE" w:rsidP="00054EAE">
      <w:pPr>
        <w:spacing w:after="0" w:line="360" w:lineRule="auto"/>
        <w:jc w:val="center"/>
        <w:rPr>
          <w:rFonts w:ascii="Verdana" w:hAnsi="Verdana" w:cstheme="minorHAnsi"/>
        </w:rPr>
      </w:pPr>
      <w:r>
        <w:rPr>
          <w:rFonts w:ascii="Verdana" w:hAnsi="Verdana"/>
        </w:rPr>
        <w:t>[…]</w:t>
      </w:r>
    </w:p>
    <w:p w14:paraId="432C76D2" w14:textId="51A6EFAC" w:rsidR="00054EAE" w:rsidRPr="00007109" w:rsidRDefault="00054EAE" w:rsidP="00007109">
      <w:pPr>
        <w:jc w:val="both"/>
        <w:rPr>
          <w:rFonts w:ascii="Verdana" w:hAnsi="Verdana"/>
        </w:rPr>
      </w:pPr>
      <w:bookmarkStart w:id="53" w:name="_Hlk65428420"/>
      <w:r>
        <w:rPr>
          <w:rFonts w:ascii="Verdana" w:hAnsi="Verdana"/>
        </w:rPr>
        <w:t xml:space="preserve">This law prohibits the making available of very light plastic bags and single-use plastic containers, such as cuvettes and boxes, with or without a lid, in the marketing of bakery and pastry products, fruit and vegetables, in shops, and the obligation to make alternatives to the use of very light plastic bags available to final consumers. </w:t>
      </w:r>
    </w:p>
    <w:bookmarkEnd w:id="53"/>
    <w:p w14:paraId="1BD7396C" w14:textId="77777777" w:rsidR="00054EAE" w:rsidRPr="00007109" w:rsidRDefault="00054EAE" w:rsidP="00007109">
      <w:pPr>
        <w:jc w:val="both"/>
        <w:rPr>
          <w:rFonts w:ascii="Verdana" w:hAnsi="Verdana"/>
        </w:rPr>
      </w:pPr>
    </w:p>
    <w:p w14:paraId="2AC2A3A0" w14:textId="77777777" w:rsidR="00054EAE" w:rsidRPr="008E2CAE" w:rsidRDefault="00054EAE" w:rsidP="00054EAE">
      <w:pPr>
        <w:spacing w:after="0" w:line="360" w:lineRule="auto"/>
        <w:jc w:val="center"/>
        <w:rPr>
          <w:rFonts w:ascii="Verdana" w:hAnsi="Verdana" w:cstheme="minorHAnsi"/>
        </w:rPr>
      </w:pPr>
      <w:r>
        <w:rPr>
          <w:rFonts w:ascii="Verdana" w:hAnsi="Verdana"/>
        </w:rPr>
        <w:lastRenderedPageBreak/>
        <w:t>Article 2</w:t>
      </w:r>
    </w:p>
    <w:p w14:paraId="080BFE3B" w14:textId="77777777" w:rsidR="00054EAE" w:rsidRPr="008E2CAE" w:rsidRDefault="00054EAE" w:rsidP="00054EAE">
      <w:pPr>
        <w:spacing w:after="0" w:line="360" w:lineRule="auto"/>
        <w:jc w:val="center"/>
        <w:rPr>
          <w:rFonts w:ascii="Verdana" w:hAnsi="Verdana" w:cstheme="minorHAnsi"/>
        </w:rPr>
      </w:pPr>
      <w:r>
        <w:rPr>
          <w:rFonts w:ascii="Verdana" w:hAnsi="Verdana"/>
        </w:rPr>
        <w:t>[…]</w:t>
      </w:r>
    </w:p>
    <w:p w14:paraId="4F24CD63" w14:textId="77777777" w:rsidR="00054EAE" w:rsidRPr="00007109" w:rsidRDefault="00054EAE" w:rsidP="00007109">
      <w:pPr>
        <w:jc w:val="both"/>
        <w:rPr>
          <w:rFonts w:ascii="Verdana" w:hAnsi="Verdana"/>
        </w:rPr>
      </w:pPr>
      <w:r>
        <w:rPr>
          <w:rFonts w:ascii="Verdana" w:hAnsi="Verdana"/>
        </w:rPr>
        <w:t xml:space="preserve">For the purposes of this Law, the following definitions shall apply: </w:t>
      </w:r>
    </w:p>
    <w:p w14:paraId="53E227F4" w14:textId="3871EE5A" w:rsidR="00054EAE" w:rsidRPr="001D278E" w:rsidRDefault="00054EAE" w:rsidP="00C525D6">
      <w:pPr>
        <w:pStyle w:val="ListParagraph"/>
        <w:numPr>
          <w:ilvl w:val="1"/>
          <w:numId w:val="57"/>
        </w:numPr>
        <w:spacing w:after="0"/>
        <w:ind w:left="1134"/>
        <w:jc w:val="both"/>
        <w:rPr>
          <w:rFonts w:ascii="Verdana" w:hAnsi="Verdana"/>
        </w:rPr>
      </w:pPr>
      <w:bookmarkStart w:id="54" w:name="_Hlk65428543"/>
      <w:r>
        <w:rPr>
          <w:rFonts w:ascii="Verdana" w:hAnsi="Verdana"/>
        </w:rPr>
        <w:t>‘Very light plastic bags’ means plastic bags with a thickness of less than 15 micron necessary for hygiene purposes or supplied as primary packaging for unpackaged bread, fruit and vegetables;</w:t>
      </w:r>
    </w:p>
    <w:bookmarkEnd w:id="54"/>
    <w:p w14:paraId="26239E9F" w14:textId="1D1F40AF" w:rsidR="00054EAE" w:rsidRPr="001D278E" w:rsidRDefault="00054EAE" w:rsidP="00C525D6">
      <w:pPr>
        <w:pStyle w:val="ListParagraph"/>
        <w:numPr>
          <w:ilvl w:val="1"/>
          <w:numId w:val="57"/>
        </w:numPr>
        <w:spacing w:after="0"/>
        <w:ind w:left="1134"/>
        <w:jc w:val="both"/>
        <w:rPr>
          <w:rFonts w:ascii="Verdana" w:hAnsi="Verdana"/>
        </w:rPr>
      </w:pPr>
      <w:r>
        <w:rPr>
          <w:rFonts w:ascii="Verdana" w:hAnsi="Verdana"/>
        </w:rPr>
        <w:t>‘Biodegradable plastic’ means a plastic capable of undergoing physical, biological decomposition, such that it ultimately decomposes into carbon dioxide (CO2), biomass and water, and is, in accordance with European standards for packaging, recoverable through composting and anaerobic digestion;</w:t>
      </w:r>
    </w:p>
    <w:p w14:paraId="3F891194" w14:textId="44E496B7" w:rsidR="00054EAE" w:rsidRPr="001D278E" w:rsidRDefault="00054EAE" w:rsidP="00C525D6">
      <w:pPr>
        <w:pStyle w:val="ListParagraph"/>
        <w:numPr>
          <w:ilvl w:val="1"/>
          <w:numId w:val="57"/>
        </w:numPr>
        <w:spacing w:after="0"/>
        <w:ind w:left="1134"/>
        <w:jc w:val="both"/>
        <w:rPr>
          <w:rFonts w:ascii="Verdana" w:hAnsi="Verdana"/>
        </w:rPr>
      </w:pPr>
      <w:bookmarkStart w:id="55" w:name="_Hlk65428640"/>
      <w:r>
        <w:rPr>
          <w:rFonts w:ascii="Verdana" w:hAnsi="Verdana"/>
        </w:rPr>
        <w:t xml:space="preserve">‘Commercial establishment’ means any fixed and permanent retail establishment, where the supplier of goods or the provider of catering services carries out his activity on a permanent basis, and which markets bread, </w:t>
      </w:r>
      <w:proofErr w:type="gramStart"/>
      <w:r>
        <w:rPr>
          <w:rFonts w:ascii="Verdana" w:hAnsi="Verdana"/>
        </w:rPr>
        <w:t>fruit</w:t>
      </w:r>
      <w:proofErr w:type="gramEnd"/>
      <w:r>
        <w:rPr>
          <w:rFonts w:ascii="Verdana" w:hAnsi="Verdana"/>
        </w:rPr>
        <w:t xml:space="preserve"> and vegetables, covered by the legal regime for access to and exercise of trading, services and catering activities, approved by Decree-Law No 10/2015 of 16 January, as amended by Decree-Law No 102/2017 of 23 August and by Law No. 15/2018 of 27.</w:t>
      </w:r>
    </w:p>
    <w:bookmarkEnd w:id="55"/>
    <w:p w14:paraId="320C7822" w14:textId="77777777" w:rsidR="00054EAE" w:rsidRPr="008B374C" w:rsidRDefault="00054EAE" w:rsidP="00054EAE">
      <w:pPr>
        <w:spacing w:after="0" w:line="360" w:lineRule="auto"/>
        <w:jc w:val="center"/>
        <w:rPr>
          <w:rFonts w:ascii="Verdana" w:hAnsi="Verdana" w:cstheme="minorHAnsi"/>
        </w:rPr>
      </w:pPr>
    </w:p>
    <w:p w14:paraId="23698E8A" w14:textId="77777777" w:rsidR="00054EAE" w:rsidRPr="008B374C" w:rsidRDefault="00054EAE" w:rsidP="00054EAE">
      <w:pPr>
        <w:spacing w:after="0" w:line="360" w:lineRule="auto"/>
        <w:jc w:val="center"/>
        <w:rPr>
          <w:rFonts w:ascii="Verdana" w:hAnsi="Verdana" w:cstheme="minorHAnsi"/>
        </w:rPr>
      </w:pPr>
      <w:r>
        <w:rPr>
          <w:rFonts w:ascii="Verdana" w:hAnsi="Verdana"/>
        </w:rPr>
        <w:t>Article 3</w:t>
      </w:r>
    </w:p>
    <w:p w14:paraId="238E03F9" w14:textId="77777777" w:rsidR="00054EAE" w:rsidRPr="008B374C" w:rsidRDefault="00054EAE" w:rsidP="00054EAE">
      <w:pPr>
        <w:spacing w:after="0" w:line="360" w:lineRule="auto"/>
        <w:jc w:val="center"/>
        <w:rPr>
          <w:rFonts w:ascii="Verdana" w:hAnsi="Verdana" w:cstheme="minorHAnsi"/>
        </w:rPr>
      </w:pPr>
      <w:r>
        <w:rPr>
          <w:rFonts w:ascii="Verdana" w:hAnsi="Verdana"/>
        </w:rPr>
        <w:t>[…]</w:t>
      </w:r>
    </w:p>
    <w:p w14:paraId="1A3B3802" w14:textId="4C305360" w:rsidR="00054EAE" w:rsidRPr="00007109" w:rsidRDefault="00054EAE" w:rsidP="00007109">
      <w:pPr>
        <w:jc w:val="both"/>
        <w:rPr>
          <w:rFonts w:ascii="Verdana" w:hAnsi="Verdana"/>
        </w:rPr>
      </w:pPr>
      <w:r>
        <w:rPr>
          <w:rFonts w:ascii="Verdana" w:hAnsi="Verdana"/>
        </w:rPr>
        <w:t>This law applies to all commercial establishments where baking and pastry products, fruit and vegetables are marketed.</w:t>
      </w:r>
    </w:p>
    <w:p w14:paraId="6CE06251" w14:textId="77777777" w:rsidR="00054EAE" w:rsidRPr="008E2CAE" w:rsidRDefault="00054EAE" w:rsidP="00054EAE">
      <w:pPr>
        <w:spacing w:after="0" w:line="360" w:lineRule="auto"/>
        <w:jc w:val="center"/>
        <w:rPr>
          <w:rFonts w:ascii="Verdana" w:hAnsi="Verdana" w:cstheme="minorHAnsi"/>
        </w:rPr>
      </w:pPr>
    </w:p>
    <w:p w14:paraId="7728A31A" w14:textId="77777777" w:rsidR="00054EAE" w:rsidRPr="008E2CAE" w:rsidRDefault="00054EAE" w:rsidP="00054EAE">
      <w:pPr>
        <w:spacing w:after="0" w:line="360" w:lineRule="auto"/>
        <w:jc w:val="center"/>
        <w:rPr>
          <w:rFonts w:ascii="Verdana" w:hAnsi="Verdana" w:cstheme="minorHAnsi"/>
        </w:rPr>
      </w:pPr>
      <w:r>
        <w:rPr>
          <w:rFonts w:ascii="Verdana" w:hAnsi="Verdana"/>
        </w:rPr>
        <w:t>Article 4</w:t>
      </w:r>
    </w:p>
    <w:p w14:paraId="6D060904" w14:textId="77777777" w:rsidR="00054EAE" w:rsidRPr="008E2CAE" w:rsidRDefault="00054EAE" w:rsidP="00054EAE">
      <w:pPr>
        <w:spacing w:after="0" w:line="360" w:lineRule="auto"/>
        <w:jc w:val="center"/>
        <w:rPr>
          <w:rFonts w:ascii="Verdana" w:hAnsi="Verdana" w:cstheme="minorHAnsi"/>
        </w:rPr>
      </w:pPr>
      <w:r>
        <w:rPr>
          <w:rFonts w:ascii="Verdana" w:hAnsi="Verdana"/>
        </w:rPr>
        <w:t>[…]</w:t>
      </w:r>
    </w:p>
    <w:p w14:paraId="797D8056" w14:textId="4A1A464E" w:rsidR="00A75014" w:rsidRPr="00007109" w:rsidRDefault="00EB2667" w:rsidP="00C525D6">
      <w:pPr>
        <w:pStyle w:val="ListParagraph"/>
        <w:numPr>
          <w:ilvl w:val="0"/>
          <w:numId w:val="58"/>
        </w:numPr>
        <w:ind w:left="709"/>
        <w:jc w:val="both"/>
        <w:rPr>
          <w:rFonts w:ascii="Verdana" w:hAnsi="Verdana"/>
        </w:rPr>
      </w:pPr>
      <w:r>
        <w:rPr>
          <w:rFonts w:ascii="Verdana" w:hAnsi="Verdana"/>
        </w:rPr>
        <w:t>From 1 June 2023, shops shall be prevented from:</w:t>
      </w:r>
    </w:p>
    <w:p w14:paraId="4B1574A0" w14:textId="583FEA2E" w:rsidR="00EB2667" w:rsidRPr="00007109" w:rsidRDefault="00A75014" w:rsidP="00C525D6">
      <w:pPr>
        <w:pStyle w:val="ListParagraph"/>
        <w:numPr>
          <w:ilvl w:val="1"/>
          <w:numId w:val="59"/>
        </w:numPr>
        <w:spacing w:after="0"/>
        <w:ind w:left="1134"/>
        <w:jc w:val="both"/>
        <w:rPr>
          <w:rFonts w:ascii="Verdana" w:hAnsi="Verdana"/>
        </w:rPr>
      </w:pPr>
      <w:r>
        <w:t xml:space="preserve">providing very light plastic bags for packaging </w:t>
      </w:r>
      <w:bookmarkStart w:id="56" w:name="_Hlk66404382"/>
      <w:r>
        <w:t>of baking and pastry products</w:t>
      </w:r>
      <w:bookmarkEnd w:id="56"/>
      <w:r>
        <w:t xml:space="preserve">, </w:t>
      </w:r>
      <w:proofErr w:type="gramStart"/>
      <w:r>
        <w:t>fruit</w:t>
      </w:r>
      <w:proofErr w:type="gramEnd"/>
      <w:r>
        <w:t xml:space="preserve"> and vegetables;</w:t>
      </w:r>
    </w:p>
    <w:p w14:paraId="1B94BFF0" w14:textId="71559D2A" w:rsidR="00054EAE" w:rsidRPr="00007109" w:rsidRDefault="00A75014" w:rsidP="00C525D6">
      <w:pPr>
        <w:pStyle w:val="ListParagraph"/>
        <w:numPr>
          <w:ilvl w:val="1"/>
          <w:numId w:val="59"/>
        </w:numPr>
        <w:spacing w:after="0"/>
        <w:ind w:left="1134"/>
        <w:jc w:val="both"/>
        <w:rPr>
          <w:rFonts w:ascii="Verdana" w:hAnsi="Verdana"/>
        </w:rPr>
      </w:pPr>
      <w:r>
        <w:rPr>
          <w:rFonts w:ascii="Verdana" w:hAnsi="Verdana"/>
        </w:rPr>
        <w:t>marketing in very light plastic bags, baking and pastry products, fruit and vegetables that are packed at the point of sale.</w:t>
      </w:r>
    </w:p>
    <w:p w14:paraId="349419CD" w14:textId="5F81FD4E" w:rsidR="00054EAE" w:rsidRPr="00007109" w:rsidRDefault="00EB2667" w:rsidP="00C525D6">
      <w:pPr>
        <w:pStyle w:val="ListParagraph"/>
        <w:numPr>
          <w:ilvl w:val="0"/>
          <w:numId w:val="58"/>
        </w:numPr>
        <w:ind w:left="709"/>
        <w:jc w:val="both"/>
        <w:rPr>
          <w:rFonts w:ascii="Verdana" w:hAnsi="Verdana"/>
        </w:rPr>
      </w:pPr>
      <w:r>
        <w:t xml:space="preserve">From 1 June 2023, shops shall be prevented from </w:t>
      </w:r>
      <w:bookmarkStart w:id="57" w:name="_Hlk66404823"/>
      <w:r>
        <w:t>marketing baking and pastry products, fruit and vegetables packed in single-use plastic containers such as cuvettes and boxes, with or without a lid.</w:t>
      </w:r>
      <w:r>
        <w:rPr>
          <w:rFonts w:ascii="Verdana" w:hAnsi="Verdana"/>
        </w:rPr>
        <w:t xml:space="preserve"> </w:t>
      </w:r>
      <w:bookmarkEnd w:id="57"/>
    </w:p>
    <w:p w14:paraId="70876CC6" w14:textId="7D41C726" w:rsidR="00007109" w:rsidRDefault="00974F5D" w:rsidP="00C525D6">
      <w:pPr>
        <w:pStyle w:val="ListParagraph"/>
        <w:numPr>
          <w:ilvl w:val="0"/>
          <w:numId w:val="58"/>
        </w:numPr>
        <w:ind w:left="709"/>
        <w:jc w:val="both"/>
        <w:rPr>
          <w:rFonts w:ascii="Verdana" w:hAnsi="Verdana"/>
        </w:rPr>
      </w:pPr>
      <w:r>
        <w:rPr>
          <w:rFonts w:ascii="Verdana" w:hAnsi="Verdana"/>
        </w:rPr>
        <w:lastRenderedPageBreak/>
        <w:t xml:space="preserve">Bags manufactured from plastics proven to be biodegradable and compostable in accordance with the relevant standards in force at the time shall be excluded from the prohibition laid down in paragraph 1 </w:t>
      </w:r>
      <w:proofErr w:type="gramStart"/>
      <w:r>
        <w:rPr>
          <w:rFonts w:ascii="Verdana" w:hAnsi="Verdana"/>
        </w:rPr>
        <w:t>provided that</w:t>
      </w:r>
      <w:proofErr w:type="gramEnd"/>
      <w:r>
        <w:rPr>
          <w:rFonts w:ascii="Verdana" w:hAnsi="Verdana"/>
        </w:rPr>
        <w:t xml:space="preserve"> they are not made available free of charge.</w:t>
      </w:r>
    </w:p>
    <w:p w14:paraId="00BA235A" w14:textId="1664DBFF" w:rsidR="00974F5D" w:rsidRPr="00007109" w:rsidRDefault="00974F5D" w:rsidP="00C525D6">
      <w:pPr>
        <w:pStyle w:val="ListParagraph"/>
        <w:numPr>
          <w:ilvl w:val="0"/>
          <w:numId w:val="58"/>
        </w:numPr>
        <w:ind w:left="709"/>
        <w:jc w:val="both"/>
        <w:rPr>
          <w:rFonts w:ascii="Verdana" w:hAnsi="Verdana"/>
        </w:rPr>
      </w:pPr>
      <w:r>
        <w:rPr>
          <w:rFonts w:ascii="Verdana" w:hAnsi="Verdana"/>
        </w:rPr>
        <w:t>Containers manufactured from plastics proven to be biodegradable and compostable in accordance with the relevant standards in force at the time and where these are necessary for the purposes of hygiene and/or food safety shall be excluded from the prohibition laid down in paragraph 2.</w:t>
      </w:r>
    </w:p>
    <w:p w14:paraId="52622FDE" w14:textId="1BD3261A" w:rsidR="00974F5D" w:rsidRPr="00007109" w:rsidRDefault="00974F5D" w:rsidP="00007109">
      <w:pPr>
        <w:jc w:val="both"/>
        <w:rPr>
          <w:rFonts w:ascii="Verdana" w:hAnsi="Verdana"/>
        </w:rPr>
      </w:pPr>
    </w:p>
    <w:p w14:paraId="4ABB2644" w14:textId="77777777" w:rsidR="00054EAE" w:rsidRPr="00007109" w:rsidRDefault="00054EAE" w:rsidP="00007109">
      <w:pPr>
        <w:jc w:val="both"/>
        <w:rPr>
          <w:rFonts w:ascii="Verdana" w:hAnsi="Verdana"/>
        </w:rPr>
      </w:pPr>
    </w:p>
    <w:p w14:paraId="08B7CA3C" w14:textId="77777777" w:rsidR="00054EAE" w:rsidRPr="008E2CAE" w:rsidRDefault="00054EAE" w:rsidP="00054EAE">
      <w:pPr>
        <w:spacing w:after="0" w:line="360" w:lineRule="auto"/>
        <w:jc w:val="center"/>
        <w:rPr>
          <w:rFonts w:ascii="Verdana" w:hAnsi="Verdana" w:cstheme="minorHAnsi"/>
        </w:rPr>
      </w:pPr>
      <w:r>
        <w:rPr>
          <w:rFonts w:ascii="Verdana" w:hAnsi="Verdana"/>
        </w:rPr>
        <w:t>Article 5</w:t>
      </w:r>
    </w:p>
    <w:p w14:paraId="0DD616DF" w14:textId="186D58DF" w:rsidR="00054EAE" w:rsidRDefault="00054EAE" w:rsidP="00054EAE">
      <w:pPr>
        <w:spacing w:after="0" w:line="360" w:lineRule="auto"/>
        <w:jc w:val="center"/>
        <w:rPr>
          <w:rFonts w:ascii="Verdana" w:hAnsi="Verdana" w:cstheme="minorHAnsi"/>
        </w:rPr>
      </w:pPr>
      <w:r>
        <w:rPr>
          <w:rFonts w:ascii="Verdana" w:hAnsi="Verdana"/>
        </w:rPr>
        <w:t>[…]</w:t>
      </w:r>
    </w:p>
    <w:p w14:paraId="35F718E3" w14:textId="77777777" w:rsidR="00827E7D" w:rsidRPr="008E2CAE" w:rsidRDefault="00827E7D" w:rsidP="00054EAE">
      <w:pPr>
        <w:spacing w:after="0" w:line="360" w:lineRule="auto"/>
        <w:jc w:val="center"/>
        <w:rPr>
          <w:rFonts w:ascii="Verdana" w:hAnsi="Verdana" w:cstheme="minorHAnsi"/>
        </w:rPr>
      </w:pPr>
    </w:p>
    <w:p w14:paraId="578A57D7" w14:textId="3B2A8640" w:rsidR="00974F5D" w:rsidRPr="00007109" w:rsidRDefault="00827E7D" w:rsidP="00007109">
      <w:pPr>
        <w:jc w:val="both"/>
        <w:rPr>
          <w:rFonts w:ascii="Verdana" w:hAnsi="Verdana"/>
        </w:rPr>
      </w:pPr>
      <w:bookmarkStart w:id="58" w:name="_Hlk65430716"/>
      <w:r>
        <w:t xml:space="preserve">From 1 January 2022, at points of sale of unpackaged products, it shall be mandatory to provide consumers with reusable alternatives </w:t>
      </w:r>
      <w:bookmarkStart w:id="59" w:name="_Hlk66404649"/>
      <w:r>
        <w:t xml:space="preserve">for packaging of baking and pastry products, </w:t>
      </w:r>
      <w:proofErr w:type="gramStart"/>
      <w:r>
        <w:t>fruit</w:t>
      </w:r>
      <w:proofErr w:type="gramEnd"/>
      <w:r>
        <w:t xml:space="preserve"> and vegetables</w:t>
      </w:r>
      <w:bookmarkEnd w:id="59"/>
      <w:r>
        <w:t>, or, where this is not possible, alternatives made from a single material.</w:t>
      </w:r>
    </w:p>
    <w:bookmarkEnd w:id="58"/>
    <w:p w14:paraId="236B55B4" w14:textId="77777777" w:rsidR="00054EAE" w:rsidRPr="00007109" w:rsidRDefault="00054EAE" w:rsidP="00007109">
      <w:pPr>
        <w:jc w:val="both"/>
        <w:rPr>
          <w:rFonts w:ascii="Verdana" w:hAnsi="Verdana"/>
        </w:rPr>
      </w:pPr>
    </w:p>
    <w:p w14:paraId="5573C051" w14:textId="77777777" w:rsidR="00054EAE" w:rsidRPr="008E2CAE" w:rsidRDefault="00054EAE" w:rsidP="00054EAE">
      <w:pPr>
        <w:spacing w:after="0" w:line="360" w:lineRule="auto"/>
        <w:jc w:val="center"/>
        <w:rPr>
          <w:rFonts w:ascii="Verdana" w:hAnsi="Verdana" w:cstheme="minorHAnsi"/>
        </w:rPr>
      </w:pPr>
      <w:r>
        <w:rPr>
          <w:rFonts w:ascii="Verdana" w:hAnsi="Verdana"/>
        </w:rPr>
        <w:t>Article 6</w:t>
      </w:r>
    </w:p>
    <w:p w14:paraId="54A5D17F" w14:textId="638286F1" w:rsidR="00054EAE" w:rsidRDefault="00054EAE" w:rsidP="00054EAE">
      <w:pPr>
        <w:spacing w:after="0" w:line="360" w:lineRule="auto"/>
        <w:jc w:val="center"/>
        <w:rPr>
          <w:rFonts w:ascii="Verdana" w:hAnsi="Verdana"/>
        </w:rPr>
      </w:pPr>
      <w:r>
        <w:rPr>
          <w:rFonts w:ascii="Verdana" w:hAnsi="Verdana"/>
        </w:rPr>
        <w:t>[…]</w:t>
      </w:r>
    </w:p>
    <w:p w14:paraId="217FBA86" w14:textId="77777777" w:rsidR="00827E7D" w:rsidRPr="008E2CAE" w:rsidRDefault="00827E7D" w:rsidP="00054EAE">
      <w:pPr>
        <w:spacing w:after="0" w:line="360" w:lineRule="auto"/>
        <w:jc w:val="center"/>
        <w:rPr>
          <w:rFonts w:ascii="Verdana" w:hAnsi="Verdana"/>
        </w:rPr>
      </w:pPr>
    </w:p>
    <w:p w14:paraId="6100731A" w14:textId="7DE7DB9C" w:rsidR="006923D5" w:rsidRPr="008E2CAE" w:rsidRDefault="00054EAE" w:rsidP="00C525D6">
      <w:pPr>
        <w:pStyle w:val="ListParagraph"/>
        <w:numPr>
          <w:ilvl w:val="0"/>
          <w:numId w:val="60"/>
        </w:numPr>
        <w:ind w:left="709"/>
        <w:jc w:val="both"/>
        <w:rPr>
          <w:rFonts w:ascii="Verdana" w:hAnsi="Verdana"/>
        </w:rPr>
      </w:pPr>
      <w:bookmarkStart w:id="60" w:name="_Hlk37520532"/>
      <w:r>
        <w:rPr>
          <w:rFonts w:ascii="Verdana" w:hAnsi="Verdana"/>
        </w:rPr>
        <w:t xml:space="preserve">The following constitute minor economic administrative offences, punishable under the Legal Scheme for Economic Administrative Offences, approved by Decree-Law No 9/2021 of 29 January (RJCE): </w:t>
      </w:r>
    </w:p>
    <w:p w14:paraId="7862C874" w14:textId="597B1A91" w:rsidR="00054EAE" w:rsidRPr="008E2CAE" w:rsidRDefault="0069117E" w:rsidP="00C525D6">
      <w:pPr>
        <w:pStyle w:val="ListParagraph"/>
        <w:numPr>
          <w:ilvl w:val="1"/>
          <w:numId w:val="61"/>
        </w:numPr>
        <w:spacing w:after="0"/>
        <w:ind w:left="1134"/>
        <w:jc w:val="both"/>
        <w:rPr>
          <w:rFonts w:ascii="Verdana" w:hAnsi="Verdana"/>
        </w:rPr>
      </w:pPr>
      <w:r>
        <w:rPr>
          <w:rFonts w:ascii="Verdana" w:hAnsi="Verdana"/>
        </w:rPr>
        <w:t>The non-availability of reusable alternatives or made of a single material to consumers in accordance with the previous Article;</w:t>
      </w:r>
    </w:p>
    <w:p w14:paraId="2C6EB85E" w14:textId="24F74B4E" w:rsidR="00590C52" w:rsidRDefault="0069117E" w:rsidP="00C525D6">
      <w:pPr>
        <w:pStyle w:val="ListParagraph"/>
        <w:numPr>
          <w:ilvl w:val="1"/>
          <w:numId w:val="61"/>
        </w:numPr>
        <w:spacing w:after="0"/>
        <w:ind w:left="1134"/>
        <w:jc w:val="both"/>
        <w:rPr>
          <w:rFonts w:ascii="Verdana" w:hAnsi="Verdana"/>
        </w:rPr>
      </w:pPr>
      <w:r>
        <w:rPr>
          <w:rFonts w:ascii="Verdana" w:hAnsi="Verdana"/>
        </w:rPr>
        <w:t xml:space="preserve">The making available of very light plastic bags and the marketing of products in very light plastic bags in accordance with Article 4(1); </w:t>
      </w:r>
    </w:p>
    <w:p w14:paraId="00B109BF" w14:textId="62524D09" w:rsidR="00054EAE" w:rsidRPr="008E2CAE" w:rsidRDefault="00054EAE" w:rsidP="00C525D6">
      <w:pPr>
        <w:pStyle w:val="ListParagraph"/>
        <w:numPr>
          <w:ilvl w:val="1"/>
          <w:numId w:val="61"/>
        </w:numPr>
        <w:spacing w:after="0"/>
        <w:ind w:left="1134"/>
        <w:jc w:val="both"/>
        <w:rPr>
          <w:rFonts w:ascii="Verdana" w:hAnsi="Verdana"/>
        </w:rPr>
      </w:pPr>
      <w:r>
        <w:rPr>
          <w:rFonts w:ascii="Verdana" w:hAnsi="Verdana"/>
        </w:rPr>
        <w:t xml:space="preserve"> The marketing of products packaged in single-use plastic containers such as cuvettes and boxes, with or without a lid, in accordance with Article 4(2).</w:t>
      </w:r>
    </w:p>
    <w:p w14:paraId="1597C149" w14:textId="50E38EC0" w:rsidR="00054EAE" w:rsidRPr="008E2CAE" w:rsidRDefault="00054EAE" w:rsidP="00C525D6">
      <w:pPr>
        <w:pStyle w:val="ListParagraph"/>
        <w:numPr>
          <w:ilvl w:val="0"/>
          <w:numId w:val="60"/>
        </w:numPr>
        <w:ind w:left="709"/>
        <w:jc w:val="both"/>
        <w:rPr>
          <w:rFonts w:ascii="Verdana" w:hAnsi="Verdana"/>
        </w:rPr>
      </w:pPr>
      <w:r>
        <w:rPr>
          <w:rFonts w:ascii="Verdana" w:hAnsi="Verdana"/>
        </w:rPr>
        <w:t xml:space="preserve">Attempts and negligence are punishable under the RJCE. </w:t>
      </w:r>
    </w:p>
    <w:bookmarkEnd w:id="60"/>
    <w:p w14:paraId="746A881B" w14:textId="77777777" w:rsidR="00054EAE" w:rsidRPr="008E2CAE" w:rsidRDefault="00054EAE" w:rsidP="00054EAE">
      <w:pPr>
        <w:spacing w:after="0" w:line="360" w:lineRule="auto"/>
        <w:jc w:val="center"/>
        <w:rPr>
          <w:rFonts w:ascii="Verdana" w:hAnsi="Verdana" w:cstheme="minorHAnsi"/>
        </w:rPr>
      </w:pPr>
    </w:p>
    <w:p w14:paraId="35F456F1" w14:textId="77777777" w:rsidR="00054EAE" w:rsidRPr="008E2CAE" w:rsidRDefault="00054EAE" w:rsidP="00054EAE">
      <w:pPr>
        <w:spacing w:after="0" w:line="360" w:lineRule="auto"/>
        <w:jc w:val="center"/>
        <w:rPr>
          <w:rFonts w:ascii="Verdana" w:hAnsi="Verdana" w:cstheme="minorHAnsi"/>
        </w:rPr>
      </w:pPr>
      <w:r>
        <w:rPr>
          <w:rFonts w:ascii="Verdana" w:hAnsi="Verdana"/>
        </w:rPr>
        <w:lastRenderedPageBreak/>
        <w:t>Article 7</w:t>
      </w:r>
    </w:p>
    <w:p w14:paraId="79B81B03" w14:textId="7DC95F01" w:rsidR="00054EAE" w:rsidRDefault="00054EAE" w:rsidP="00054EAE">
      <w:pPr>
        <w:spacing w:after="0" w:line="360" w:lineRule="auto"/>
        <w:jc w:val="center"/>
        <w:rPr>
          <w:rFonts w:ascii="Verdana" w:hAnsi="Verdana"/>
        </w:rPr>
      </w:pPr>
      <w:r>
        <w:rPr>
          <w:rFonts w:ascii="Verdana" w:hAnsi="Verdana"/>
        </w:rPr>
        <w:t xml:space="preserve">Monitoring, </w:t>
      </w:r>
      <w:proofErr w:type="gramStart"/>
      <w:r>
        <w:rPr>
          <w:rFonts w:ascii="Verdana" w:hAnsi="Verdana"/>
        </w:rPr>
        <w:t>investigation</w:t>
      </w:r>
      <w:proofErr w:type="gramEnd"/>
      <w:r>
        <w:rPr>
          <w:rFonts w:ascii="Verdana" w:hAnsi="Verdana"/>
        </w:rPr>
        <w:t xml:space="preserve"> and decision</w:t>
      </w:r>
    </w:p>
    <w:p w14:paraId="314E96FC" w14:textId="77777777" w:rsidR="00827E7D" w:rsidRPr="008E2CAE" w:rsidRDefault="00827E7D" w:rsidP="00054EAE">
      <w:pPr>
        <w:spacing w:after="0" w:line="360" w:lineRule="auto"/>
        <w:jc w:val="center"/>
        <w:rPr>
          <w:rFonts w:ascii="Verdana" w:hAnsi="Verdana"/>
        </w:rPr>
      </w:pPr>
    </w:p>
    <w:p w14:paraId="26F13C86" w14:textId="231F066B" w:rsidR="00054EAE" w:rsidRPr="008E2CAE" w:rsidRDefault="00054EAE" w:rsidP="00C525D6">
      <w:pPr>
        <w:pStyle w:val="ListParagraph"/>
        <w:numPr>
          <w:ilvl w:val="0"/>
          <w:numId w:val="62"/>
        </w:numPr>
        <w:ind w:left="709"/>
        <w:jc w:val="both"/>
        <w:rPr>
          <w:rFonts w:ascii="Verdana" w:hAnsi="Verdana"/>
        </w:rPr>
      </w:pPr>
      <w:r>
        <w:rPr>
          <w:rFonts w:ascii="Verdana" w:hAnsi="Verdana"/>
        </w:rPr>
        <w:t>The monitoring of compliance with the provisions of this law shall, within the scope of its respective powers, be the responsibility of the Food and Economic Safety Authority (ASAE) without prejudice to the competence of the police and administrative authorities.</w:t>
      </w:r>
    </w:p>
    <w:p w14:paraId="0FABB307" w14:textId="0A1F7518" w:rsidR="00054EAE" w:rsidRPr="00007109" w:rsidRDefault="00054EAE" w:rsidP="00C525D6">
      <w:pPr>
        <w:pStyle w:val="ListParagraph"/>
        <w:numPr>
          <w:ilvl w:val="0"/>
          <w:numId w:val="62"/>
        </w:numPr>
        <w:ind w:left="709"/>
        <w:jc w:val="both"/>
        <w:rPr>
          <w:rFonts w:ascii="Verdana" w:hAnsi="Verdana"/>
        </w:rPr>
      </w:pPr>
      <w:r>
        <w:rPr>
          <w:rFonts w:ascii="Verdana" w:hAnsi="Verdana"/>
        </w:rPr>
        <w:t>It is for the ASAE to investigate cases relating to the infringements referred to in Article 6 and to decide on the imposition of a fine.</w:t>
      </w:r>
    </w:p>
    <w:p w14:paraId="4207FFB8" w14:textId="77777777" w:rsidR="008B4B7F" w:rsidRPr="003F6B93" w:rsidRDefault="008B4B7F" w:rsidP="008E2CAE">
      <w:pPr>
        <w:jc w:val="center"/>
        <w:rPr>
          <w:rFonts w:ascii="Verdana" w:hAnsi="Verdana"/>
        </w:rPr>
      </w:pPr>
    </w:p>
    <w:p w14:paraId="692CD72B" w14:textId="1CB18418" w:rsidR="008E2CAE" w:rsidRDefault="000600E7" w:rsidP="000600E7">
      <w:pPr>
        <w:pStyle w:val="Heading2"/>
        <w:numPr>
          <w:ilvl w:val="0"/>
          <w:numId w:val="0"/>
        </w:numPr>
        <w:tabs>
          <w:tab w:val="clear" w:pos="1701"/>
          <w:tab w:val="left" w:pos="1418"/>
        </w:tabs>
        <w:ind w:left="426"/>
      </w:pPr>
      <w:r>
        <w:t>Article 27</w:t>
      </w:r>
      <w:r w:rsidR="006A3393">
        <w:br/>
        <w:t>Addition to Law No 77/2019 of 2 September:</w:t>
      </w:r>
    </w:p>
    <w:p w14:paraId="23C307B6" w14:textId="77777777" w:rsidR="00827E7D" w:rsidRPr="00007109" w:rsidRDefault="00827E7D" w:rsidP="00007109">
      <w:pPr>
        <w:jc w:val="both"/>
        <w:rPr>
          <w:rFonts w:ascii="Verdana" w:hAnsi="Verdana"/>
        </w:rPr>
      </w:pPr>
    </w:p>
    <w:p w14:paraId="78478EEB" w14:textId="77777777" w:rsidR="008E2CAE" w:rsidRPr="00007109" w:rsidRDefault="008E2CAE" w:rsidP="00007109">
      <w:pPr>
        <w:jc w:val="both"/>
        <w:rPr>
          <w:rFonts w:ascii="Verdana" w:hAnsi="Verdana"/>
        </w:rPr>
      </w:pPr>
      <w:r>
        <w:rPr>
          <w:rFonts w:ascii="Verdana" w:hAnsi="Verdana"/>
        </w:rPr>
        <w:t xml:space="preserve">Following Article 7(a) is added to Law No 77/2019 of 2 September: </w:t>
      </w:r>
    </w:p>
    <w:p w14:paraId="6C42C8B3" w14:textId="77777777" w:rsidR="008E2CAE" w:rsidRPr="008E2CAE" w:rsidRDefault="008E2CAE" w:rsidP="008E2CAE">
      <w:pPr>
        <w:spacing w:after="0" w:line="360" w:lineRule="auto"/>
        <w:jc w:val="center"/>
        <w:rPr>
          <w:rFonts w:ascii="Verdana" w:hAnsi="Verdana" w:cstheme="minorHAnsi"/>
        </w:rPr>
      </w:pPr>
    </w:p>
    <w:p w14:paraId="591A7AA1" w14:textId="77777777" w:rsidR="008E2CAE" w:rsidRPr="008E2CAE" w:rsidRDefault="008E2CAE" w:rsidP="008E2CAE">
      <w:pPr>
        <w:spacing w:after="0" w:line="360" w:lineRule="auto"/>
        <w:jc w:val="center"/>
        <w:rPr>
          <w:rFonts w:ascii="Verdana" w:hAnsi="Verdana" w:cstheme="minorHAnsi"/>
        </w:rPr>
      </w:pPr>
      <w:r>
        <w:rPr>
          <w:rFonts w:ascii="Verdana" w:hAnsi="Verdana"/>
        </w:rPr>
        <w:t>‘Article 7(a)</w:t>
      </w:r>
    </w:p>
    <w:p w14:paraId="67DF5936" w14:textId="77777777" w:rsidR="008E2CAE" w:rsidRPr="008E2CAE" w:rsidRDefault="008E2CAE" w:rsidP="008E2CAE">
      <w:pPr>
        <w:spacing w:after="0" w:line="360" w:lineRule="auto"/>
        <w:jc w:val="center"/>
        <w:rPr>
          <w:rFonts w:ascii="Verdana" w:hAnsi="Verdana" w:cstheme="minorHAnsi"/>
          <w:b/>
        </w:rPr>
      </w:pPr>
      <w:r>
        <w:rPr>
          <w:rFonts w:ascii="Verdana" w:hAnsi="Verdana"/>
          <w:b/>
        </w:rPr>
        <w:t>Proceeds from fines</w:t>
      </w:r>
    </w:p>
    <w:p w14:paraId="7E6E6DF1" w14:textId="77777777" w:rsidR="008E2CAE" w:rsidRPr="008E2CAE" w:rsidRDefault="008E2CAE" w:rsidP="008E2CAE">
      <w:pPr>
        <w:spacing w:after="0" w:line="360" w:lineRule="auto"/>
        <w:jc w:val="both"/>
        <w:rPr>
          <w:rFonts w:ascii="Verdana" w:hAnsi="Verdana" w:cstheme="minorHAnsi"/>
        </w:rPr>
      </w:pPr>
      <w:r>
        <w:rPr>
          <w:rFonts w:ascii="Verdana" w:hAnsi="Verdana"/>
        </w:rPr>
        <w:t>The proceeds of the fines shall be allocated in accordance with the RJCE.’</w:t>
      </w:r>
    </w:p>
    <w:p w14:paraId="2A5DA637" w14:textId="3065A7F9" w:rsidR="008E2CAE" w:rsidRDefault="008E2CAE" w:rsidP="008E2CAE"/>
    <w:p w14:paraId="46E9C03E" w14:textId="0F0B52EB" w:rsidR="00590C52" w:rsidRPr="00412FEF" w:rsidRDefault="00590C52" w:rsidP="00590C52">
      <w:pPr>
        <w:jc w:val="center"/>
        <w:rPr>
          <w:rFonts w:ascii="Verdana" w:hAnsi="Verdana" w:cstheme="minorHAnsi"/>
          <w:b/>
          <w:sz w:val="28"/>
          <w:szCs w:val="28"/>
        </w:rPr>
      </w:pPr>
      <w:r>
        <w:rPr>
          <w:rFonts w:ascii="Verdana" w:hAnsi="Verdana"/>
          <w:b/>
          <w:sz w:val="28"/>
        </w:rPr>
        <w:t>Chapter XI</w:t>
      </w:r>
    </w:p>
    <w:p w14:paraId="4078BAD7" w14:textId="65125DFF" w:rsidR="00590C52" w:rsidRPr="00412FEF" w:rsidRDefault="00590C52" w:rsidP="00412FEF">
      <w:pPr>
        <w:jc w:val="center"/>
        <w:rPr>
          <w:rFonts w:ascii="Verdana" w:hAnsi="Verdana" w:cstheme="minorHAnsi"/>
          <w:b/>
        </w:rPr>
      </w:pPr>
      <w:r>
        <w:rPr>
          <w:rFonts w:ascii="Verdana" w:hAnsi="Verdana"/>
          <w:b/>
        </w:rPr>
        <w:t xml:space="preserve">Additional, </w:t>
      </w:r>
      <w:proofErr w:type="gramStart"/>
      <w:r>
        <w:rPr>
          <w:rFonts w:ascii="Verdana" w:hAnsi="Verdana"/>
          <w:b/>
        </w:rPr>
        <w:t>transitional</w:t>
      </w:r>
      <w:proofErr w:type="gramEnd"/>
      <w:r>
        <w:rPr>
          <w:rFonts w:ascii="Verdana" w:hAnsi="Verdana"/>
          <w:b/>
        </w:rPr>
        <w:t xml:space="preserve"> and final provisions</w:t>
      </w:r>
    </w:p>
    <w:p w14:paraId="516113FA" w14:textId="77777777" w:rsidR="008E2CAE" w:rsidRPr="008E2CAE" w:rsidRDefault="008E2CAE" w:rsidP="008E2CAE"/>
    <w:p w14:paraId="5E44B2A4" w14:textId="20280901" w:rsidR="008E2CAE" w:rsidRPr="006A3393" w:rsidRDefault="00AC3F76" w:rsidP="00AC3F76">
      <w:pPr>
        <w:pStyle w:val="Heading2"/>
        <w:numPr>
          <w:ilvl w:val="0"/>
          <w:numId w:val="0"/>
        </w:numPr>
        <w:tabs>
          <w:tab w:val="clear" w:pos="1701"/>
          <w:tab w:val="left" w:pos="1560"/>
        </w:tabs>
        <w:ind w:left="426"/>
      </w:pPr>
      <w:r>
        <w:t xml:space="preserve">Article </w:t>
      </w:r>
      <w:r w:rsidR="00A315EC">
        <w:t>28</w:t>
      </w:r>
      <w:r w:rsidR="006A3393">
        <w:br/>
        <w:t xml:space="preserve">Repealing </w:t>
      </w:r>
      <w:proofErr w:type="gramStart"/>
      <w:r w:rsidR="006A3393">
        <w:t>provision</w:t>
      </w:r>
      <w:proofErr w:type="gramEnd"/>
    </w:p>
    <w:p w14:paraId="11429E44" w14:textId="31E1C1C5" w:rsidR="008E2CAE" w:rsidRPr="008E2CAE" w:rsidRDefault="00590C52" w:rsidP="00007109">
      <w:pPr>
        <w:jc w:val="both"/>
        <w:rPr>
          <w:rFonts w:ascii="Verdana" w:hAnsi="Verdana"/>
        </w:rPr>
      </w:pPr>
      <w:r>
        <w:rPr>
          <w:rFonts w:ascii="Verdana" w:hAnsi="Verdana"/>
        </w:rPr>
        <w:t>Law No. 76/2019 of September 2 is repealed.</w:t>
      </w:r>
    </w:p>
    <w:p w14:paraId="43BE6334" w14:textId="5A32863C" w:rsidR="008E2CAE" w:rsidRPr="008E2CAE" w:rsidRDefault="008E2CAE" w:rsidP="00007109">
      <w:pPr>
        <w:jc w:val="both"/>
        <w:rPr>
          <w:rFonts w:ascii="Verdana" w:hAnsi="Verdana"/>
        </w:rPr>
      </w:pPr>
      <w:bookmarkStart w:id="61" w:name="_Hlk36038265"/>
    </w:p>
    <w:bookmarkEnd w:id="61"/>
    <w:p w14:paraId="0044BACA" w14:textId="5CB7690D" w:rsidR="0037079D" w:rsidRPr="0037079D" w:rsidRDefault="00A315EC" w:rsidP="00A315EC">
      <w:pPr>
        <w:pStyle w:val="Heading2"/>
        <w:numPr>
          <w:ilvl w:val="0"/>
          <w:numId w:val="0"/>
        </w:numPr>
        <w:tabs>
          <w:tab w:val="clear" w:pos="1701"/>
          <w:tab w:val="left" w:pos="1560"/>
        </w:tabs>
        <w:ind w:left="426"/>
      </w:pPr>
      <w:r>
        <w:t>Article 29</w:t>
      </w:r>
      <w:r w:rsidR="006A3393">
        <w:br/>
        <w:t>Subsidiary application of Decree-Law No. 152-D/2017, of 11 December</w:t>
      </w:r>
    </w:p>
    <w:p w14:paraId="138F4285" w14:textId="75213671" w:rsidR="008E2CAE" w:rsidRPr="003F6B93" w:rsidRDefault="008E2CAE" w:rsidP="008E2CAE">
      <w:pPr>
        <w:jc w:val="both"/>
        <w:rPr>
          <w:rFonts w:ascii="Verdana" w:hAnsi="Verdana"/>
        </w:rPr>
      </w:pPr>
      <w:r>
        <w:rPr>
          <w:rFonts w:ascii="Verdana" w:hAnsi="Verdana"/>
        </w:rPr>
        <w:lastRenderedPageBreak/>
        <w:t>In all that is not expressly provided for in this Decree-Law, the GSWM shall additionally apply.</w:t>
      </w:r>
    </w:p>
    <w:p w14:paraId="180438A2" w14:textId="77777777" w:rsidR="008E2CAE" w:rsidRPr="00007109" w:rsidRDefault="008E2CAE" w:rsidP="00007109">
      <w:pPr>
        <w:jc w:val="both"/>
        <w:rPr>
          <w:rFonts w:ascii="Verdana" w:hAnsi="Verdana"/>
        </w:rPr>
      </w:pPr>
    </w:p>
    <w:p w14:paraId="0F3BF910" w14:textId="2FA11858" w:rsidR="00D573FE" w:rsidRDefault="00AC3F76" w:rsidP="00AC3F76">
      <w:pPr>
        <w:pStyle w:val="Heading2"/>
        <w:numPr>
          <w:ilvl w:val="0"/>
          <w:numId w:val="0"/>
        </w:numPr>
        <w:tabs>
          <w:tab w:val="clear" w:pos="1701"/>
          <w:tab w:val="left" w:pos="1418"/>
        </w:tabs>
        <w:ind w:left="426"/>
      </w:pPr>
      <w:r>
        <w:t xml:space="preserve">Article </w:t>
      </w:r>
      <w:r w:rsidR="00A315EC">
        <w:t>30</w:t>
      </w:r>
      <w:r w:rsidR="00875033">
        <w:br/>
        <w:t>Duty of cooperation and presentation of documentation</w:t>
      </w:r>
    </w:p>
    <w:p w14:paraId="1201E132" w14:textId="77777777" w:rsidR="0037079D" w:rsidRPr="0037079D" w:rsidRDefault="0037079D" w:rsidP="0037079D"/>
    <w:p w14:paraId="167E15F1" w14:textId="4CFE5D31" w:rsidR="001E4779" w:rsidRPr="001E4779" w:rsidRDefault="001E4779" w:rsidP="00C525D6">
      <w:pPr>
        <w:pStyle w:val="ListParagraph"/>
        <w:numPr>
          <w:ilvl w:val="0"/>
          <w:numId w:val="63"/>
        </w:numPr>
        <w:ind w:left="709"/>
        <w:jc w:val="both"/>
        <w:rPr>
          <w:rFonts w:ascii="Verdana" w:hAnsi="Verdana"/>
        </w:rPr>
      </w:pPr>
      <w:r>
        <w:rPr>
          <w:rFonts w:ascii="Verdana" w:hAnsi="Verdana"/>
        </w:rPr>
        <w:t xml:space="preserve">APA, I.P., DGAE, DGRM and the monitoring bodies must cooperate with each other </w:t>
      </w:r>
      <w:proofErr w:type="gramStart"/>
      <w:r>
        <w:rPr>
          <w:rFonts w:ascii="Verdana" w:hAnsi="Verdana"/>
        </w:rPr>
        <w:t>in order to</w:t>
      </w:r>
      <w:proofErr w:type="gramEnd"/>
      <w:r>
        <w:rPr>
          <w:rFonts w:ascii="Verdana" w:hAnsi="Verdana"/>
        </w:rPr>
        <w:t xml:space="preserve"> ensure the application of this Decree-Law, in particular through technical cooperation and the exchange of information.</w:t>
      </w:r>
    </w:p>
    <w:p w14:paraId="7E1C832E" w14:textId="61023C9E" w:rsidR="001E4779" w:rsidRPr="001E4779" w:rsidRDefault="001E4779" w:rsidP="00C525D6">
      <w:pPr>
        <w:pStyle w:val="ListParagraph"/>
        <w:numPr>
          <w:ilvl w:val="0"/>
          <w:numId w:val="63"/>
        </w:numPr>
        <w:ind w:left="709"/>
        <w:jc w:val="both"/>
        <w:rPr>
          <w:rFonts w:ascii="Verdana" w:hAnsi="Verdana"/>
        </w:rPr>
      </w:pPr>
      <w:r>
        <w:rPr>
          <w:rFonts w:ascii="Verdana" w:hAnsi="Verdana"/>
        </w:rPr>
        <w:t>2 - The cooperation provided for in the previous paragraph aims to ensure the integrated control and monitoring of activities undertaken within the framework of this Decree-Law, with the duty to cooperate being extended to other public stakeholder bodies, in particular the competent bodies of the Autonomous Regions.</w:t>
      </w:r>
    </w:p>
    <w:p w14:paraId="26E18A9A" w14:textId="5F54A302" w:rsidR="001E4779" w:rsidRPr="001E4779" w:rsidRDefault="001E4779" w:rsidP="00C525D6">
      <w:pPr>
        <w:pStyle w:val="ListParagraph"/>
        <w:numPr>
          <w:ilvl w:val="0"/>
          <w:numId w:val="63"/>
        </w:numPr>
        <w:ind w:left="709"/>
        <w:jc w:val="both"/>
        <w:rPr>
          <w:rFonts w:ascii="Verdana" w:hAnsi="Verdana"/>
        </w:rPr>
      </w:pPr>
      <w:r>
        <w:rPr>
          <w:rFonts w:ascii="Verdana" w:hAnsi="Verdana"/>
        </w:rPr>
        <w:t>The presentation of the documentation referred to in this Decree-Law which is in the possession of public administration services or bodies, may be exempted and obtained through the Public Administration Interoperability Platform in accordance with Article 28-A of Decree-Law No 135/99 of 22 April 1999, in its current form, if citizens or economic operators give their consent thereon.</w:t>
      </w:r>
    </w:p>
    <w:p w14:paraId="1E683183" w14:textId="77777777" w:rsidR="008B4B7F" w:rsidRPr="003F6B93" w:rsidRDefault="008B4B7F" w:rsidP="003035F6">
      <w:pPr>
        <w:jc w:val="center"/>
        <w:rPr>
          <w:rFonts w:ascii="Verdana" w:hAnsi="Verdana"/>
        </w:rPr>
      </w:pPr>
    </w:p>
    <w:p w14:paraId="1E403387" w14:textId="517F0FA0" w:rsidR="008B4B7F" w:rsidRDefault="00AC3F76" w:rsidP="00AC3F76">
      <w:pPr>
        <w:pStyle w:val="Heading2"/>
        <w:numPr>
          <w:ilvl w:val="0"/>
          <w:numId w:val="0"/>
        </w:numPr>
        <w:tabs>
          <w:tab w:val="clear" w:pos="1701"/>
          <w:tab w:val="left" w:pos="1418"/>
        </w:tabs>
        <w:ind w:left="426"/>
      </w:pPr>
      <w:r>
        <w:t xml:space="preserve">Article </w:t>
      </w:r>
      <w:r w:rsidR="00A315EC">
        <w:t>31</w:t>
      </w:r>
      <w:r w:rsidR="00875033">
        <w:br/>
        <w:t>Autonomous Regions</w:t>
      </w:r>
    </w:p>
    <w:p w14:paraId="58156734" w14:textId="77777777" w:rsidR="0037079D" w:rsidRPr="0037079D" w:rsidRDefault="0037079D" w:rsidP="0037079D"/>
    <w:p w14:paraId="45480258" w14:textId="4D486621" w:rsidR="008B4B7F" w:rsidRPr="00875033" w:rsidRDefault="008B4B7F" w:rsidP="00C525D6">
      <w:pPr>
        <w:pStyle w:val="ListParagraph"/>
        <w:numPr>
          <w:ilvl w:val="0"/>
          <w:numId w:val="64"/>
        </w:numPr>
        <w:ind w:left="709"/>
        <w:jc w:val="both"/>
        <w:rPr>
          <w:rFonts w:ascii="Verdana" w:hAnsi="Verdana"/>
        </w:rPr>
      </w:pPr>
      <w:r>
        <w:rPr>
          <w:rFonts w:ascii="Verdana" w:hAnsi="Verdana"/>
        </w:rPr>
        <w:t>This Decree-Law shall apply to the Autonomous Regions of Azores and Madeira, without prejudice to its suitability to regional specificities, in accordance with its respective political and administrative autonomy, its implementation being the duty of the services and bodies of the respective autonomous regional governments with the tasks and powers within the scope of waste management, without prejudice to the powers of the bodies at national level.</w:t>
      </w:r>
    </w:p>
    <w:p w14:paraId="3387C8A0" w14:textId="6D82DF72" w:rsidR="008B4B7F" w:rsidRPr="00875033" w:rsidRDefault="008B4B7F" w:rsidP="00C525D6">
      <w:pPr>
        <w:pStyle w:val="ListParagraph"/>
        <w:numPr>
          <w:ilvl w:val="0"/>
          <w:numId w:val="64"/>
        </w:numPr>
        <w:ind w:left="709"/>
        <w:jc w:val="both"/>
        <w:rPr>
          <w:rFonts w:ascii="Verdana" w:hAnsi="Verdana"/>
        </w:rPr>
      </w:pPr>
      <w:r>
        <w:rPr>
          <w:rFonts w:ascii="Verdana" w:hAnsi="Verdana"/>
        </w:rPr>
        <w:t>The proceeds from fines when applied in the Autonomous Regions shall be allocated exclusively as revenue of such regions.</w:t>
      </w:r>
    </w:p>
    <w:p w14:paraId="481EC9CD" w14:textId="77777777" w:rsidR="00667FE9" w:rsidRPr="003F6B93" w:rsidRDefault="00667FE9" w:rsidP="008B4B7F">
      <w:pPr>
        <w:jc w:val="both"/>
        <w:rPr>
          <w:rFonts w:ascii="Verdana" w:hAnsi="Verdana"/>
        </w:rPr>
      </w:pPr>
    </w:p>
    <w:p w14:paraId="284B6D7F" w14:textId="6ADFA1B8" w:rsidR="00667FE9" w:rsidRDefault="00AC3F76" w:rsidP="00AC3F76">
      <w:pPr>
        <w:pStyle w:val="Heading2"/>
        <w:numPr>
          <w:ilvl w:val="0"/>
          <w:numId w:val="0"/>
        </w:numPr>
        <w:tabs>
          <w:tab w:val="clear" w:pos="1701"/>
          <w:tab w:val="left" w:pos="1418"/>
        </w:tabs>
        <w:ind w:left="426"/>
      </w:pPr>
      <w:r>
        <w:t xml:space="preserve">Article </w:t>
      </w:r>
      <w:r w:rsidR="00A315EC">
        <w:t>32</w:t>
      </w:r>
      <w:r w:rsidR="00875033">
        <w:br/>
        <w:t>Entry into force and production</w:t>
      </w:r>
    </w:p>
    <w:p w14:paraId="52CD741A" w14:textId="77777777" w:rsidR="0037079D" w:rsidRPr="0037079D" w:rsidRDefault="0037079D" w:rsidP="0037079D"/>
    <w:p w14:paraId="34CDD4A8" w14:textId="200B8CE5" w:rsidR="00DD3E8A" w:rsidRDefault="002A32BE" w:rsidP="00C525D6">
      <w:pPr>
        <w:pStyle w:val="ListParagraph"/>
        <w:numPr>
          <w:ilvl w:val="0"/>
          <w:numId w:val="65"/>
        </w:numPr>
        <w:ind w:left="709"/>
        <w:jc w:val="both"/>
        <w:rPr>
          <w:rFonts w:ascii="Verdana" w:hAnsi="Verdana"/>
        </w:rPr>
      </w:pPr>
      <w:r>
        <w:rPr>
          <w:rFonts w:ascii="Verdana" w:hAnsi="Verdana"/>
        </w:rPr>
        <w:t xml:space="preserve">This Decree-Law shall enter into force on 1 July </w:t>
      </w:r>
      <w:proofErr w:type="gramStart"/>
      <w:r>
        <w:rPr>
          <w:rFonts w:ascii="Verdana" w:hAnsi="Verdana"/>
        </w:rPr>
        <w:t>2021</w:t>
      </w:r>
      <w:proofErr w:type="gramEnd"/>
    </w:p>
    <w:p w14:paraId="3CC62673" w14:textId="7628EE87" w:rsidR="00DD3E8A" w:rsidRPr="00DD3E8A" w:rsidRDefault="00DD3E8A" w:rsidP="00C525D6">
      <w:pPr>
        <w:pStyle w:val="ListParagraph"/>
        <w:numPr>
          <w:ilvl w:val="0"/>
          <w:numId w:val="65"/>
        </w:numPr>
        <w:ind w:left="709"/>
        <w:jc w:val="both"/>
        <w:rPr>
          <w:rFonts w:ascii="Verdana" w:hAnsi="Verdana"/>
        </w:rPr>
      </w:pPr>
      <w:r>
        <w:rPr>
          <w:rFonts w:ascii="Verdana" w:hAnsi="Verdana"/>
        </w:rPr>
        <w:t>Without prejudice to Article 183 of Decree-Law No 9/2021 of 29 January, which approved the Legal Regime of Economic Administrative Offences, these arrangements shall apply immediately in the case of the infringements provided for in Article 21(1) of this Decree-Law.</w:t>
      </w:r>
    </w:p>
    <w:p w14:paraId="50C301FD" w14:textId="18BDE172" w:rsidR="00DD3E8A" w:rsidRDefault="00DD3E8A" w:rsidP="00575347">
      <w:pPr>
        <w:jc w:val="both"/>
        <w:rPr>
          <w:rFonts w:ascii="Verdana" w:hAnsi="Verdana"/>
        </w:rPr>
      </w:pPr>
    </w:p>
    <w:p w14:paraId="1ACB74EF" w14:textId="77777777" w:rsidR="00575347" w:rsidRPr="00575347" w:rsidRDefault="00575347" w:rsidP="00575347">
      <w:pPr>
        <w:jc w:val="both"/>
        <w:rPr>
          <w:rFonts w:ascii="Verdana" w:hAnsi="Verdana"/>
        </w:rPr>
        <w:sectPr w:rsidR="00575347" w:rsidRPr="00575347">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708" w:footer="708" w:gutter="0"/>
          <w:cols w:space="708"/>
          <w:docGrid w:linePitch="360"/>
        </w:sectPr>
      </w:pPr>
    </w:p>
    <w:p w14:paraId="1AA09983" w14:textId="240281D8" w:rsidR="00A172F1" w:rsidRPr="003F6B93" w:rsidRDefault="00A172F1" w:rsidP="00A172F1">
      <w:pPr>
        <w:jc w:val="both"/>
        <w:rPr>
          <w:rFonts w:ascii="Verdana" w:hAnsi="Verdana"/>
        </w:rPr>
      </w:pPr>
    </w:p>
    <w:p w14:paraId="0B29489E" w14:textId="52020578" w:rsidR="00875033" w:rsidRPr="00575347" w:rsidRDefault="000933C0" w:rsidP="00AA057C">
      <w:pPr>
        <w:pStyle w:val="Heading3"/>
      </w:pPr>
      <w:r>
        <w:br/>
      </w:r>
      <w:bookmarkStart w:id="62" w:name="_Ref63440905"/>
      <w:r>
        <w:t>Single-use plastic products referred to in Article 2(1)</w:t>
      </w:r>
      <w:bookmarkEnd w:id="62"/>
    </w:p>
    <w:p w14:paraId="43DD799A" w14:textId="77777777" w:rsidR="006418B1" w:rsidRPr="003F6B93" w:rsidRDefault="006418B1" w:rsidP="00575347">
      <w:pPr>
        <w:pStyle w:val="ListParagraph"/>
        <w:numPr>
          <w:ilvl w:val="0"/>
          <w:numId w:val="66"/>
        </w:numPr>
        <w:ind w:left="709"/>
        <w:jc w:val="both"/>
        <w:rPr>
          <w:rFonts w:ascii="Verdana" w:hAnsi="Verdana"/>
        </w:rPr>
      </w:pPr>
      <w:r>
        <w:rPr>
          <w:rFonts w:ascii="Verdana" w:hAnsi="Verdana"/>
        </w:rPr>
        <w:t xml:space="preserve">Cups for beverage, including their covers and lids; </w:t>
      </w:r>
    </w:p>
    <w:p w14:paraId="228ED85F" w14:textId="77777777" w:rsidR="006418B1" w:rsidRPr="003F6B93" w:rsidRDefault="006418B1" w:rsidP="00575347">
      <w:pPr>
        <w:pStyle w:val="ListParagraph"/>
        <w:numPr>
          <w:ilvl w:val="0"/>
          <w:numId w:val="66"/>
        </w:numPr>
        <w:ind w:left="709"/>
        <w:jc w:val="both"/>
        <w:rPr>
          <w:rFonts w:ascii="Verdana" w:hAnsi="Verdana"/>
        </w:rPr>
      </w:pPr>
      <w:r>
        <w:rPr>
          <w:rFonts w:ascii="Verdana" w:hAnsi="Verdana"/>
        </w:rPr>
        <w:t xml:space="preserve">Food containers, i.e., receptacles such as boxes, with or without a cover, used to contain food which: </w:t>
      </w:r>
    </w:p>
    <w:p w14:paraId="5D0F7CAB" w14:textId="58578C70" w:rsidR="006418B1" w:rsidRPr="00875033" w:rsidRDefault="006418B1" w:rsidP="00575347">
      <w:pPr>
        <w:pStyle w:val="ListParagraph"/>
        <w:numPr>
          <w:ilvl w:val="0"/>
          <w:numId w:val="67"/>
        </w:numPr>
        <w:spacing w:line="240" w:lineRule="auto"/>
        <w:rPr>
          <w:rFonts w:ascii="Verdana" w:hAnsi="Verdana"/>
        </w:rPr>
      </w:pPr>
      <w:r>
        <w:rPr>
          <w:rFonts w:ascii="Verdana" w:hAnsi="Verdana"/>
        </w:rPr>
        <w:t xml:space="preserve">is intended for immediate consumption, either on-the-spot or take-away, </w:t>
      </w:r>
    </w:p>
    <w:p w14:paraId="362E82E4" w14:textId="58405378" w:rsidR="006418B1" w:rsidRPr="00875033" w:rsidRDefault="006418B1" w:rsidP="00575347">
      <w:pPr>
        <w:pStyle w:val="ListParagraph"/>
        <w:numPr>
          <w:ilvl w:val="0"/>
          <w:numId w:val="67"/>
        </w:numPr>
        <w:spacing w:line="240" w:lineRule="auto"/>
        <w:rPr>
          <w:rFonts w:ascii="Verdana" w:hAnsi="Verdana"/>
        </w:rPr>
      </w:pPr>
      <w:r>
        <w:rPr>
          <w:rFonts w:ascii="Verdana" w:hAnsi="Verdana"/>
        </w:rPr>
        <w:t xml:space="preserve">is typically consumed from the receptacle, and </w:t>
      </w:r>
    </w:p>
    <w:p w14:paraId="31602558" w14:textId="0788487C" w:rsidR="006418B1" w:rsidRPr="00875033" w:rsidRDefault="006418B1" w:rsidP="00575347">
      <w:pPr>
        <w:pStyle w:val="ListParagraph"/>
        <w:numPr>
          <w:ilvl w:val="0"/>
          <w:numId w:val="67"/>
        </w:numPr>
        <w:spacing w:line="240" w:lineRule="auto"/>
        <w:rPr>
          <w:rFonts w:ascii="Verdana" w:hAnsi="Verdana"/>
        </w:rPr>
      </w:pPr>
      <w:r>
        <w:rPr>
          <w:rFonts w:ascii="Verdana" w:hAnsi="Verdana"/>
        </w:rPr>
        <w:t xml:space="preserve">is ready to be consumed without any further preparation, such as cooking, </w:t>
      </w:r>
      <w:proofErr w:type="gramStart"/>
      <w:r>
        <w:rPr>
          <w:rFonts w:ascii="Verdana" w:hAnsi="Verdana"/>
        </w:rPr>
        <w:t>boiling</w:t>
      </w:r>
      <w:proofErr w:type="gramEnd"/>
      <w:r>
        <w:rPr>
          <w:rFonts w:ascii="Verdana" w:hAnsi="Verdana"/>
        </w:rPr>
        <w:t xml:space="preserve"> or heating,</w:t>
      </w:r>
    </w:p>
    <w:p w14:paraId="50856381" w14:textId="77777777" w:rsidR="006418B1" w:rsidRPr="003F6B93" w:rsidRDefault="006418B1" w:rsidP="00575347">
      <w:pPr>
        <w:pStyle w:val="ListParagraph"/>
        <w:ind w:left="709"/>
        <w:jc w:val="both"/>
        <w:rPr>
          <w:rFonts w:ascii="Verdana" w:hAnsi="Verdana"/>
        </w:rPr>
      </w:pPr>
      <w:r>
        <w:rPr>
          <w:rFonts w:ascii="Verdana" w:hAnsi="Verdana"/>
        </w:rPr>
        <w:t>including food containers used for fast food or other meal ready for immediate consumption, except beverage containers, plates and packets and wrappers containing food.</w:t>
      </w:r>
    </w:p>
    <w:p w14:paraId="28473118" w14:textId="4C13086B" w:rsidR="006418B1" w:rsidRPr="003F6B93" w:rsidRDefault="006418B1" w:rsidP="00575347">
      <w:pPr>
        <w:pStyle w:val="ListParagraph"/>
        <w:numPr>
          <w:ilvl w:val="0"/>
          <w:numId w:val="66"/>
        </w:numPr>
        <w:tabs>
          <w:tab w:val="left" w:pos="993"/>
        </w:tabs>
        <w:ind w:left="709"/>
        <w:jc w:val="both"/>
        <w:rPr>
          <w:rFonts w:ascii="Verdana" w:hAnsi="Verdana"/>
        </w:rPr>
      </w:pPr>
      <w:r>
        <w:rPr>
          <w:rFonts w:ascii="Verdana" w:hAnsi="Verdana"/>
        </w:rPr>
        <w:t xml:space="preserve">Cotton bud sticks, except if they fall within the scope of Decree-Law No 145/2009 of 17 June as it stands; </w:t>
      </w:r>
    </w:p>
    <w:p w14:paraId="4E332868" w14:textId="77777777" w:rsidR="006418B1" w:rsidRPr="003F6B93" w:rsidRDefault="006418B1" w:rsidP="00575347">
      <w:pPr>
        <w:pStyle w:val="ListParagraph"/>
        <w:numPr>
          <w:ilvl w:val="0"/>
          <w:numId w:val="66"/>
        </w:numPr>
        <w:tabs>
          <w:tab w:val="left" w:pos="993"/>
        </w:tabs>
        <w:ind w:left="709"/>
        <w:jc w:val="both"/>
        <w:rPr>
          <w:rFonts w:ascii="Verdana" w:hAnsi="Verdana"/>
        </w:rPr>
      </w:pPr>
      <w:r>
        <w:rPr>
          <w:rFonts w:ascii="Verdana" w:hAnsi="Verdana"/>
        </w:rPr>
        <w:t xml:space="preserve">Cutlery (forks, knives, spoons, chopsticks); </w:t>
      </w:r>
    </w:p>
    <w:p w14:paraId="1BA1EA96" w14:textId="77777777" w:rsidR="006418B1" w:rsidRPr="003F6B93" w:rsidRDefault="006418B1" w:rsidP="00575347">
      <w:pPr>
        <w:pStyle w:val="ListParagraph"/>
        <w:numPr>
          <w:ilvl w:val="0"/>
          <w:numId w:val="66"/>
        </w:numPr>
        <w:tabs>
          <w:tab w:val="left" w:pos="993"/>
        </w:tabs>
        <w:ind w:left="709"/>
        <w:jc w:val="both"/>
        <w:rPr>
          <w:rFonts w:ascii="Verdana" w:hAnsi="Verdana"/>
        </w:rPr>
      </w:pPr>
      <w:r>
        <w:rPr>
          <w:rFonts w:ascii="Verdana" w:hAnsi="Verdana"/>
        </w:rPr>
        <w:t xml:space="preserve">Plates; </w:t>
      </w:r>
    </w:p>
    <w:p w14:paraId="2DB136F0" w14:textId="7FEE640F" w:rsidR="006418B1" w:rsidRPr="003F6B93" w:rsidRDefault="006418B1" w:rsidP="00575347">
      <w:pPr>
        <w:pStyle w:val="ListParagraph"/>
        <w:numPr>
          <w:ilvl w:val="0"/>
          <w:numId w:val="66"/>
        </w:numPr>
        <w:tabs>
          <w:tab w:val="left" w:pos="993"/>
        </w:tabs>
        <w:ind w:left="709"/>
        <w:jc w:val="both"/>
        <w:rPr>
          <w:rFonts w:ascii="Verdana" w:hAnsi="Verdana"/>
        </w:rPr>
      </w:pPr>
      <w:r>
        <w:rPr>
          <w:rFonts w:ascii="Verdana" w:hAnsi="Verdana"/>
        </w:rPr>
        <w:t xml:space="preserve">Straws, except if they fall within the scope of Decree-Law No 145/2009 of 17 June as it stands; </w:t>
      </w:r>
    </w:p>
    <w:p w14:paraId="029562BE" w14:textId="77777777" w:rsidR="006418B1" w:rsidRPr="003F6B93" w:rsidRDefault="006418B1" w:rsidP="00575347">
      <w:pPr>
        <w:pStyle w:val="ListParagraph"/>
        <w:numPr>
          <w:ilvl w:val="0"/>
          <w:numId w:val="66"/>
        </w:numPr>
        <w:tabs>
          <w:tab w:val="left" w:pos="993"/>
        </w:tabs>
        <w:ind w:left="709"/>
        <w:jc w:val="both"/>
        <w:rPr>
          <w:rFonts w:ascii="Verdana" w:hAnsi="Verdana"/>
        </w:rPr>
      </w:pPr>
      <w:r>
        <w:rPr>
          <w:rFonts w:ascii="Verdana" w:hAnsi="Verdana"/>
        </w:rPr>
        <w:t xml:space="preserve">Beverage stirrers; </w:t>
      </w:r>
    </w:p>
    <w:p w14:paraId="37F9C66D" w14:textId="77777777" w:rsidR="007879A9" w:rsidRPr="003F6B93" w:rsidRDefault="006418B1" w:rsidP="00575347">
      <w:pPr>
        <w:pStyle w:val="ListParagraph"/>
        <w:numPr>
          <w:ilvl w:val="0"/>
          <w:numId w:val="66"/>
        </w:numPr>
        <w:tabs>
          <w:tab w:val="left" w:pos="993"/>
        </w:tabs>
        <w:ind w:left="709"/>
        <w:jc w:val="both"/>
        <w:rPr>
          <w:rFonts w:ascii="Verdana" w:hAnsi="Verdana"/>
        </w:rPr>
      </w:pPr>
      <w:r>
        <w:rPr>
          <w:rFonts w:ascii="Verdana" w:hAnsi="Verdana"/>
        </w:rPr>
        <w:t>Sticks to be attached to and to support balloons, except balloons for industrial or other professional uses and applications that are not distributed to consumers, including the mechanisms of such sticks;</w:t>
      </w:r>
    </w:p>
    <w:p w14:paraId="3BD5CD2C" w14:textId="77777777" w:rsidR="00502353" w:rsidRPr="003F6B93" w:rsidRDefault="00F957CC" w:rsidP="00575347">
      <w:pPr>
        <w:pStyle w:val="ListParagraph"/>
        <w:numPr>
          <w:ilvl w:val="0"/>
          <w:numId w:val="66"/>
        </w:numPr>
        <w:tabs>
          <w:tab w:val="left" w:pos="993"/>
        </w:tabs>
        <w:ind w:left="709"/>
        <w:jc w:val="both"/>
        <w:rPr>
          <w:rFonts w:ascii="Verdana" w:hAnsi="Verdana"/>
        </w:rPr>
      </w:pPr>
      <w:r>
        <w:rPr>
          <w:rFonts w:ascii="Verdana" w:hAnsi="Verdana"/>
        </w:rPr>
        <w:t xml:space="preserve">Food containers made of expanded polystyrene, i.e., receptacles such as boxes, with or without a cover, used to contain food which: </w:t>
      </w:r>
    </w:p>
    <w:p w14:paraId="134BCB71" w14:textId="66E95134" w:rsidR="00FD6DE7" w:rsidRPr="003F6B93" w:rsidRDefault="00F957CC" w:rsidP="00575347">
      <w:pPr>
        <w:pStyle w:val="ListParagraph"/>
        <w:numPr>
          <w:ilvl w:val="0"/>
          <w:numId w:val="68"/>
        </w:numPr>
        <w:spacing w:line="240" w:lineRule="auto"/>
        <w:rPr>
          <w:rFonts w:ascii="Verdana" w:hAnsi="Verdana"/>
        </w:rPr>
      </w:pPr>
      <w:r>
        <w:rPr>
          <w:rFonts w:ascii="Verdana" w:hAnsi="Verdana"/>
        </w:rPr>
        <w:t xml:space="preserve">is intended for immediate consumption, either on-the-spot or take-away, </w:t>
      </w:r>
    </w:p>
    <w:p w14:paraId="6CE4B79B" w14:textId="1FDD2417" w:rsidR="00FD6DE7" w:rsidRPr="003F6B93" w:rsidRDefault="00F957CC" w:rsidP="00575347">
      <w:pPr>
        <w:pStyle w:val="ListParagraph"/>
        <w:numPr>
          <w:ilvl w:val="0"/>
          <w:numId w:val="68"/>
        </w:numPr>
        <w:spacing w:line="240" w:lineRule="auto"/>
        <w:rPr>
          <w:rFonts w:ascii="Verdana" w:hAnsi="Verdana"/>
        </w:rPr>
      </w:pPr>
      <w:r>
        <w:rPr>
          <w:rFonts w:ascii="Verdana" w:hAnsi="Verdana"/>
        </w:rPr>
        <w:t xml:space="preserve">is typically consumed from the receptacle, and </w:t>
      </w:r>
    </w:p>
    <w:p w14:paraId="3B4977B3" w14:textId="01BE44ED" w:rsidR="00FD6DE7" w:rsidRPr="003F6B93" w:rsidRDefault="00F957CC" w:rsidP="00575347">
      <w:pPr>
        <w:pStyle w:val="ListParagraph"/>
        <w:numPr>
          <w:ilvl w:val="0"/>
          <w:numId w:val="68"/>
        </w:numPr>
        <w:spacing w:line="240" w:lineRule="auto"/>
        <w:rPr>
          <w:rFonts w:ascii="Verdana" w:hAnsi="Verdana"/>
        </w:rPr>
      </w:pPr>
      <w:r>
        <w:rPr>
          <w:rFonts w:ascii="Verdana" w:hAnsi="Verdana"/>
        </w:rPr>
        <w:t xml:space="preserve">is ready to be consumed without any further preparation, such as cooking, </w:t>
      </w:r>
      <w:proofErr w:type="gramStart"/>
      <w:r>
        <w:rPr>
          <w:rFonts w:ascii="Verdana" w:hAnsi="Verdana"/>
        </w:rPr>
        <w:t>boiling</w:t>
      </w:r>
      <w:proofErr w:type="gramEnd"/>
      <w:r>
        <w:rPr>
          <w:rFonts w:ascii="Verdana" w:hAnsi="Verdana"/>
        </w:rPr>
        <w:t xml:space="preserve"> or heating, </w:t>
      </w:r>
    </w:p>
    <w:p w14:paraId="574EB5F8" w14:textId="0C81E672" w:rsidR="00502353" w:rsidRPr="003F6B93" w:rsidRDefault="00F957CC" w:rsidP="00575347">
      <w:pPr>
        <w:pStyle w:val="ListParagraph"/>
        <w:tabs>
          <w:tab w:val="left" w:pos="993"/>
        </w:tabs>
        <w:ind w:left="709"/>
        <w:jc w:val="both"/>
        <w:rPr>
          <w:rFonts w:ascii="Verdana" w:hAnsi="Verdana"/>
        </w:rPr>
      </w:pPr>
      <w:r>
        <w:rPr>
          <w:rFonts w:ascii="Verdana" w:hAnsi="Verdana"/>
        </w:rPr>
        <w:t xml:space="preserve">including food containers used for fast food or other meals ready for immediate consumption, except beverage containers, plates and packets and wrappers containing food; </w:t>
      </w:r>
    </w:p>
    <w:p w14:paraId="391C3ED9" w14:textId="77777777" w:rsidR="00502353" w:rsidRPr="003F6B93" w:rsidRDefault="00F957CC" w:rsidP="00575347">
      <w:pPr>
        <w:pStyle w:val="ListParagraph"/>
        <w:numPr>
          <w:ilvl w:val="0"/>
          <w:numId w:val="66"/>
        </w:numPr>
        <w:tabs>
          <w:tab w:val="left" w:pos="993"/>
        </w:tabs>
        <w:ind w:left="709"/>
        <w:jc w:val="both"/>
        <w:rPr>
          <w:rFonts w:ascii="Verdana" w:hAnsi="Verdana"/>
        </w:rPr>
      </w:pPr>
      <w:r>
        <w:rPr>
          <w:rFonts w:ascii="Verdana" w:hAnsi="Verdana"/>
        </w:rPr>
        <w:t xml:space="preserve">Beverage containers made of expanded polystyrene, including their caps and lids; </w:t>
      </w:r>
    </w:p>
    <w:p w14:paraId="11679328" w14:textId="356AA442" w:rsidR="00F957CC" w:rsidRPr="003F6B93" w:rsidRDefault="00F957CC" w:rsidP="00575347">
      <w:pPr>
        <w:pStyle w:val="ListParagraph"/>
        <w:numPr>
          <w:ilvl w:val="0"/>
          <w:numId w:val="66"/>
        </w:numPr>
        <w:tabs>
          <w:tab w:val="left" w:pos="993"/>
        </w:tabs>
        <w:ind w:left="709"/>
        <w:jc w:val="both"/>
        <w:rPr>
          <w:rFonts w:ascii="Verdana" w:hAnsi="Verdana"/>
        </w:rPr>
      </w:pPr>
      <w:r>
        <w:rPr>
          <w:rFonts w:ascii="Verdana" w:hAnsi="Verdana"/>
        </w:rPr>
        <w:t>Cups for beverage made of expanded polystyrene, including their covers and lids;</w:t>
      </w:r>
    </w:p>
    <w:p w14:paraId="58289D5C" w14:textId="77777777" w:rsidR="00FD6DE7" w:rsidRPr="003F6B93" w:rsidRDefault="00FD6DE7" w:rsidP="00575347">
      <w:pPr>
        <w:pStyle w:val="ListParagraph"/>
        <w:numPr>
          <w:ilvl w:val="0"/>
          <w:numId w:val="66"/>
        </w:numPr>
        <w:tabs>
          <w:tab w:val="left" w:pos="993"/>
        </w:tabs>
        <w:ind w:left="709"/>
        <w:jc w:val="both"/>
        <w:rPr>
          <w:rFonts w:ascii="Verdana" w:hAnsi="Verdana"/>
        </w:rPr>
      </w:pPr>
      <w:r>
        <w:rPr>
          <w:rFonts w:ascii="Verdana" w:hAnsi="Verdana"/>
        </w:rPr>
        <w:lastRenderedPageBreak/>
        <w:t xml:space="preserve">Beverage containers with a capacity of up to three litres, i.e., receptacles used to contain liquid, such as beverage bottles including their caps and lids and composite beverage packaging including their caps and lids, but not: </w:t>
      </w:r>
    </w:p>
    <w:p w14:paraId="42BC013C" w14:textId="11D5E5C8" w:rsidR="00FD6DE7" w:rsidRPr="003F6B93" w:rsidRDefault="00FD6DE7" w:rsidP="00575347">
      <w:pPr>
        <w:pStyle w:val="ListParagraph"/>
        <w:numPr>
          <w:ilvl w:val="0"/>
          <w:numId w:val="69"/>
        </w:numPr>
        <w:spacing w:line="240" w:lineRule="auto"/>
        <w:rPr>
          <w:rFonts w:ascii="Verdana" w:hAnsi="Verdana"/>
        </w:rPr>
      </w:pPr>
      <w:r>
        <w:rPr>
          <w:rFonts w:ascii="Verdana" w:hAnsi="Verdana"/>
        </w:rPr>
        <w:t xml:space="preserve">Glass or metal beverage containers that have caps and lids made from plastic; </w:t>
      </w:r>
    </w:p>
    <w:p w14:paraId="6E7263C6" w14:textId="6B820680" w:rsidR="00FD6DE7" w:rsidRPr="003F6B93" w:rsidRDefault="00FD6DE7" w:rsidP="00575347">
      <w:pPr>
        <w:pStyle w:val="ListParagraph"/>
        <w:numPr>
          <w:ilvl w:val="0"/>
          <w:numId w:val="69"/>
        </w:numPr>
        <w:spacing w:line="240" w:lineRule="auto"/>
        <w:rPr>
          <w:rFonts w:ascii="Verdana" w:hAnsi="Verdana"/>
        </w:rPr>
      </w:pPr>
      <w:r>
        <w:rPr>
          <w:rFonts w:ascii="Verdana" w:hAnsi="Verdana"/>
        </w:rPr>
        <w:t>Beverage containers intended and used for food for special medical purposes as defined in point (g) of Article 2 of Regulation (EU) No 609/2013 of the European Parliament and of the Council (3) that is in liquid form.</w:t>
      </w:r>
    </w:p>
    <w:p w14:paraId="70363A60" w14:textId="77777777" w:rsidR="00FD6DE7" w:rsidRPr="003F6B93" w:rsidRDefault="00FD6DE7" w:rsidP="00575347">
      <w:pPr>
        <w:pStyle w:val="ListParagraph"/>
        <w:numPr>
          <w:ilvl w:val="0"/>
          <w:numId w:val="66"/>
        </w:numPr>
        <w:tabs>
          <w:tab w:val="left" w:pos="993"/>
        </w:tabs>
        <w:ind w:left="709"/>
        <w:jc w:val="both"/>
        <w:rPr>
          <w:rFonts w:ascii="Verdana" w:hAnsi="Verdana"/>
        </w:rPr>
      </w:pPr>
      <w:r>
        <w:rPr>
          <w:rFonts w:ascii="Verdana" w:hAnsi="Verdana"/>
        </w:rPr>
        <w:t xml:space="preserve">Sanitary towels (pads), tampons and tampon applicators; </w:t>
      </w:r>
    </w:p>
    <w:p w14:paraId="4FE8461D" w14:textId="77777777" w:rsidR="00FD6DE7" w:rsidRPr="003F6B93" w:rsidRDefault="00FD6DE7" w:rsidP="00575347">
      <w:pPr>
        <w:pStyle w:val="ListParagraph"/>
        <w:numPr>
          <w:ilvl w:val="0"/>
          <w:numId w:val="66"/>
        </w:numPr>
        <w:tabs>
          <w:tab w:val="left" w:pos="993"/>
        </w:tabs>
        <w:ind w:left="709"/>
        <w:jc w:val="both"/>
        <w:rPr>
          <w:rFonts w:ascii="Verdana" w:hAnsi="Verdana"/>
        </w:rPr>
      </w:pPr>
      <w:r>
        <w:rPr>
          <w:rFonts w:ascii="Verdana" w:hAnsi="Verdana"/>
        </w:rPr>
        <w:t xml:space="preserve">Wet wipes, i.e., pre-wetted personal care and domestic wipes; </w:t>
      </w:r>
    </w:p>
    <w:p w14:paraId="027317AB" w14:textId="77777777" w:rsidR="00FD6DE7" w:rsidRPr="003F6B93" w:rsidRDefault="00FD6DE7" w:rsidP="00575347">
      <w:pPr>
        <w:pStyle w:val="ListParagraph"/>
        <w:numPr>
          <w:ilvl w:val="0"/>
          <w:numId w:val="66"/>
        </w:numPr>
        <w:tabs>
          <w:tab w:val="left" w:pos="993"/>
        </w:tabs>
        <w:ind w:left="709"/>
        <w:jc w:val="both"/>
        <w:rPr>
          <w:rFonts w:ascii="Verdana" w:hAnsi="Verdana"/>
        </w:rPr>
      </w:pPr>
      <w:r>
        <w:rPr>
          <w:rFonts w:ascii="Verdana" w:hAnsi="Verdana"/>
        </w:rPr>
        <w:t xml:space="preserve">Tobacco products with filters and filters marketed for use in combination with tobacco products; </w:t>
      </w:r>
    </w:p>
    <w:p w14:paraId="45459176" w14:textId="2227CC27" w:rsidR="00FD6DE7" w:rsidRPr="003F6B93" w:rsidRDefault="00FD6DE7" w:rsidP="00575347">
      <w:pPr>
        <w:pStyle w:val="ListParagraph"/>
        <w:numPr>
          <w:ilvl w:val="0"/>
          <w:numId w:val="66"/>
        </w:numPr>
        <w:tabs>
          <w:tab w:val="left" w:pos="993"/>
        </w:tabs>
        <w:ind w:left="709"/>
        <w:jc w:val="both"/>
        <w:rPr>
          <w:rFonts w:ascii="Verdana" w:hAnsi="Verdana"/>
        </w:rPr>
      </w:pPr>
      <w:r>
        <w:rPr>
          <w:rFonts w:ascii="Verdana" w:hAnsi="Verdana"/>
        </w:rPr>
        <w:t>Packets and wrappers made from flexible material containing food that is intended for immediate consumption from the packet or wrapper without any further preparation;</w:t>
      </w:r>
    </w:p>
    <w:p w14:paraId="6BCFB3EE" w14:textId="7C3E78E1" w:rsidR="00FD6DE7" w:rsidRPr="003F6B93" w:rsidRDefault="00FD6DE7" w:rsidP="00575347">
      <w:pPr>
        <w:pStyle w:val="ListParagraph"/>
        <w:numPr>
          <w:ilvl w:val="0"/>
          <w:numId w:val="66"/>
        </w:numPr>
        <w:tabs>
          <w:tab w:val="left" w:pos="993"/>
        </w:tabs>
        <w:ind w:left="709"/>
        <w:jc w:val="both"/>
        <w:rPr>
          <w:rFonts w:ascii="Verdana" w:hAnsi="Verdana"/>
        </w:rPr>
      </w:pPr>
      <w:r>
        <w:rPr>
          <w:rFonts w:ascii="Verdana" w:hAnsi="Verdana"/>
        </w:rPr>
        <w:t>Lightweight plastic carrier bags;</w:t>
      </w:r>
    </w:p>
    <w:p w14:paraId="289B47C5" w14:textId="50B62608" w:rsidR="00FD6DE7" w:rsidRPr="003F6B93" w:rsidRDefault="00FD6DE7" w:rsidP="00575347">
      <w:pPr>
        <w:pStyle w:val="ListParagraph"/>
        <w:numPr>
          <w:ilvl w:val="0"/>
          <w:numId w:val="66"/>
        </w:numPr>
        <w:tabs>
          <w:tab w:val="left" w:pos="993"/>
        </w:tabs>
        <w:ind w:left="709"/>
        <w:jc w:val="both"/>
        <w:rPr>
          <w:rFonts w:ascii="Verdana" w:hAnsi="Verdana"/>
        </w:rPr>
      </w:pPr>
      <w:r>
        <w:rPr>
          <w:rFonts w:ascii="Verdana" w:hAnsi="Verdana"/>
        </w:rPr>
        <w:t>Balloons, except balloons for industrial or other professional uses and applications that are not distributed to consumers.</w:t>
      </w:r>
    </w:p>
    <w:bookmarkEnd w:id="0"/>
    <w:p w14:paraId="199D7A21" w14:textId="77777777" w:rsidR="00092BC2" w:rsidRPr="00B73AFF" w:rsidRDefault="00092BC2" w:rsidP="00092BC2">
      <w:pPr>
        <w:rPr>
          <w:rFonts w:ascii="Verdana" w:hAnsi="Verdana"/>
        </w:rPr>
      </w:pPr>
    </w:p>
    <w:sectPr w:rsidR="00092BC2" w:rsidRPr="00B73AF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08F0D0" w14:textId="77777777" w:rsidR="00500119" w:rsidRDefault="00500119" w:rsidP="007879A9">
      <w:pPr>
        <w:spacing w:after="0" w:line="240" w:lineRule="auto"/>
      </w:pPr>
      <w:r>
        <w:separator/>
      </w:r>
    </w:p>
  </w:endnote>
  <w:endnote w:type="continuationSeparator" w:id="0">
    <w:p w14:paraId="18A3006D" w14:textId="77777777" w:rsidR="00500119" w:rsidRDefault="00500119" w:rsidP="00787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TimesLTStd-Roman">
    <w:altName w:val="Times New Roman"/>
    <w:panose1 w:val="00000000000000000000"/>
    <w:charset w:val="00"/>
    <w:family w:val="auto"/>
    <w:notTrueType/>
    <w:pitch w:val="default"/>
    <w:sig w:usb0="00000003" w:usb1="00000000" w:usb2="00000000" w:usb3="00000000" w:csb0="00000001" w:csb1="00000000"/>
  </w:font>
  <w:font w:name="EU 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65C216" w14:textId="77777777" w:rsidR="00D4270E" w:rsidRDefault="00D427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105A1" w14:textId="66925990" w:rsidR="00D4270E" w:rsidRDefault="00D4270E">
    <w:pPr>
      <w:pStyle w:val="Footer"/>
    </w:pPr>
    <w:r>
      <w:t>Version 15.03.2021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84A1F" w14:textId="77777777" w:rsidR="00D4270E" w:rsidRDefault="00D427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0DC920" w14:textId="77777777" w:rsidR="00500119" w:rsidRDefault="00500119" w:rsidP="007879A9">
      <w:pPr>
        <w:spacing w:after="0" w:line="240" w:lineRule="auto"/>
      </w:pPr>
      <w:r>
        <w:separator/>
      </w:r>
    </w:p>
  </w:footnote>
  <w:footnote w:type="continuationSeparator" w:id="0">
    <w:p w14:paraId="491ACA68" w14:textId="77777777" w:rsidR="00500119" w:rsidRDefault="00500119" w:rsidP="00787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7344D" w14:textId="77777777" w:rsidR="00D4270E" w:rsidRDefault="00D427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90618" w14:textId="203BD1E5" w:rsidR="00D4270E" w:rsidRPr="00C82E2D" w:rsidRDefault="00D4270E" w:rsidP="00C82E2D">
    <w:pPr>
      <w:tabs>
        <w:tab w:val="right" w:pos="7655"/>
      </w:tabs>
      <w:spacing w:after="360"/>
      <w:ind w:firstLine="993"/>
      <w:jc w:val="center"/>
      <w:rPr>
        <w:rFonts w:ascii="Palatino" w:eastAsia="Times New Roman" w:hAnsi="Palatino" w:cs="Times New Roman"/>
        <w:sz w:val="32"/>
        <w:szCs w:val="32"/>
      </w:rPr>
    </w:pPr>
    <w:r>
      <w:rPr>
        <w:rFonts w:ascii="Times New Roman" w:hAnsi="Times New Roman"/>
        <w:noProof/>
        <w:sz w:val="24"/>
      </w:rPr>
      <w:drawing>
        <wp:inline distT="0" distB="0" distL="0" distR="0" wp14:anchorId="1210180C" wp14:editId="0E774AB8">
          <wp:extent cx="409575" cy="409575"/>
          <wp:effectExtent l="0" t="0" r="9525" b="9525"/>
          <wp:docPr id="1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p w14:paraId="34BB9339" w14:textId="77777777" w:rsidR="00D4270E" w:rsidRPr="00C82E2D" w:rsidRDefault="00D4270E" w:rsidP="00C82E2D">
    <w:pPr>
      <w:tabs>
        <w:tab w:val="right" w:pos="7655"/>
      </w:tabs>
      <w:spacing w:after="360" w:line="240" w:lineRule="auto"/>
      <w:ind w:firstLine="993"/>
      <w:jc w:val="both"/>
      <w:rPr>
        <w:rFonts w:ascii="Palatino" w:eastAsia="Times New Roman" w:hAnsi="Palatino" w:cs="Times New Roman"/>
        <w:sz w:val="32"/>
        <w:szCs w:val="32"/>
      </w:rPr>
    </w:pPr>
    <w:r>
      <w:rPr>
        <w:rFonts w:ascii="Palatino" w:hAnsi="Palatino"/>
        <w:sz w:val="32"/>
      </w:rPr>
      <w:t xml:space="preserve"> Minister for</w:t>
    </w:r>
    <w:r>
      <w:rPr>
        <w:rFonts w:ascii="Times New Roman" w:hAnsi="Times New Roman"/>
        <w:sz w:val="32"/>
        <w:u w:val="dotted"/>
      </w:rPr>
      <w:tab/>
    </w:r>
  </w:p>
  <w:p w14:paraId="1B0BB6A5" w14:textId="77777777" w:rsidR="00D4270E" w:rsidRPr="00C82E2D" w:rsidRDefault="00D4270E" w:rsidP="00C82E2D">
    <w:pPr>
      <w:tabs>
        <w:tab w:val="center" w:pos="4252"/>
        <w:tab w:val="left" w:pos="6210"/>
      </w:tabs>
      <w:spacing w:before="120" w:after="120" w:line="240" w:lineRule="auto"/>
      <w:rPr>
        <w:rFonts w:ascii="Cambria" w:eastAsia="Times New Roman" w:hAnsi="Cambria" w:cs="Times New Roman"/>
        <w:sz w:val="32"/>
        <w:szCs w:val="32"/>
      </w:rPr>
    </w:pPr>
    <w:r>
      <w:rPr>
        <w:rFonts w:ascii="Times New Roman" w:hAnsi="Times New Roman"/>
        <w:sz w:val="32"/>
      </w:rPr>
      <w:tab/>
    </w:r>
    <w:r w:rsidR="00513C36">
      <w:rPr>
        <w:rFonts w:ascii="Cambria" w:hAnsi="Cambria"/>
      </w:rPr>
      <w:pict w14:anchorId="6C2C0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65pt;height:16.1pt">
          <v:imagedata r:id="rId2" o:title=""/>
        </v:shape>
      </w:pict>
    </w:r>
    <w:r>
      <w:rPr>
        <w:rFonts w:ascii="Times New Roman" w:hAnsi="Times New Roman"/>
        <w:sz w:val="32"/>
      </w:rPr>
      <w:tab/>
    </w:r>
  </w:p>
  <w:p w14:paraId="2B6A8F9D" w14:textId="77777777" w:rsidR="00D4270E" w:rsidRPr="00C82E2D" w:rsidRDefault="00D4270E" w:rsidP="00C82E2D">
    <w:pPr>
      <w:tabs>
        <w:tab w:val="left" w:pos="4678"/>
        <w:tab w:val="left" w:pos="6237"/>
      </w:tabs>
      <w:spacing w:after="0" w:line="240" w:lineRule="auto"/>
      <w:ind w:firstLine="2410"/>
      <w:jc w:val="both"/>
      <w:rPr>
        <w:rFonts w:ascii="Palatino" w:eastAsia="Times New Roman" w:hAnsi="Palatino" w:cs="Times New Roman"/>
        <w:sz w:val="24"/>
        <w:szCs w:val="24"/>
        <w:lang w:eastAsia="pt-PT"/>
      </w:rPr>
    </w:pPr>
  </w:p>
  <w:p w14:paraId="3214524D" w14:textId="77777777" w:rsidR="00D4270E" w:rsidRPr="00C82E2D" w:rsidRDefault="00D4270E" w:rsidP="00C82E2D">
    <w:pPr>
      <w:tabs>
        <w:tab w:val="left" w:pos="4678"/>
        <w:tab w:val="left" w:pos="6237"/>
      </w:tabs>
      <w:spacing w:after="0" w:line="240" w:lineRule="auto"/>
      <w:ind w:firstLine="2410"/>
      <w:jc w:val="both"/>
      <w:rPr>
        <w:rFonts w:ascii="Cambria" w:eastAsia="Times New Roman" w:hAnsi="Cambria" w:cs="Times New Roman"/>
        <w:sz w:val="32"/>
        <w:szCs w:val="32"/>
      </w:rPr>
    </w:pPr>
    <w:r>
      <w:rPr>
        <w:rFonts w:ascii="Palatino" w:hAnsi="Palatino"/>
        <w:sz w:val="24"/>
      </w:rPr>
      <w:t xml:space="preserve">Decree </w:t>
    </w:r>
    <w:r>
      <w:rPr>
        <w:rFonts w:ascii="Times New Roman" w:hAnsi="Times New Roman"/>
        <w:sz w:val="32"/>
        <w:u w:val="dotted"/>
        <w:vertAlign w:val="subscript"/>
      </w:rPr>
      <w:tab/>
    </w:r>
    <w:r>
      <w:rPr>
        <w:rFonts w:ascii="Palatino" w:hAnsi="Palatino"/>
        <w:sz w:val="24"/>
      </w:rPr>
      <w:t xml:space="preserve"> No.</w:t>
    </w:r>
    <w:r>
      <w:rPr>
        <w:rFonts w:ascii="Arial" w:hAnsi="Arial"/>
        <w:sz w:val="32"/>
      </w:rPr>
      <w:t xml:space="preserve"> </w:t>
    </w:r>
    <w:r>
      <w:rPr>
        <w:rFonts w:ascii="Times New Roman" w:hAnsi="Times New Roman"/>
        <w:sz w:val="32"/>
        <w:u w:val="dotted"/>
        <w:vertAlign w:val="subscript"/>
      </w:rPr>
      <w:tab/>
    </w:r>
  </w:p>
  <w:p w14:paraId="66BF1573" w14:textId="50A62CC3" w:rsidR="00D4270E" w:rsidRDefault="00D4270E" w:rsidP="007879A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F8E7A" w14:textId="77777777" w:rsidR="00D4270E" w:rsidRDefault="00D427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A04A7"/>
    <w:multiLevelType w:val="hybridMultilevel"/>
    <w:tmpl w:val="41CA431A"/>
    <w:lvl w:ilvl="0" w:tplc="2B4682E0">
      <w:start w:val="1"/>
      <w:numFmt w:val="decimal"/>
      <w:lvlText w:val="%1 -"/>
      <w:lvlJc w:val="left"/>
      <w:pPr>
        <w:ind w:left="720" w:hanging="360"/>
      </w:pPr>
      <w:rPr>
        <w:rFonts w:hint="default"/>
      </w:rPr>
    </w:lvl>
    <w:lvl w:ilvl="1" w:tplc="4774ADE4">
      <w:start w:val="1"/>
      <w:numFmt w:val="lowerLetter"/>
      <w:lvlText w:val="%2)"/>
      <w:lvlJc w:val="left"/>
      <w:pPr>
        <w:ind w:left="1440" w:hanging="360"/>
      </w:pPr>
      <w:rPr>
        <w:rFonts w:hint="default"/>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2232881"/>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4183190"/>
    <w:multiLevelType w:val="hybridMultilevel"/>
    <w:tmpl w:val="D8A833BC"/>
    <w:lvl w:ilvl="0" w:tplc="1348FCFE">
      <w:start w:val="1"/>
      <w:numFmt w:val="lowerLetter"/>
      <w:lvlText w:val="%1)"/>
      <w:lvlJc w:val="left"/>
      <w:pPr>
        <w:ind w:left="720" w:hanging="360"/>
      </w:pPr>
      <w:rPr>
        <w:rFonts w:hint="default"/>
        <w:i/>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2B4682E0">
      <w:start w:val="1"/>
      <w:numFmt w:val="decimal"/>
      <w:lvlText w:val="%4 -"/>
      <w:lvlJc w:val="left"/>
      <w:pPr>
        <w:ind w:left="928" w:hanging="360"/>
      </w:pPr>
      <w:rPr>
        <w:rFonts w:hint="default"/>
      </w:r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3" w15:restartNumberingAfterBreak="0">
    <w:nsid w:val="08F84C74"/>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09693BF9"/>
    <w:multiLevelType w:val="multilevel"/>
    <w:tmpl w:val="CD70D7A0"/>
    <w:lvl w:ilvl="0">
      <w:start w:val="1"/>
      <w:numFmt w:val="decimal"/>
      <w:pStyle w:val="Chapitre"/>
      <w:suff w:val="nothing"/>
      <w:lvlText w:val="Chapitre %1"/>
      <w:lvlJc w:val="left"/>
      <w:pPr>
        <w:ind w:left="360" w:hanging="360"/>
      </w:pPr>
      <w:rPr>
        <w:rFonts w:ascii="Verdana" w:hAnsi="Verdana" w:hint="default"/>
        <w:b/>
        <w:i w:val="0"/>
        <w:sz w:val="20"/>
      </w:rPr>
    </w:lvl>
    <w:lvl w:ilvl="1">
      <w:start w:val="1"/>
      <w:numFmt w:val="decimal"/>
      <w:pStyle w:val="Section"/>
      <w:suff w:val="nothing"/>
      <w:lvlText w:val="Section %2"/>
      <w:lvlJc w:val="left"/>
      <w:pPr>
        <w:ind w:left="3970" w:firstLine="0"/>
      </w:pPr>
      <w:rPr>
        <w:rFonts w:ascii="Verdana" w:hAnsi="Verdana" w:hint="default"/>
        <w:b/>
        <w:i w:val="0"/>
        <w:sz w:val="20"/>
      </w:rPr>
    </w:lvl>
    <w:lvl w:ilvl="2">
      <w:start w:val="1"/>
      <w:numFmt w:val="decimal"/>
      <w:pStyle w:val="Sous-section"/>
      <w:suff w:val="nothing"/>
      <w:lvlText w:val="Sous-section %3"/>
      <w:lvlJc w:val="left"/>
      <w:pPr>
        <w:ind w:left="0" w:firstLine="0"/>
      </w:pPr>
      <w:rPr>
        <w:rFonts w:ascii="Verdana" w:hAnsi="Verdana" w:hint="default"/>
        <w:b/>
        <w:i w:val="0"/>
        <w:sz w:val="20"/>
      </w:rPr>
    </w:lvl>
    <w:lvl w:ilvl="3">
      <w:start w:val="1"/>
      <w:numFmt w:val="decimal"/>
      <w:lvlRestart w:val="0"/>
      <w:pStyle w:val="Article"/>
      <w:suff w:val="nothing"/>
      <w:lvlText w:val="Art. %4"/>
      <w:lvlJc w:val="left"/>
      <w:pPr>
        <w:ind w:left="494" w:firstLine="357"/>
      </w:pPr>
      <w:rPr>
        <w:rFonts w:ascii="Verdana" w:hAnsi="Verdana" w:hint="default"/>
        <w:b/>
        <w:i w:val="0"/>
        <w:sz w:val="20"/>
      </w:rPr>
    </w:lvl>
    <w:lvl w:ilvl="4">
      <w:start w:val="1"/>
      <w:numFmt w:val="decimal"/>
      <w:pStyle w:val="Liste1"/>
      <w:suff w:val="space"/>
      <w:lvlText w:val="(%5)"/>
      <w:lvlJc w:val="left"/>
      <w:pPr>
        <w:ind w:left="0" w:firstLine="357"/>
      </w:pPr>
      <w:rPr>
        <w:rFonts w:ascii="Verdana" w:hAnsi="Verdana" w:hint="default"/>
        <w:sz w:val="20"/>
      </w:rPr>
    </w:lvl>
    <w:lvl w:ilvl="5">
      <w:start w:val="1"/>
      <w:numFmt w:val="decimal"/>
      <w:pStyle w:val="Liste10"/>
      <w:suff w:val="space"/>
      <w:lvlText w:val="%6."/>
      <w:lvlJc w:val="left"/>
      <w:pPr>
        <w:ind w:left="964" w:hanging="255"/>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Letter"/>
      <w:pStyle w:val="Listea"/>
      <w:lvlText w:val="%7)"/>
      <w:lvlJc w:val="left"/>
      <w:pPr>
        <w:ind w:left="1276" w:hanging="255"/>
      </w:pPr>
    </w:lvl>
    <w:lvl w:ilvl="7">
      <w:start w:val="1"/>
      <w:numFmt w:val="decimal"/>
      <w:pStyle w:val="Numerotation1"/>
      <w:lvlText w:val="%8."/>
      <w:lvlJc w:val="left"/>
      <w:pPr>
        <w:ind w:left="726" w:hanging="369"/>
      </w:pPr>
      <w:rPr>
        <w:rFonts w:ascii="Verdana" w:hAnsi="Verdana" w:hint="default"/>
        <w:sz w:val="20"/>
      </w:rPr>
    </w:lvl>
    <w:lvl w:ilvl="8">
      <w:start w:val="1"/>
      <w:numFmt w:val="lowerLetter"/>
      <w:pStyle w:val="Numerotationa"/>
      <w:lvlText w:val="%9)"/>
      <w:lvlJc w:val="left"/>
      <w:pPr>
        <w:tabs>
          <w:tab w:val="num" w:pos="1219"/>
        </w:tabs>
        <w:ind w:left="1219" w:hanging="368"/>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5" w15:restartNumberingAfterBreak="0">
    <w:nsid w:val="0AC00B75"/>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0EBD274A"/>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0F514703"/>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0FE15EFC"/>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0FE31CC5"/>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15E812E6"/>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16C66415"/>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17F54B4B"/>
    <w:multiLevelType w:val="hybridMultilevel"/>
    <w:tmpl w:val="894CA528"/>
    <w:lvl w:ilvl="0" w:tplc="2B4682E0">
      <w:start w:val="1"/>
      <w:numFmt w:val="decimal"/>
      <w:lvlText w:val="%1 -"/>
      <w:lvlJc w:val="left"/>
      <w:pPr>
        <w:ind w:left="2880" w:hanging="360"/>
      </w:pPr>
      <w:rPr>
        <w:rFonts w:hint="default"/>
      </w:rPr>
    </w:lvl>
    <w:lvl w:ilvl="1" w:tplc="08160019" w:tentative="1">
      <w:start w:val="1"/>
      <w:numFmt w:val="lowerLetter"/>
      <w:lvlText w:val="%2."/>
      <w:lvlJc w:val="left"/>
      <w:pPr>
        <w:ind w:left="3392" w:hanging="360"/>
      </w:pPr>
    </w:lvl>
    <w:lvl w:ilvl="2" w:tplc="0816001B" w:tentative="1">
      <w:start w:val="1"/>
      <w:numFmt w:val="lowerRoman"/>
      <w:lvlText w:val="%3."/>
      <w:lvlJc w:val="right"/>
      <w:pPr>
        <w:ind w:left="4112" w:hanging="180"/>
      </w:pPr>
    </w:lvl>
    <w:lvl w:ilvl="3" w:tplc="0816000F" w:tentative="1">
      <w:start w:val="1"/>
      <w:numFmt w:val="decimal"/>
      <w:lvlText w:val="%4."/>
      <w:lvlJc w:val="left"/>
      <w:pPr>
        <w:ind w:left="4832" w:hanging="360"/>
      </w:pPr>
    </w:lvl>
    <w:lvl w:ilvl="4" w:tplc="08160019" w:tentative="1">
      <w:start w:val="1"/>
      <w:numFmt w:val="lowerLetter"/>
      <w:lvlText w:val="%5."/>
      <w:lvlJc w:val="left"/>
      <w:pPr>
        <w:ind w:left="5552" w:hanging="360"/>
      </w:pPr>
    </w:lvl>
    <w:lvl w:ilvl="5" w:tplc="0816001B" w:tentative="1">
      <w:start w:val="1"/>
      <w:numFmt w:val="lowerRoman"/>
      <w:lvlText w:val="%6."/>
      <w:lvlJc w:val="right"/>
      <w:pPr>
        <w:ind w:left="6272" w:hanging="180"/>
      </w:pPr>
    </w:lvl>
    <w:lvl w:ilvl="6" w:tplc="0816000F" w:tentative="1">
      <w:start w:val="1"/>
      <w:numFmt w:val="decimal"/>
      <w:lvlText w:val="%7."/>
      <w:lvlJc w:val="left"/>
      <w:pPr>
        <w:ind w:left="6992" w:hanging="360"/>
      </w:pPr>
    </w:lvl>
    <w:lvl w:ilvl="7" w:tplc="08160019" w:tentative="1">
      <w:start w:val="1"/>
      <w:numFmt w:val="lowerLetter"/>
      <w:lvlText w:val="%8."/>
      <w:lvlJc w:val="left"/>
      <w:pPr>
        <w:ind w:left="7712" w:hanging="360"/>
      </w:pPr>
    </w:lvl>
    <w:lvl w:ilvl="8" w:tplc="0816001B" w:tentative="1">
      <w:start w:val="1"/>
      <w:numFmt w:val="lowerRoman"/>
      <w:lvlText w:val="%9."/>
      <w:lvlJc w:val="right"/>
      <w:pPr>
        <w:ind w:left="8432" w:hanging="180"/>
      </w:pPr>
    </w:lvl>
  </w:abstractNum>
  <w:abstractNum w:abstractNumId="13" w15:restartNumberingAfterBreak="0">
    <w:nsid w:val="1AF86172"/>
    <w:multiLevelType w:val="multilevel"/>
    <w:tmpl w:val="FC9817B0"/>
    <w:lvl w:ilvl="0">
      <w:start w:val="1"/>
      <w:numFmt w:val="decimal"/>
      <w:lvlText w:val="%1)"/>
      <w:lvlJc w:val="left"/>
      <w:pPr>
        <w:ind w:left="360" w:hanging="360"/>
      </w:pPr>
    </w:lvl>
    <w:lvl w:ilvl="1">
      <w:start w:val="1"/>
      <w:numFmt w:val="lowerLetter"/>
      <w:lvlText w:val="%2)"/>
      <w:lvlJc w:val="left"/>
      <w:pPr>
        <w:ind w:left="720" w:hanging="360"/>
      </w:pPr>
      <w:rPr>
        <w: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B930894"/>
    <w:multiLevelType w:val="hybridMultilevel"/>
    <w:tmpl w:val="E7D096DE"/>
    <w:lvl w:ilvl="0" w:tplc="2B4682E0">
      <w:start w:val="1"/>
      <w:numFmt w:val="decimal"/>
      <w:lvlText w:val="%1 -"/>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5" w15:restartNumberingAfterBreak="0">
    <w:nsid w:val="1F0125F7"/>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21171F0D"/>
    <w:multiLevelType w:val="hybridMultilevel"/>
    <w:tmpl w:val="8B78239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23B33B48"/>
    <w:multiLevelType w:val="hybridMultilevel"/>
    <w:tmpl w:val="894CA528"/>
    <w:lvl w:ilvl="0" w:tplc="2B4682E0">
      <w:start w:val="1"/>
      <w:numFmt w:val="decimal"/>
      <w:lvlText w:val="%1 -"/>
      <w:lvlJc w:val="left"/>
      <w:pPr>
        <w:ind w:left="2880" w:hanging="360"/>
      </w:pPr>
      <w:rPr>
        <w:rFonts w:hint="default"/>
      </w:rPr>
    </w:lvl>
    <w:lvl w:ilvl="1" w:tplc="08160019" w:tentative="1">
      <w:start w:val="1"/>
      <w:numFmt w:val="lowerLetter"/>
      <w:lvlText w:val="%2."/>
      <w:lvlJc w:val="left"/>
      <w:pPr>
        <w:ind w:left="3392" w:hanging="360"/>
      </w:pPr>
    </w:lvl>
    <w:lvl w:ilvl="2" w:tplc="0816001B" w:tentative="1">
      <w:start w:val="1"/>
      <w:numFmt w:val="lowerRoman"/>
      <w:lvlText w:val="%3."/>
      <w:lvlJc w:val="right"/>
      <w:pPr>
        <w:ind w:left="4112" w:hanging="180"/>
      </w:pPr>
    </w:lvl>
    <w:lvl w:ilvl="3" w:tplc="0816000F" w:tentative="1">
      <w:start w:val="1"/>
      <w:numFmt w:val="decimal"/>
      <w:lvlText w:val="%4."/>
      <w:lvlJc w:val="left"/>
      <w:pPr>
        <w:ind w:left="4832" w:hanging="360"/>
      </w:pPr>
    </w:lvl>
    <w:lvl w:ilvl="4" w:tplc="08160019" w:tentative="1">
      <w:start w:val="1"/>
      <w:numFmt w:val="lowerLetter"/>
      <w:lvlText w:val="%5."/>
      <w:lvlJc w:val="left"/>
      <w:pPr>
        <w:ind w:left="5552" w:hanging="360"/>
      </w:pPr>
    </w:lvl>
    <w:lvl w:ilvl="5" w:tplc="0816001B" w:tentative="1">
      <w:start w:val="1"/>
      <w:numFmt w:val="lowerRoman"/>
      <w:lvlText w:val="%6."/>
      <w:lvlJc w:val="right"/>
      <w:pPr>
        <w:ind w:left="6272" w:hanging="180"/>
      </w:pPr>
    </w:lvl>
    <w:lvl w:ilvl="6" w:tplc="0816000F" w:tentative="1">
      <w:start w:val="1"/>
      <w:numFmt w:val="decimal"/>
      <w:lvlText w:val="%7."/>
      <w:lvlJc w:val="left"/>
      <w:pPr>
        <w:ind w:left="6992" w:hanging="360"/>
      </w:pPr>
    </w:lvl>
    <w:lvl w:ilvl="7" w:tplc="08160019" w:tentative="1">
      <w:start w:val="1"/>
      <w:numFmt w:val="lowerLetter"/>
      <w:lvlText w:val="%8."/>
      <w:lvlJc w:val="left"/>
      <w:pPr>
        <w:ind w:left="7712" w:hanging="360"/>
      </w:pPr>
    </w:lvl>
    <w:lvl w:ilvl="8" w:tplc="0816001B" w:tentative="1">
      <w:start w:val="1"/>
      <w:numFmt w:val="lowerRoman"/>
      <w:lvlText w:val="%9."/>
      <w:lvlJc w:val="right"/>
      <w:pPr>
        <w:ind w:left="8432" w:hanging="180"/>
      </w:pPr>
    </w:lvl>
  </w:abstractNum>
  <w:abstractNum w:abstractNumId="18" w15:restartNumberingAfterBreak="0">
    <w:nsid w:val="28E20FF0"/>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30B25800"/>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15:restartNumberingAfterBreak="0">
    <w:nsid w:val="31C05378"/>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15:restartNumberingAfterBreak="0">
    <w:nsid w:val="33CA0EB8"/>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15:restartNumberingAfterBreak="0">
    <w:nsid w:val="355650C8"/>
    <w:multiLevelType w:val="hybridMultilevel"/>
    <w:tmpl w:val="41CA431A"/>
    <w:lvl w:ilvl="0" w:tplc="2B4682E0">
      <w:start w:val="1"/>
      <w:numFmt w:val="decimal"/>
      <w:lvlText w:val="%1 -"/>
      <w:lvlJc w:val="left"/>
      <w:pPr>
        <w:ind w:left="720" w:hanging="360"/>
      </w:pPr>
      <w:rPr>
        <w:rFonts w:hint="default"/>
      </w:rPr>
    </w:lvl>
    <w:lvl w:ilvl="1" w:tplc="4774ADE4">
      <w:start w:val="1"/>
      <w:numFmt w:val="lowerLetter"/>
      <w:lvlText w:val="%2)"/>
      <w:lvlJc w:val="left"/>
      <w:pPr>
        <w:ind w:left="1440" w:hanging="360"/>
      </w:pPr>
      <w:rPr>
        <w:rFonts w:hint="default"/>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15:restartNumberingAfterBreak="0">
    <w:nsid w:val="362A1B50"/>
    <w:multiLevelType w:val="hybridMultilevel"/>
    <w:tmpl w:val="8B78239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 w15:restartNumberingAfterBreak="0">
    <w:nsid w:val="3697716C"/>
    <w:multiLevelType w:val="multilevel"/>
    <w:tmpl w:val="FC9817B0"/>
    <w:lvl w:ilvl="0">
      <w:start w:val="1"/>
      <w:numFmt w:val="decimal"/>
      <w:lvlText w:val="%1)"/>
      <w:lvlJc w:val="left"/>
      <w:pPr>
        <w:ind w:left="360" w:hanging="360"/>
      </w:pPr>
    </w:lvl>
    <w:lvl w:ilvl="1">
      <w:start w:val="1"/>
      <w:numFmt w:val="lowerLetter"/>
      <w:lvlText w:val="%2)"/>
      <w:lvlJc w:val="left"/>
      <w:pPr>
        <w:ind w:left="720" w:hanging="360"/>
      </w:pPr>
      <w:rPr>
        <w: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79E73B2"/>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 w15:restartNumberingAfterBreak="0">
    <w:nsid w:val="393C7C6A"/>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7" w15:restartNumberingAfterBreak="0">
    <w:nsid w:val="3DBA4468"/>
    <w:multiLevelType w:val="hybridMultilevel"/>
    <w:tmpl w:val="16761180"/>
    <w:lvl w:ilvl="0" w:tplc="4774ADE4">
      <w:start w:val="1"/>
      <w:numFmt w:val="lowerLetter"/>
      <w:lvlText w:val="%1)"/>
      <w:lvlJc w:val="left"/>
      <w:pPr>
        <w:ind w:left="1428" w:hanging="360"/>
      </w:pPr>
      <w:rPr>
        <w:rFonts w:hint="default"/>
      </w:rPr>
    </w:lvl>
    <w:lvl w:ilvl="1" w:tplc="08160017">
      <w:start w:val="1"/>
      <w:numFmt w:val="lowerLetter"/>
      <w:lvlText w:val="%2)"/>
      <w:lvlJc w:val="left"/>
      <w:pPr>
        <w:ind w:left="2148" w:hanging="360"/>
      </w:pPr>
    </w:lvl>
    <w:lvl w:ilvl="2" w:tplc="0816001B" w:tentative="1">
      <w:start w:val="1"/>
      <w:numFmt w:val="lowerRoman"/>
      <w:lvlText w:val="%3."/>
      <w:lvlJc w:val="right"/>
      <w:pPr>
        <w:ind w:left="2868" w:hanging="180"/>
      </w:pPr>
    </w:lvl>
    <w:lvl w:ilvl="3" w:tplc="0816000F" w:tentative="1">
      <w:start w:val="1"/>
      <w:numFmt w:val="decimal"/>
      <w:lvlText w:val="%4."/>
      <w:lvlJc w:val="left"/>
      <w:pPr>
        <w:ind w:left="3588" w:hanging="360"/>
      </w:pPr>
    </w:lvl>
    <w:lvl w:ilvl="4" w:tplc="08160019" w:tentative="1">
      <w:start w:val="1"/>
      <w:numFmt w:val="lowerLetter"/>
      <w:lvlText w:val="%5."/>
      <w:lvlJc w:val="left"/>
      <w:pPr>
        <w:ind w:left="4308" w:hanging="360"/>
      </w:pPr>
    </w:lvl>
    <w:lvl w:ilvl="5" w:tplc="0816001B" w:tentative="1">
      <w:start w:val="1"/>
      <w:numFmt w:val="lowerRoman"/>
      <w:lvlText w:val="%6."/>
      <w:lvlJc w:val="right"/>
      <w:pPr>
        <w:ind w:left="5028" w:hanging="180"/>
      </w:pPr>
    </w:lvl>
    <w:lvl w:ilvl="6" w:tplc="0816000F" w:tentative="1">
      <w:start w:val="1"/>
      <w:numFmt w:val="decimal"/>
      <w:lvlText w:val="%7."/>
      <w:lvlJc w:val="left"/>
      <w:pPr>
        <w:ind w:left="5748" w:hanging="360"/>
      </w:pPr>
    </w:lvl>
    <w:lvl w:ilvl="7" w:tplc="08160019" w:tentative="1">
      <w:start w:val="1"/>
      <w:numFmt w:val="lowerLetter"/>
      <w:lvlText w:val="%8."/>
      <w:lvlJc w:val="left"/>
      <w:pPr>
        <w:ind w:left="6468" w:hanging="360"/>
      </w:pPr>
    </w:lvl>
    <w:lvl w:ilvl="8" w:tplc="0816001B" w:tentative="1">
      <w:start w:val="1"/>
      <w:numFmt w:val="lowerRoman"/>
      <w:lvlText w:val="%9."/>
      <w:lvlJc w:val="right"/>
      <w:pPr>
        <w:ind w:left="7188" w:hanging="180"/>
      </w:pPr>
    </w:lvl>
  </w:abstractNum>
  <w:abstractNum w:abstractNumId="28" w15:restartNumberingAfterBreak="0">
    <w:nsid w:val="3E4D3EF5"/>
    <w:multiLevelType w:val="hybridMultilevel"/>
    <w:tmpl w:val="8B78239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9" w15:restartNumberingAfterBreak="0">
    <w:nsid w:val="42E04A98"/>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0" w15:restartNumberingAfterBreak="0">
    <w:nsid w:val="43166C4F"/>
    <w:multiLevelType w:val="hybridMultilevel"/>
    <w:tmpl w:val="894CA528"/>
    <w:lvl w:ilvl="0" w:tplc="2B4682E0">
      <w:start w:val="1"/>
      <w:numFmt w:val="decimal"/>
      <w:lvlText w:val="%1 -"/>
      <w:lvlJc w:val="left"/>
      <w:pPr>
        <w:ind w:left="2880" w:hanging="360"/>
      </w:pPr>
      <w:rPr>
        <w:rFonts w:hint="default"/>
      </w:rPr>
    </w:lvl>
    <w:lvl w:ilvl="1" w:tplc="08160019" w:tentative="1">
      <w:start w:val="1"/>
      <w:numFmt w:val="lowerLetter"/>
      <w:lvlText w:val="%2."/>
      <w:lvlJc w:val="left"/>
      <w:pPr>
        <w:ind w:left="3392" w:hanging="360"/>
      </w:pPr>
    </w:lvl>
    <w:lvl w:ilvl="2" w:tplc="0816001B" w:tentative="1">
      <w:start w:val="1"/>
      <w:numFmt w:val="lowerRoman"/>
      <w:lvlText w:val="%3."/>
      <w:lvlJc w:val="right"/>
      <w:pPr>
        <w:ind w:left="4112" w:hanging="180"/>
      </w:pPr>
    </w:lvl>
    <w:lvl w:ilvl="3" w:tplc="0816000F" w:tentative="1">
      <w:start w:val="1"/>
      <w:numFmt w:val="decimal"/>
      <w:lvlText w:val="%4."/>
      <w:lvlJc w:val="left"/>
      <w:pPr>
        <w:ind w:left="4832" w:hanging="360"/>
      </w:pPr>
    </w:lvl>
    <w:lvl w:ilvl="4" w:tplc="08160019" w:tentative="1">
      <w:start w:val="1"/>
      <w:numFmt w:val="lowerLetter"/>
      <w:lvlText w:val="%5."/>
      <w:lvlJc w:val="left"/>
      <w:pPr>
        <w:ind w:left="5552" w:hanging="360"/>
      </w:pPr>
    </w:lvl>
    <w:lvl w:ilvl="5" w:tplc="0816001B" w:tentative="1">
      <w:start w:val="1"/>
      <w:numFmt w:val="lowerRoman"/>
      <w:lvlText w:val="%6."/>
      <w:lvlJc w:val="right"/>
      <w:pPr>
        <w:ind w:left="6272" w:hanging="180"/>
      </w:pPr>
    </w:lvl>
    <w:lvl w:ilvl="6" w:tplc="0816000F" w:tentative="1">
      <w:start w:val="1"/>
      <w:numFmt w:val="decimal"/>
      <w:lvlText w:val="%7."/>
      <w:lvlJc w:val="left"/>
      <w:pPr>
        <w:ind w:left="6992" w:hanging="360"/>
      </w:pPr>
    </w:lvl>
    <w:lvl w:ilvl="7" w:tplc="08160019" w:tentative="1">
      <w:start w:val="1"/>
      <w:numFmt w:val="lowerLetter"/>
      <w:lvlText w:val="%8."/>
      <w:lvlJc w:val="left"/>
      <w:pPr>
        <w:ind w:left="7712" w:hanging="360"/>
      </w:pPr>
    </w:lvl>
    <w:lvl w:ilvl="8" w:tplc="0816001B" w:tentative="1">
      <w:start w:val="1"/>
      <w:numFmt w:val="lowerRoman"/>
      <w:lvlText w:val="%9."/>
      <w:lvlJc w:val="right"/>
      <w:pPr>
        <w:ind w:left="8432" w:hanging="180"/>
      </w:pPr>
    </w:lvl>
  </w:abstractNum>
  <w:abstractNum w:abstractNumId="31" w15:restartNumberingAfterBreak="0">
    <w:nsid w:val="43541F79"/>
    <w:multiLevelType w:val="multilevel"/>
    <w:tmpl w:val="FC9817B0"/>
    <w:lvl w:ilvl="0">
      <w:start w:val="1"/>
      <w:numFmt w:val="decimal"/>
      <w:lvlText w:val="%1)"/>
      <w:lvlJc w:val="left"/>
      <w:pPr>
        <w:ind w:left="360" w:hanging="360"/>
      </w:pPr>
    </w:lvl>
    <w:lvl w:ilvl="1">
      <w:start w:val="1"/>
      <w:numFmt w:val="lowerLetter"/>
      <w:lvlText w:val="%2)"/>
      <w:lvlJc w:val="left"/>
      <w:pPr>
        <w:ind w:left="720" w:hanging="360"/>
      </w:pPr>
      <w:rPr>
        <w: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4856D98"/>
    <w:multiLevelType w:val="hybridMultilevel"/>
    <w:tmpl w:val="D8A833BC"/>
    <w:lvl w:ilvl="0" w:tplc="1348FCFE">
      <w:start w:val="1"/>
      <w:numFmt w:val="lowerLetter"/>
      <w:lvlText w:val="%1)"/>
      <w:lvlJc w:val="left"/>
      <w:pPr>
        <w:ind w:left="720" w:hanging="360"/>
      </w:pPr>
      <w:rPr>
        <w:rFonts w:hint="default"/>
        <w:i/>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2B4682E0">
      <w:start w:val="1"/>
      <w:numFmt w:val="decimal"/>
      <w:lvlText w:val="%4 -"/>
      <w:lvlJc w:val="left"/>
      <w:pPr>
        <w:ind w:left="928" w:hanging="360"/>
      </w:pPr>
      <w:rPr>
        <w:rFonts w:hint="default"/>
      </w:r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33" w15:restartNumberingAfterBreak="0">
    <w:nsid w:val="44E71D84"/>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4" w15:restartNumberingAfterBreak="0">
    <w:nsid w:val="47596925"/>
    <w:multiLevelType w:val="multilevel"/>
    <w:tmpl w:val="FC9817B0"/>
    <w:lvl w:ilvl="0">
      <w:start w:val="1"/>
      <w:numFmt w:val="decimal"/>
      <w:lvlText w:val="%1)"/>
      <w:lvlJc w:val="left"/>
      <w:pPr>
        <w:ind w:left="360" w:hanging="360"/>
      </w:pPr>
    </w:lvl>
    <w:lvl w:ilvl="1">
      <w:start w:val="1"/>
      <w:numFmt w:val="lowerLetter"/>
      <w:lvlText w:val="%2)"/>
      <w:lvlJc w:val="left"/>
      <w:pPr>
        <w:ind w:left="720" w:hanging="360"/>
      </w:pPr>
      <w:rPr>
        <w: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9D418A9"/>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6" w15:restartNumberingAfterBreak="0">
    <w:nsid w:val="4C1C19B7"/>
    <w:multiLevelType w:val="multilevel"/>
    <w:tmpl w:val="FC9817B0"/>
    <w:lvl w:ilvl="0">
      <w:start w:val="1"/>
      <w:numFmt w:val="decimal"/>
      <w:lvlText w:val="%1)"/>
      <w:lvlJc w:val="left"/>
      <w:pPr>
        <w:ind w:left="360" w:hanging="360"/>
      </w:pPr>
    </w:lvl>
    <w:lvl w:ilvl="1">
      <w:start w:val="1"/>
      <w:numFmt w:val="lowerLetter"/>
      <w:lvlText w:val="%2)"/>
      <w:lvlJc w:val="left"/>
      <w:pPr>
        <w:ind w:left="720" w:hanging="360"/>
      </w:pPr>
      <w:rPr>
        <w: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D0E4615"/>
    <w:multiLevelType w:val="hybridMultilevel"/>
    <w:tmpl w:val="894CA528"/>
    <w:lvl w:ilvl="0" w:tplc="2B4682E0">
      <w:start w:val="1"/>
      <w:numFmt w:val="decimal"/>
      <w:lvlText w:val="%1 -"/>
      <w:lvlJc w:val="left"/>
      <w:pPr>
        <w:ind w:left="2880" w:hanging="360"/>
      </w:pPr>
      <w:rPr>
        <w:rFonts w:hint="default"/>
      </w:rPr>
    </w:lvl>
    <w:lvl w:ilvl="1" w:tplc="08160019" w:tentative="1">
      <w:start w:val="1"/>
      <w:numFmt w:val="lowerLetter"/>
      <w:lvlText w:val="%2."/>
      <w:lvlJc w:val="left"/>
      <w:pPr>
        <w:ind w:left="3392" w:hanging="360"/>
      </w:pPr>
    </w:lvl>
    <w:lvl w:ilvl="2" w:tplc="0816001B" w:tentative="1">
      <w:start w:val="1"/>
      <w:numFmt w:val="lowerRoman"/>
      <w:lvlText w:val="%3."/>
      <w:lvlJc w:val="right"/>
      <w:pPr>
        <w:ind w:left="4112" w:hanging="180"/>
      </w:pPr>
    </w:lvl>
    <w:lvl w:ilvl="3" w:tplc="0816000F" w:tentative="1">
      <w:start w:val="1"/>
      <w:numFmt w:val="decimal"/>
      <w:lvlText w:val="%4."/>
      <w:lvlJc w:val="left"/>
      <w:pPr>
        <w:ind w:left="4832" w:hanging="360"/>
      </w:pPr>
    </w:lvl>
    <w:lvl w:ilvl="4" w:tplc="08160019" w:tentative="1">
      <w:start w:val="1"/>
      <w:numFmt w:val="lowerLetter"/>
      <w:lvlText w:val="%5."/>
      <w:lvlJc w:val="left"/>
      <w:pPr>
        <w:ind w:left="5552" w:hanging="360"/>
      </w:pPr>
    </w:lvl>
    <w:lvl w:ilvl="5" w:tplc="0816001B" w:tentative="1">
      <w:start w:val="1"/>
      <w:numFmt w:val="lowerRoman"/>
      <w:lvlText w:val="%6."/>
      <w:lvlJc w:val="right"/>
      <w:pPr>
        <w:ind w:left="6272" w:hanging="180"/>
      </w:pPr>
    </w:lvl>
    <w:lvl w:ilvl="6" w:tplc="0816000F" w:tentative="1">
      <w:start w:val="1"/>
      <w:numFmt w:val="decimal"/>
      <w:lvlText w:val="%7."/>
      <w:lvlJc w:val="left"/>
      <w:pPr>
        <w:ind w:left="6992" w:hanging="360"/>
      </w:pPr>
    </w:lvl>
    <w:lvl w:ilvl="7" w:tplc="08160019" w:tentative="1">
      <w:start w:val="1"/>
      <w:numFmt w:val="lowerLetter"/>
      <w:lvlText w:val="%8."/>
      <w:lvlJc w:val="left"/>
      <w:pPr>
        <w:ind w:left="7712" w:hanging="360"/>
      </w:pPr>
    </w:lvl>
    <w:lvl w:ilvl="8" w:tplc="0816001B" w:tentative="1">
      <w:start w:val="1"/>
      <w:numFmt w:val="lowerRoman"/>
      <w:lvlText w:val="%9."/>
      <w:lvlJc w:val="right"/>
      <w:pPr>
        <w:ind w:left="8432" w:hanging="180"/>
      </w:pPr>
    </w:lvl>
  </w:abstractNum>
  <w:abstractNum w:abstractNumId="38" w15:restartNumberingAfterBreak="0">
    <w:nsid w:val="4F9418F5"/>
    <w:multiLevelType w:val="hybridMultilevel"/>
    <w:tmpl w:val="3A1490E8"/>
    <w:lvl w:ilvl="0" w:tplc="EC3A1064">
      <w:start w:val="1"/>
      <w:numFmt w:val="lowerRoman"/>
      <w:lvlText w:val="%1)"/>
      <w:lvlJc w:val="left"/>
      <w:pPr>
        <w:ind w:left="1068" w:hanging="360"/>
      </w:pPr>
      <w:rPr>
        <w:i/>
      </w:rPr>
    </w:lvl>
    <w:lvl w:ilvl="1" w:tplc="08160019">
      <w:start w:val="1"/>
      <w:numFmt w:val="lowerLetter"/>
      <w:lvlText w:val="%2."/>
      <w:lvlJc w:val="left"/>
      <w:pPr>
        <w:ind w:left="1788" w:hanging="360"/>
      </w:pPr>
    </w:lvl>
    <w:lvl w:ilvl="2" w:tplc="0816001B">
      <w:start w:val="1"/>
      <w:numFmt w:val="lowerRoman"/>
      <w:lvlText w:val="%3."/>
      <w:lvlJc w:val="right"/>
      <w:pPr>
        <w:ind w:left="2508" w:hanging="180"/>
      </w:pPr>
    </w:lvl>
    <w:lvl w:ilvl="3" w:tplc="0816000F">
      <w:start w:val="1"/>
      <w:numFmt w:val="decimal"/>
      <w:lvlText w:val="%4."/>
      <w:lvlJc w:val="left"/>
      <w:pPr>
        <w:ind w:left="3228" w:hanging="360"/>
      </w:pPr>
    </w:lvl>
    <w:lvl w:ilvl="4" w:tplc="08160019">
      <w:start w:val="1"/>
      <w:numFmt w:val="lowerLetter"/>
      <w:lvlText w:val="%5."/>
      <w:lvlJc w:val="left"/>
      <w:pPr>
        <w:ind w:left="3948" w:hanging="360"/>
      </w:pPr>
    </w:lvl>
    <w:lvl w:ilvl="5" w:tplc="0816001B">
      <w:start w:val="1"/>
      <w:numFmt w:val="lowerRoman"/>
      <w:lvlText w:val="%6."/>
      <w:lvlJc w:val="right"/>
      <w:pPr>
        <w:ind w:left="4668" w:hanging="180"/>
      </w:pPr>
    </w:lvl>
    <w:lvl w:ilvl="6" w:tplc="0816000F">
      <w:start w:val="1"/>
      <w:numFmt w:val="decimal"/>
      <w:lvlText w:val="%7."/>
      <w:lvlJc w:val="left"/>
      <w:pPr>
        <w:ind w:left="5388" w:hanging="360"/>
      </w:pPr>
    </w:lvl>
    <w:lvl w:ilvl="7" w:tplc="08160019">
      <w:start w:val="1"/>
      <w:numFmt w:val="lowerLetter"/>
      <w:lvlText w:val="%8."/>
      <w:lvlJc w:val="left"/>
      <w:pPr>
        <w:ind w:left="6108" w:hanging="360"/>
      </w:pPr>
    </w:lvl>
    <w:lvl w:ilvl="8" w:tplc="0816001B">
      <w:start w:val="1"/>
      <w:numFmt w:val="lowerRoman"/>
      <w:lvlText w:val="%9."/>
      <w:lvlJc w:val="right"/>
      <w:pPr>
        <w:ind w:left="6828" w:hanging="180"/>
      </w:pPr>
    </w:lvl>
  </w:abstractNum>
  <w:abstractNum w:abstractNumId="39" w15:restartNumberingAfterBreak="0">
    <w:nsid w:val="50F6432A"/>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0" w15:restartNumberingAfterBreak="0">
    <w:nsid w:val="53FF195F"/>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1" w15:restartNumberingAfterBreak="0">
    <w:nsid w:val="54F45FE2"/>
    <w:multiLevelType w:val="multilevel"/>
    <w:tmpl w:val="FC9817B0"/>
    <w:lvl w:ilvl="0">
      <w:start w:val="1"/>
      <w:numFmt w:val="decimal"/>
      <w:lvlText w:val="%1)"/>
      <w:lvlJc w:val="left"/>
      <w:pPr>
        <w:ind w:left="360" w:hanging="360"/>
      </w:pPr>
    </w:lvl>
    <w:lvl w:ilvl="1">
      <w:start w:val="1"/>
      <w:numFmt w:val="lowerLetter"/>
      <w:lvlText w:val="%2)"/>
      <w:lvlJc w:val="left"/>
      <w:pPr>
        <w:ind w:left="720" w:hanging="360"/>
      </w:pPr>
      <w:rPr>
        <w: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570A5F79"/>
    <w:multiLevelType w:val="hybridMultilevel"/>
    <w:tmpl w:val="32EA86F2"/>
    <w:lvl w:ilvl="0" w:tplc="CD6AEA76">
      <w:start w:val="1"/>
      <w:numFmt w:val="upperRoman"/>
      <w:pStyle w:val="Heading1"/>
      <w:lvlText w:val="CHAPTER %1"/>
      <w:lvlJc w:val="left"/>
      <w:pPr>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3" w15:restartNumberingAfterBreak="0">
    <w:nsid w:val="572F726B"/>
    <w:multiLevelType w:val="hybridMultilevel"/>
    <w:tmpl w:val="2236D358"/>
    <w:lvl w:ilvl="0" w:tplc="54D85534">
      <w:start w:val="1"/>
      <w:numFmt w:val="decimal"/>
      <w:pStyle w:val="Heading2"/>
      <w:lvlText w:val="Artigo %1.º"/>
      <w:lvlJc w:val="left"/>
      <w:pPr>
        <w:ind w:left="5400" w:hanging="360"/>
      </w:pPr>
      <w:rPr>
        <w:rFonts w:hint="default"/>
        <w:b w:val="0"/>
      </w:rPr>
    </w:lvl>
    <w:lvl w:ilvl="1" w:tplc="08160019" w:tentative="1">
      <w:start w:val="1"/>
      <w:numFmt w:val="lowerLetter"/>
      <w:lvlText w:val="%2."/>
      <w:lvlJc w:val="left"/>
      <w:pPr>
        <w:ind w:left="-2026" w:hanging="360"/>
      </w:pPr>
    </w:lvl>
    <w:lvl w:ilvl="2" w:tplc="0816001B" w:tentative="1">
      <w:start w:val="1"/>
      <w:numFmt w:val="lowerRoman"/>
      <w:lvlText w:val="%3."/>
      <w:lvlJc w:val="right"/>
      <w:pPr>
        <w:ind w:left="-1306" w:hanging="180"/>
      </w:pPr>
    </w:lvl>
    <w:lvl w:ilvl="3" w:tplc="0816000F" w:tentative="1">
      <w:start w:val="1"/>
      <w:numFmt w:val="decimal"/>
      <w:lvlText w:val="%4."/>
      <w:lvlJc w:val="left"/>
      <w:pPr>
        <w:ind w:left="-586" w:hanging="360"/>
      </w:pPr>
    </w:lvl>
    <w:lvl w:ilvl="4" w:tplc="08160019" w:tentative="1">
      <w:start w:val="1"/>
      <w:numFmt w:val="lowerLetter"/>
      <w:lvlText w:val="%5."/>
      <w:lvlJc w:val="left"/>
      <w:pPr>
        <w:ind w:left="134" w:hanging="360"/>
      </w:pPr>
    </w:lvl>
    <w:lvl w:ilvl="5" w:tplc="0816001B" w:tentative="1">
      <w:start w:val="1"/>
      <w:numFmt w:val="lowerRoman"/>
      <w:lvlText w:val="%6."/>
      <w:lvlJc w:val="right"/>
      <w:pPr>
        <w:ind w:left="854" w:hanging="180"/>
      </w:pPr>
    </w:lvl>
    <w:lvl w:ilvl="6" w:tplc="0816000F" w:tentative="1">
      <w:start w:val="1"/>
      <w:numFmt w:val="decimal"/>
      <w:lvlText w:val="%7."/>
      <w:lvlJc w:val="left"/>
      <w:pPr>
        <w:ind w:left="1574" w:hanging="360"/>
      </w:pPr>
    </w:lvl>
    <w:lvl w:ilvl="7" w:tplc="08160019" w:tentative="1">
      <w:start w:val="1"/>
      <w:numFmt w:val="lowerLetter"/>
      <w:lvlText w:val="%8."/>
      <w:lvlJc w:val="left"/>
      <w:pPr>
        <w:ind w:left="2294" w:hanging="360"/>
      </w:pPr>
    </w:lvl>
    <w:lvl w:ilvl="8" w:tplc="0816001B" w:tentative="1">
      <w:start w:val="1"/>
      <w:numFmt w:val="lowerRoman"/>
      <w:lvlText w:val="%9."/>
      <w:lvlJc w:val="right"/>
      <w:pPr>
        <w:ind w:left="3014" w:hanging="180"/>
      </w:pPr>
    </w:lvl>
  </w:abstractNum>
  <w:abstractNum w:abstractNumId="44" w15:restartNumberingAfterBreak="0">
    <w:nsid w:val="573C4F20"/>
    <w:multiLevelType w:val="hybridMultilevel"/>
    <w:tmpl w:val="23EC7F56"/>
    <w:lvl w:ilvl="0" w:tplc="9BB280BA">
      <w:start w:val="1"/>
      <w:numFmt w:val="lowerLetter"/>
      <w:lvlText w:val="%1)"/>
      <w:lvlJc w:val="left"/>
      <w:pPr>
        <w:ind w:left="1080" w:hanging="360"/>
      </w:pPr>
      <w:rPr>
        <w:i/>
      </w:rPr>
    </w:lvl>
    <w:lvl w:ilvl="1" w:tplc="08160019">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45" w15:restartNumberingAfterBreak="0">
    <w:nsid w:val="593C1F19"/>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6" w15:restartNumberingAfterBreak="0">
    <w:nsid w:val="60141F53"/>
    <w:multiLevelType w:val="hybridMultilevel"/>
    <w:tmpl w:val="D8A833BC"/>
    <w:lvl w:ilvl="0" w:tplc="1348FCFE">
      <w:start w:val="1"/>
      <w:numFmt w:val="lowerLetter"/>
      <w:lvlText w:val="%1)"/>
      <w:lvlJc w:val="left"/>
      <w:pPr>
        <w:ind w:left="720" w:hanging="360"/>
      </w:pPr>
      <w:rPr>
        <w:rFonts w:hint="default"/>
        <w:i/>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2B4682E0">
      <w:start w:val="1"/>
      <w:numFmt w:val="decimal"/>
      <w:lvlText w:val="%4 -"/>
      <w:lvlJc w:val="left"/>
      <w:pPr>
        <w:ind w:left="928" w:hanging="360"/>
      </w:pPr>
      <w:rPr>
        <w:rFonts w:hint="default"/>
      </w:r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47" w15:restartNumberingAfterBreak="0">
    <w:nsid w:val="603345C6"/>
    <w:multiLevelType w:val="hybridMultilevel"/>
    <w:tmpl w:val="FB5A2F40"/>
    <w:lvl w:ilvl="0" w:tplc="2B4682E0">
      <w:start w:val="1"/>
      <w:numFmt w:val="decimal"/>
      <w:lvlText w:val="%1 -"/>
      <w:lvlJc w:val="left"/>
      <w:pPr>
        <w:ind w:left="1920" w:hanging="360"/>
      </w:pPr>
      <w:rPr>
        <w:rFonts w:hint="default"/>
      </w:rPr>
    </w:lvl>
    <w:lvl w:ilvl="1" w:tplc="08160019">
      <w:start w:val="1"/>
      <w:numFmt w:val="lowerLetter"/>
      <w:lvlText w:val="%2."/>
      <w:lvlJc w:val="left"/>
      <w:pPr>
        <w:ind w:left="2411" w:hanging="360"/>
      </w:pPr>
    </w:lvl>
    <w:lvl w:ilvl="2" w:tplc="EC3A1064">
      <w:start w:val="1"/>
      <w:numFmt w:val="lowerRoman"/>
      <w:lvlText w:val="%3)"/>
      <w:lvlJc w:val="left"/>
      <w:pPr>
        <w:ind w:left="3360" w:hanging="180"/>
      </w:pPr>
      <w:rPr>
        <w:i/>
      </w:rPr>
    </w:lvl>
    <w:lvl w:ilvl="3" w:tplc="0816000F" w:tentative="1">
      <w:start w:val="1"/>
      <w:numFmt w:val="decimal"/>
      <w:lvlText w:val="%4."/>
      <w:lvlJc w:val="left"/>
      <w:pPr>
        <w:ind w:left="4080" w:hanging="360"/>
      </w:pPr>
    </w:lvl>
    <w:lvl w:ilvl="4" w:tplc="08160019" w:tentative="1">
      <w:start w:val="1"/>
      <w:numFmt w:val="lowerLetter"/>
      <w:lvlText w:val="%5."/>
      <w:lvlJc w:val="left"/>
      <w:pPr>
        <w:ind w:left="4800" w:hanging="360"/>
      </w:pPr>
    </w:lvl>
    <w:lvl w:ilvl="5" w:tplc="0816001B" w:tentative="1">
      <w:start w:val="1"/>
      <w:numFmt w:val="lowerRoman"/>
      <w:lvlText w:val="%6."/>
      <w:lvlJc w:val="right"/>
      <w:pPr>
        <w:ind w:left="5520" w:hanging="180"/>
      </w:pPr>
    </w:lvl>
    <w:lvl w:ilvl="6" w:tplc="0816000F" w:tentative="1">
      <w:start w:val="1"/>
      <w:numFmt w:val="decimal"/>
      <w:lvlText w:val="%7."/>
      <w:lvlJc w:val="left"/>
      <w:pPr>
        <w:ind w:left="6240" w:hanging="360"/>
      </w:pPr>
    </w:lvl>
    <w:lvl w:ilvl="7" w:tplc="08160019" w:tentative="1">
      <w:start w:val="1"/>
      <w:numFmt w:val="lowerLetter"/>
      <w:lvlText w:val="%8."/>
      <w:lvlJc w:val="left"/>
      <w:pPr>
        <w:ind w:left="6960" w:hanging="360"/>
      </w:pPr>
    </w:lvl>
    <w:lvl w:ilvl="8" w:tplc="0816001B" w:tentative="1">
      <w:start w:val="1"/>
      <w:numFmt w:val="lowerRoman"/>
      <w:lvlText w:val="%9."/>
      <w:lvlJc w:val="right"/>
      <w:pPr>
        <w:ind w:left="7680" w:hanging="180"/>
      </w:pPr>
    </w:lvl>
  </w:abstractNum>
  <w:abstractNum w:abstractNumId="48" w15:restartNumberingAfterBreak="0">
    <w:nsid w:val="615C4592"/>
    <w:multiLevelType w:val="hybridMultilevel"/>
    <w:tmpl w:val="8B78239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9" w15:restartNumberingAfterBreak="0">
    <w:nsid w:val="61820723"/>
    <w:multiLevelType w:val="hybridMultilevel"/>
    <w:tmpl w:val="E5069E18"/>
    <w:lvl w:ilvl="0" w:tplc="703E7332">
      <w:start w:val="1"/>
      <w:numFmt w:val="lowerLetter"/>
      <w:lvlText w:val="%1)"/>
      <w:lvlJc w:val="left"/>
      <w:pPr>
        <w:ind w:left="720" w:hanging="360"/>
      </w:pPr>
      <w:rPr>
        <w:i/>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2B4682E0">
      <w:start w:val="1"/>
      <w:numFmt w:val="decimal"/>
      <w:lvlText w:val="%4 -"/>
      <w:lvlJc w:val="left"/>
      <w:pPr>
        <w:ind w:left="928" w:hanging="360"/>
      </w:pPr>
      <w:rPr>
        <w:rFonts w:hint="default"/>
      </w:r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50" w15:restartNumberingAfterBreak="0">
    <w:nsid w:val="61C75E52"/>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1" w15:restartNumberingAfterBreak="0">
    <w:nsid w:val="62C60394"/>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2" w15:restartNumberingAfterBreak="0">
    <w:nsid w:val="64560072"/>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3" w15:restartNumberingAfterBreak="0">
    <w:nsid w:val="64736F18"/>
    <w:multiLevelType w:val="hybridMultilevel"/>
    <w:tmpl w:val="5C606C2C"/>
    <w:lvl w:ilvl="0" w:tplc="BDDC2812">
      <w:start w:val="1"/>
      <w:numFmt w:val="lowerRoman"/>
      <w:lvlText w:val="%1)"/>
      <w:lvlJc w:val="right"/>
      <w:pPr>
        <w:ind w:left="1428" w:hanging="360"/>
      </w:pPr>
      <w:rPr>
        <w:rFonts w:hint="default"/>
        <w:b w:val="0"/>
        <w:i/>
      </w:rPr>
    </w:lvl>
    <w:lvl w:ilvl="1" w:tplc="08160019" w:tentative="1">
      <w:start w:val="1"/>
      <w:numFmt w:val="lowerLetter"/>
      <w:lvlText w:val="%2."/>
      <w:lvlJc w:val="left"/>
      <w:pPr>
        <w:ind w:left="2148" w:hanging="360"/>
      </w:pPr>
    </w:lvl>
    <w:lvl w:ilvl="2" w:tplc="EC3A1064">
      <w:start w:val="1"/>
      <w:numFmt w:val="lowerRoman"/>
      <w:lvlText w:val="%3)"/>
      <w:lvlJc w:val="left"/>
      <w:pPr>
        <w:ind w:left="2868" w:hanging="180"/>
      </w:pPr>
      <w:rPr>
        <w:i/>
      </w:rPr>
    </w:lvl>
    <w:lvl w:ilvl="3" w:tplc="0816000F">
      <w:start w:val="1"/>
      <w:numFmt w:val="decimal"/>
      <w:lvlText w:val="%4."/>
      <w:lvlJc w:val="left"/>
      <w:pPr>
        <w:ind w:left="3588" w:hanging="360"/>
      </w:pPr>
    </w:lvl>
    <w:lvl w:ilvl="4" w:tplc="08160019" w:tentative="1">
      <w:start w:val="1"/>
      <w:numFmt w:val="lowerLetter"/>
      <w:lvlText w:val="%5."/>
      <w:lvlJc w:val="left"/>
      <w:pPr>
        <w:ind w:left="4308" w:hanging="360"/>
      </w:pPr>
    </w:lvl>
    <w:lvl w:ilvl="5" w:tplc="0816001B" w:tentative="1">
      <w:start w:val="1"/>
      <w:numFmt w:val="lowerRoman"/>
      <w:lvlText w:val="%6."/>
      <w:lvlJc w:val="right"/>
      <w:pPr>
        <w:ind w:left="5028" w:hanging="180"/>
      </w:pPr>
    </w:lvl>
    <w:lvl w:ilvl="6" w:tplc="0816000F" w:tentative="1">
      <w:start w:val="1"/>
      <w:numFmt w:val="decimal"/>
      <w:lvlText w:val="%7."/>
      <w:lvlJc w:val="left"/>
      <w:pPr>
        <w:ind w:left="5748" w:hanging="360"/>
      </w:pPr>
    </w:lvl>
    <w:lvl w:ilvl="7" w:tplc="08160019" w:tentative="1">
      <w:start w:val="1"/>
      <w:numFmt w:val="lowerLetter"/>
      <w:lvlText w:val="%8."/>
      <w:lvlJc w:val="left"/>
      <w:pPr>
        <w:ind w:left="6468" w:hanging="360"/>
      </w:pPr>
    </w:lvl>
    <w:lvl w:ilvl="8" w:tplc="0816001B" w:tentative="1">
      <w:start w:val="1"/>
      <w:numFmt w:val="lowerRoman"/>
      <w:lvlText w:val="%9."/>
      <w:lvlJc w:val="right"/>
      <w:pPr>
        <w:ind w:left="7188" w:hanging="180"/>
      </w:pPr>
    </w:lvl>
  </w:abstractNum>
  <w:abstractNum w:abstractNumId="54" w15:restartNumberingAfterBreak="0">
    <w:nsid w:val="65D7410C"/>
    <w:multiLevelType w:val="hybridMultilevel"/>
    <w:tmpl w:val="894CA528"/>
    <w:lvl w:ilvl="0" w:tplc="2B4682E0">
      <w:start w:val="1"/>
      <w:numFmt w:val="decimal"/>
      <w:lvlText w:val="%1 -"/>
      <w:lvlJc w:val="left"/>
      <w:pPr>
        <w:ind w:left="2880" w:hanging="360"/>
      </w:pPr>
      <w:rPr>
        <w:rFonts w:hint="default"/>
      </w:rPr>
    </w:lvl>
    <w:lvl w:ilvl="1" w:tplc="08160019" w:tentative="1">
      <w:start w:val="1"/>
      <w:numFmt w:val="lowerLetter"/>
      <w:lvlText w:val="%2."/>
      <w:lvlJc w:val="left"/>
      <w:pPr>
        <w:ind w:left="3392" w:hanging="360"/>
      </w:pPr>
    </w:lvl>
    <w:lvl w:ilvl="2" w:tplc="0816001B" w:tentative="1">
      <w:start w:val="1"/>
      <w:numFmt w:val="lowerRoman"/>
      <w:lvlText w:val="%3."/>
      <w:lvlJc w:val="right"/>
      <w:pPr>
        <w:ind w:left="4112" w:hanging="180"/>
      </w:pPr>
    </w:lvl>
    <w:lvl w:ilvl="3" w:tplc="0816000F" w:tentative="1">
      <w:start w:val="1"/>
      <w:numFmt w:val="decimal"/>
      <w:lvlText w:val="%4."/>
      <w:lvlJc w:val="left"/>
      <w:pPr>
        <w:ind w:left="4832" w:hanging="360"/>
      </w:pPr>
    </w:lvl>
    <w:lvl w:ilvl="4" w:tplc="08160019" w:tentative="1">
      <w:start w:val="1"/>
      <w:numFmt w:val="lowerLetter"/>
      <w:lvlText w:val="%5."/>
      <w:lvlJc w:val="left"/>
      <w:pPr>
        <w:ind w:left="5552" w:hanging="360"/>
      </w:pPr>
    </w:lvl>
    <w:lvl w:ilvl="5" w:tplc="0816001B" w:tentative="1">
      <w:start w:val="1"/>
      <w:numFmt w:val="lowerRoman"/>
      <w:lvlText w:val="%6."/>
      <w:lvlJc w:val="right"/>
      <w:pPr>
        <w:ind w:left="6272" w:hanging="180"/>
      </w:pPr>
    </w:lvl>
    <w:lvl w:ilvl="6" w:tplc="0816000F" w:tentative="1">
      <w:start w:val="1"/>
      <w:numFmt w:val="decimal"/>
      <w:lvlText w:val="%7."/>
      <w:lvlJc w:val="left"/>
      <w:pPr>
        <w:ind w:left="6992" w:hanging="360"/>
      </w:pPr>
    </w:lvl>
    <w:lvl w:ilvl="7" w:tplc="08160019" w:tentative="1">
      <w:start w:val="1"/>
      <w:numFmt w:val="lowerLetter"/>
      <w:lvlText w:val="%8."/>
      <w:lvlJc w:val="left"/>
      <w:pPr>
        <w:ind w:left="7712" w:hanging="360"/>
      </w:pPr>
    </w:lvl>
    <w:lvl w:ilvl="8" w:tplc="0816001B" w:tentative="1">
      <w:start w:val="1"/>
      <w:numFmt w:val="lowerRoman"/>
      <w:lvlText w:val="%9."/>
      <w:lvlJc w:val="right"/>
      <w:pPr>
        <w:ind w:left="8432" w:hanging="180"/>
      </w:pPr>
    </w:lvl>
  </w:abstractNum>
  <w:abstractNum w:abstractNumId="55" w15:restartNumberingAfterBreak="0">
    <w:nsid w:val="66C864AC"/>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6" w15:restartNumberingAfterBreak="0">
    <w:nsid w:val="67126E0D"/>
    <w:multiLevelType w:val="hybridMultilevel"/>
    <w:tmpl w:val="15B0704E"/>
    <w:lvl w:ilvl="0" w:tplc="D1566C1E">
      <w:start w:val="1"/>
      <w:numFmt w:val="upperRoman"/>
      <w:pStyle w:val="Heading3"/>
      <w:lvlText w:val="Annex %1"/>
      <w:lvlJc w:val="left"/>
      <w:pPr>
        <w:ind w:left="720" w:hanging="360"/>
      </w:pPr>
      <w:rPr>
        <w:rFonts w:hint="default"/>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7" w15:restartNumberingAfterBreak="0">
    <w:nsid w:val="6FA67F0D"/>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8" w15:restartNumberingAfterBreak="0">
    <w:nsid w:val="700F4586"/>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9" w15:restartNumberingAfterBreak="0">
    <w:nsid w:val="72A32F8E"/>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0" w15:restartNumberingAfterBreak="0">
    <w:nsid w:val="72EA5288"/>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1" w15:restartNumberingAfterBreak="0">
    <w:nsid w:val="73974408"/>
    <w:multiLevelType w:val="hybridMultilevel"/>
    <w:tmpl w:val="8B78239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2" w15:restartNumberingAfterBreak="0">
    <w:nsid w:val="741F1A1B"/>
    <w:multiLevelType w:val="hybridMultilevel"/>
    <w:tmpl w:val="8B78239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3" w15:restartNumberingAfterBreak="0">
    <w:nsid w:val="74715A9E"/>
    <w:multiLevelType w:val="hybridMultilevel"/>
    <w:tmpl w:val="41CA431A"/>
    <w:lvl w:ilvl="0" w:tplc="2B4682E0">
      <w:start w:val="1"/>
      <w:numFmt w:val="decimal"/>
      <w:lvlText w:val="%1 -"/>
      <w:lvlJc w:val="left"/>
      <w:pPr>
        <w:ind w:left="720" w:hanging="360"/>
      </w:pPr>
      <w:rPr>
        <w:rFonts w:hint="default"/>
      </w:rPr>
    </w:lvl>
    <w:lvl w:ilvl="1" w:tplc="4774ADE4">
      <w:start w:val="1"/>
      <w:numFmt w:val="lowerLetter"/>
      <w:lvlText w:val="%2)"/>
      <w:lvlJc w:val="left"/>
      <w:pPr>
        <w:ind w:left="1440" w:hanging="360"/>
      </w:pPr>
      <w:rPr>
        <w:rFonts w:hint="default"/>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4" w15:restartNumberingAfterBreak="0">
    <w:nsid w:val="78F77A6A"/>
    <w:multiLevelType w:val="multilevel"/>
    <w:tmpl w:val="FC9817B0"/>
    <w:lvl w:ilvl="0">
      <w:start w:val="1"/>
      <w:numFmt w:val="decimal"/>
      <w:lvlText w:val="%1)"/>
      <w:lvlJc w:val="left"/>
      <w:pPr>
        <w:ind w:left="360" w:hanging="360"/>
      </w:pPr>
    </w:lvl>
    <w:lvl w:ilvl="1">
      <w:start w:val="1"/>
      <w:numFmt w:val="lowerLetter"/>
      <w:lvlText w:val="%2)"/>
      <w:lvlJc w:val="left"/>
      <w:pPr>
        <w:ind w:left="720" w:hanging="360"/>
      </w:pPr>
      <w:rPr>
        <w: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7E031AE6"/>
    <w:multiLevelType w:val="hybridMultilevel"/>
    <w:tmpl w:val="8B78239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6" w15:restartNumberingAfterBreak="0">
    <w:nsid w:val="7F2C15CA"/>
    <w:multiLevelType w:val="hybridMultilevel"/>
    <w:tmpl w:val="3A1490E8"/>
    <w:lvl w:ilvl="0" w:tplc="EC3A1064">
      <w:start w:val="1"/>
      <w:numFmt w:val="lowerRoman"/>
      <w:lvlText w:val="%1)"/>
      <w:lvlJc w:val="left"/>
      <w:pPr>
        <w:ind w:left="1068" w:hanging="360"/>
      </w:pPr>
      <w:rPr>
        <w:i/>
      </w:rPr>
    </w:lvl>
    <w:lvl w:ilvl="1" w:tplc="08160019">
      <w:start w:val="1"/>
      <w:numFmt w:val="lowerLetter"/>
      <w:lvlText w:val="%2."/>
      <w:lvlJc w:val="left"/>
      <w:pPr>
        <w:ind w:left="1788" w:hanging="360"/>
      </w:pPr>
    </w:lvl>
    <w:lvl w:ilvl="2" w:tplc="0816001B">
      <w:start w:val="1"/>
      <w:numFmt w:val="lowerRoman"/>
      <w:lvlText w:val="%3."/>
      <w:lvlJc w:val="right"/>
      <w:pPr>
        <w:ind w:left="2508" w:hanging="180"/>
      </w:pPr>
    </w:lvl>
    <w:lvl w:ilvl="3" w:tplc="0816000F">
      <w:start w:val="1"/>
      <w:numFmt w:val="decimal"/>
      <w:lvlText w:val="%4."/>
      <w:lvlJc w:val="left"/>
      <w:pPr>
        <w:ind w:left="3228" w:hanging="360"/>
      </w:pPr>
    </w:lvl>
    <w:lvl w:ilvl="4" w:tplc="08160019">
      <w:start w:val="1"/>
      <w:numFmt w:val="lowerLetter"/>
      <w:lvlText w:val="%5."/>
      <w:lvlJc w:val="left"/>
      <w:pPr>
        <w:ind w:left="3948" w:hanging="360"/>
      </w:pPr>
    </w:lvl>
    <w:lvl w:ilvl="5" w:tplc="0816001B">
      <w:start w:val="1"/>
      <w:numFmt w:val="lowerRoman"/>
      <w:lvlText w:val="%6."/>
      <w:lvlJc w:val="right"/>
      <w:pPr>
        <w:ind w:left="4668" w:hanging="180"/>
      </w:pPr>
    </w:lvl>
    <w:lvl w:ilvl="6" w:tplc="0816000F">
      <w:start w:val="1"/>
      <w:numFmt w:val="decimal"/>
      <w:lvlText w:val="%7."/>
      <w:lvlJc w:val="left"/>
      <w:pPr>
        <w:ind w:left="5388" w:hanging="360"/>
      </w:pPr>
    </w:lvl>
    <w:lvl w:ilvl="7" w:tplc="08160019">
      <w:start w:val="1"/>
      <w:numFmt w:val="lowerLetter"/>
      <w:lvlText w:val="%8."/>
      <w:lvlJc w:val="left"/>
      <w:pPr>
        <w:ind w:left="6108" w:hanging="360"/>
      </w:pPr>
    </w:lvl>
    <w:lvl w:ilvl="8" w:tplc="0816001B">
      <w:start w:val="1"/>
      <w:numFmt w:val="lowerRoman"/>
      <w:lvlText w:val="%9."/>
      <w:lvlJc w:val="right"/>
      <w:pPr>
        <w:ind w:left="6828" w:hanging="180"/>
      </w:pPr>
    </w:lvl>
  </w:abstractNum>
  <w:abstractNum w:abstractNumId="67" w15:restartNumberingAfterBreak="0">
    <w:nsid w:val="7F3C0250"/>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8" w15:restartNumberingAfterBreak="0">
    <w:nsid w:val="7FC626B1"/>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44"/>
  </w:num>
  <w:num w:numId="2">
    <w:abstractNumId w:val="2"/>
  </w:num>
  <w:num w:numId="3">
    <w:abstractNumId w:val="3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num>
  <w:num w:numId="6">
    <w:abstractNumId w:val="43"/>
  </w:num>
  <w:num w:numId="7">
    <w:abstractNumId w:val="53"/>
  </w:num>
  <w:num w:numId="8">
    <w:abstractNumId w:val="56"/>
  </w:num>
  <w:num w:numId="9">
    <w:abstractNumId w:val="14"/>
  </w:num>
  <w:num w:numId="10">
    <w:abstractNumId w:val="27"/>
  </w:num>
  <w:num w:numId="11">
    <w:abstractNumId w:val="0"/>
  </w:num>
  <w:num w:numId="12">
    <w:abstractNumId w:val="49"/>
  </w:num>
  <w:num w:numId="13">
    <w:abstractNumId w:val="62"/>
  </w:num>
  <w:num w:numId="14">
    <w:abstractNumId w:val="47"/>
  </w:num>
  <w:num w:numId="15">
    <w:abstractNumId w:val="64"/>
  </w:num>
  <w:num w:numId="16">
    <w:abstractNumId w:val="52"/>
  </w:num>
  <w:num w:numId="17">
    <w:abstractNumId w:val="22"/>
  </w:num>
  <w:num w:numId="18">
    <w:abstractNumId w:val="63"/>
  </w:num>
  <w:num w:numId="19">
    <w:abstractNumId w:val="50"/>
  </w:num>
  <w:num w:numId="20">
    <w:abstractNumId w:val="20"/>
  </w:num>
  <w:num w:numId="21">
    <w:abstractNumId w:val="15"/>
  </w:num>
  <w:num w:numId="22">
    <w:abstractNumId w:val="39"/>
  </w:num>
  <w:num w:numId="23">
    <w:abstractNumId w:val="68"/>
  </w:num>
  <w:num w:numId="24">
    <w:abstractNumId w:val="40"/>
  </w:num>
  <w:num w:numId="25">
    <w:abstractNumId w:val="11"/>
  </w:num>
  <w:num w:numId="26">
    <w:abstractNumId w:val="7"/>
  </w:num>
  <w:num w:numId="27">
    <w:abstractNumId w:val="51"/>
  </w:num>
  <w:num w:numId="28">
    <w:abstractNumId w:val="8"/>
  </w:num>
  <w:num w:numId="29">
    <w:abstractNumId w:val="21"/>
  </w:num>
  <w:num w:numId="30">
    <w:abstractNumId w:val="1"/>
  </w:num>
  <w:num w:numId="31">
    <w:abstractNumId w:val="18"/>
  </w:num>
  <w:num w:numId="32">
    <w:abstractNumId w:val="61"/>
  </w:num>
  <w:num w:numId="33">
    <w:abstractNumId w:val="55"/>
  </w:num>
  <w:num w:numId="34">
    <w:abstractNumId w:val="16"/>
  </w:num>
  <w:num w:numId="35">
    <w:abstractNumId w:val="57"/>
  </w:num>
  <w:num w:numId="36">
    <w:abstractNumId w:val="65"/>
  </w:num>
  <w:num w:numId="37">
    <w:abstractNumId w:val="25"/>
  </w:num>
  <w:num w:numId="38">
    <w:abstractNumId w:val="19"/>
  </w:num>
  <w:num w:numId="39">
    <w:abstractNumId w:val="28"/>
  </w:num>
  <w:num w:numId="40">
    <w:abstractNumId w:val="48"/>
  </w:num>
  <w:num w:numId="41">
    <w:abstractNumId w:val="3"/>
  </w:num>
  <w:num w:numId="42">
    <w:abstractNumId w:val="26"/>
  </w:num>
  <w:num w:numId="43">
    <w:abstractNumId w:val="23"/>
  </w:num>
  <w:num w:numId="44">
    <w:abstractNumId w:val="6"/>
  </w:num>
  <w:num w:numId="45">
    <w:abstractNumId w:val="66"/>
  </w:num>
  <w:num w:numId="46">
    <w:abstractNumId w:val="58"/>
  </w:num>
  <w:num w:numId="47">
    <w:abstractNumId w:val="37"/>
  </w:num>
  <w:num w:numId="48">
    <w:abstractNumId w:val="32"/>
  </w:num>
  <w:num w:numId="49">
    <w:abstractNumId w:val="46"/>
  </w:num>
  <w:num w:numId="50">
    <w:abstractNumId w:val="54"/>
  </w:num>
  <w:num w:numId="51">
    <w:abstractNumId w:val="30"/>
  </w:num>
  <w:num w:numId="52">
    <w:abstractNumId w:val="34"/>
  </w:num>
  <w:num w:numId="53">
    <w:abstractNumId w:val="17"/>
  </w:num>
  <w:num w:numId="54">
    <w:abstractNumId w:val="24"/>
  </w:num>
  <w:num w:numId="55">
    <w:abstractNumId w:val="13"/>
  </w:num>
  <w:num w:numId="56">
    <w:abstractNumId w:val="12"/>
  </w:num>
  <w:num w:numId="57">
    <w:abstractNumId w:val="41"/>
  </w:num>
  <w:num w:numId="58">
    <w:abstractNumId w:val="35"/>
  </w:num>
  <w:num w:numId="59">
    <w:abstractNumId w:val="31"/>
  </w:num>
  <w:num w:numId="60">
    <w:abstractNumId w:val="29"/>
  </w:num>
  <w:num w:numId="61">
    <w:abstractNumId w:val="36"/>
  </w:num>
  <w:num w:numId="62">
    <w:abstractNumId w:val="33"/>
  </w:num>
  <w:num w:numId="63">
    <w:abstractNumId w:val="59"/>
  </w:num>
  <w:num w:numId="64">
    <w:abstractNumId w:val="67"/>
  </w:num>
  <w:num w:numId="65">
    <w:abstractNumId w:val="10"/>
  </w:num>
  <w:num w:numId="66">
    <w:abstractNumId w:val="60"/>
  </w:num>
  <w:num w:numId="67">
    <w:abstractNumId w:val="45"/>
  </w:num>
  <w:num w:numId="68">
    <w:abstractNumId w:val="9"/>
  </w:num>
  <w:num w:numId="69">
    <w:abstractNumId w:val="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09"/>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757"/>
    <w:rsid w:val="00004334"/>
    <w:rsid w:val="000062E0"/>
    <w:rsid w:val="00006B68"/>
    <w:rsid w:val="00007109"/>
    <w:rsid w:val="00010D04"/>
    <w:rsid w:val="0001108C"/>
    <w:rsid w:val="00014396"/>
    <w:rsid w:val="00014E5F"/>
    <w:rsid w:val="000216F2"/>
    <w:rsid w:val="0002587F"/>
    <w:rsid w:val="00033B03"/>
    <w:rsid w:val="00036184"/>
    <w:rsid w:val="00040333"/>
    <w:rsid w:val="00040D73"/>
    <w:rsid w:val="00041479"/>
    <w:rsid w:val="00045ECB"/>
    <w:rsid w:val="00052FC6"/>
    <w:rsid w:val="00054A1A"/>
    <w:rsid w:val="00054EAE"/>
    <w:rsid w:val="0005584B"/>
    <w:rsid w:val="00055892"/>
    <w:rsid w:val="00057951"/>
    <w:rsid w:val="000600E7"/>
    <w:rsid w:val="00061AA4"/>
    <w:rsid w:val="000624C7"/>
    <w:rsid w:val="0006435A"/>
    <w:rsid w:val="00067FE6"/>
    <w:rsid w:val="00070A0C"/>
    <w:rsid w:val="00073215"/>
    <w:rsid w:val="00077048"/>
    <w:rsid w:val="00081139"/>
    <w:rsid w:val="00081672"/>
    <w:rsid w:val="000843A0"/>
    <w:rsid w:val="00091DD7"/>
    <w:rsid w:val="00091E78"/>
    <w:rsid w:val="00092AED"/>
    <w:rsid w:val="00092BC2"/>
    <w:rsid w:val="000933C0"/>
    <w:rsid w:val="000A440A"/>
    <w:rsid w:val="000A5AF9"/>
    <w:rsid w:val="000A6D64"/>
    <w:rsid w:val="000B1395"/>
    <w:rsid w:val="000B232D"/>
    <w:rsid w:val="000B5D90"/>
    <w:rsid w:val="000C1496"/>
    <w:rsid w:val="000C351A"/>
    <w:rsid w:val="000C5357"/>
    <w:rsid w:val="000C6EEA"/>
    <w:rsid w:val="000C7AD4"/>
    <w:rsid w:val="000D3116"/>
    <w:rsid w:val="000D53C5"/>
    <w:rsid w:val="000E29F8"/>
    <w:rsid w:val="000E33FB"/>
    <w:rsid w:val="000E38BD"/>
    <w:rsid w:val="000F077F"/>
    <w:rsid w:val="000F1553"/>
    <w:rsid w:val="000F5032"/>
    <w:rsid w:val="000F6DCC"/>
    <w:rsid w:val="001012F9"/>
    <w:rsid w:val="0010209F"/>
    <w:rsid w:val="00105C80"/>
    <w:rsid w:val="00116D8C"/>
    <w:rsid w:val="001171C4"/>
    <w:rsid w:val="001222AD"/>
    <w:rsid w:val="00124A0A"/>
    <w:rsid w:val="001257FD"/>
    <w:rsid w:val="0012646D"/>
    <w:rsid w:val="00127D8B"/>
    <w:rsid w:val="0013619A"/>
    <w:rsid w:val="0014162A"/>
    <w:rsid w:val="00144B84"/>
    <w:rsid w:val="001508BE"/>
    <w:rsid w:val="00152321"/>
    <w:rsid w:val="001617A7"/>
    <w:rsid w:val="00162EF3"/>
    <w:rsid w:val="00163405"/>
    <w:rsid w:val="00164BE8"/>
    <w:rsid w:val="00165ADE"/>
    <w:rsid w:val="00166A58"/>
    <w:rsid w:val="00170628"/>
    <w:rsid w:val="00171A5A"/>
    <w:rsid w:val="00172DCA"/>
    <w:rsid w:val="00172E85"/>
    <w:rsid w:val="0018147D"/>
    <w:rsid w:val="00182AD4"/>
    <w:rsid w:val="00186111"/>
    <w:rsid w:val="00190667"/>
    <w:rsid w:val="001912BE"/>
    <w:rsid w:val="001976FC"/>
    <w:rsid w:val="00197BF8"/>
    <w:rsid w:val="001A0286"/>
    <w:rsid w:val="001A4AAD"/>
    <w:rsid w:val="001A4D54"/>
    <w:rsid w:val="001B0B31"/>
    <w:rsid w:val="001C5248"/>
    <w:rsid w:val="001C5980"/>
    <w:rsid w:val="001C632F"/>
    <w:rsid w:val="001D278E"/>
    <w:rsid w:val="001D3C9D"/>
    <w:rsid w:val="001D4FEE"/>
    <w:rsid w:val="001D7D5A"/>
    <w:rsid w:val="001E0B00"/>
    <w:rsid w:val="001E12B7"/>
    <w:rsid w:val="001E337A"/>
    <w:rsid w:val="001E4779"/>
    <w:rsid w:val="001F4E2F"/>
    <w:rsid w:val="001F7456"/>
    <w:rsid w:val="00200376"/>
    <w:rsid w:val="00201636"/>
    <w:rsid w:val="00205C37"/>
    <w:rsid w:val="00216CAB"/>
    <w:rsid w:val="002310F9"/>
    <w:rsid w:val="00231C0A"/>
    <w:rsid w:val="0023255A"/>
    <w:rsid w:val="0023346E"/>
    <w:rsid w:val="00241552"/>
    <w:rsid w:val="002421EA"/>
    <w:rsid w:val="002521A7"/>
    <w:rsid w:val="0025489D"/>
    <w:rsid w:val="00262186"/>
    <w:rsid w:val="00263C94"/>
    <w:rsid w:val="00271F5B"/>
    <w:rsid w:val="0027294A"/>
    <w:rsid w:val="00272EF8"/>
    <w:rsid w:val="0027492F"/>
    <w:rsid w:val="00275E26"/>
    <w:rsid w:val="00276240"/>
    <w:rsid w:val="0027658F"/>
    <w:rsid w:val="00280359"/>
    <w:rsid w:val="0028259B"/>
    <w:rsid w:val="002845B5"/>
    <w:rsid w:val="00284CB1"/>
    <w:rsid w:val="002856D7"/>
    <w:rsid w:val="00285B71"/>
    <w:rsid w:val="002943D5"/>
    <w:rsid w:val="002A1520"/>
    <w:rsid w:val="002A32BE"/>
    <w:rsid w:val="002B07FB"/>
    <w:rsid w:val="002B3376"/>
    <w:rsid w:val="002B37F4"/>
    <w:rsid w:val="002B499A"/>
    <w:rsid w:val="002B4BF3"/>
    <w:rsid w:val="002B55CA"/>
    <w:rsid w:val="002D5416"/>
    <w:rsid w:val="002E1128"/>
    <w:rsid w:val="002E1C35"/>
    <w:rsid w:val="002E39C6"/>
    <w:rsid w:val="002F0C08"/>
    <w:rsid w:val="002F5600"/>
    <w:rsid w:val="002F5931"/>
    <w:rsid w:val="002F5B07"/>
    <w:rsid w:val="002F684F"/>
    <w:rsid w:val="0030214C"/>
    <w:rsid w:val="00302848"/>
    <w:rsid w:val="003035F6"/>
    <w:rsid w:val="003067B2"/>
    <w:rsid w:val="00307CFE"/>
    <w:rsid w:val="003120A6"/>
    <w:rsid w:val="003146BB"/>
    <w:rsid w:val="003163DE"/>
    <w:rsid w:val="003176D3"/>
    <w:rsid w:val="00317D24"/>
    <w:rsid w:val="003207BA"/>
    <w:rsid w:val="003241D2"/>
    <w:rsid w:val="00324CCE"/>
    <w:rsid w:val="003279D7"/>
    <w:rsid w:val="00327A73"/>
    <w:rsid w:val="003307FF"/>
    <w:rsid w:val="00330E63"/>
    <w:rsid w:val="0033525C"/>
    <w:rsid w:val="0034515E"/>
    <w:rsid w:val="003517C6"/>
    <w:rsid w:val="00351C72"/>
    <w:rsid w:val="0035214A"/>
    <w:rsid w:val="00355C0C"/>
    <w:rsid w:val="003679EF"/>
    <w:rsid w:val="0037079D"/>
    <w:rsid w:val="00371285"/>
    <w:rsid w:val="00373A84"/>
    <w:rsid w:val="00380A5C"/>
    <w:rsid w:val="0038660E"/>
    <w:rsid w:val="00390143"/>
    <w:rsid w:val="003929D2"/>
    <w:rsid w:val="003955BA"/>
    <w:rsid w:val="00397243"/>
    <w:rsid w:val="00397D00"/>
    <w:rsid w:val="003A31EA"/>
    <w:rsid w:val="003A4480"/>
    <w:rsid w:val="003A48D5"/>
    <w:rsid w:val="003A568F"/>
    <w:rsid w:val="003A6EB6"/>
    <w:rsid w:val="003B1E95"/>
    <w:rsid w:val="003B2C53"/>
    <w:rsid w:val="003B40FD"/>
    <w:rsid w:val="003B6098"/>
    <w:rsid w:val="003B738C"/>
    <w:rsid w:val="003B7AD3"/>
    <w:rsid w:val="003B7CDD"/>
    <w:rsid w:val="003B7D3E"/>
    <w:rsid w:val="003B7EF0"/>
    <w:rsid w:val="003C2FA4"/>
    <w:rsid w:val="003C5F97"/>
    <w:rsid w:val="003D077F"/>
    <w:rsid w:val="003D0F20"/>
    <w:rsid w:val="003E2913"/>
    <w:rsid w:val="003E48A6"/>
    <w:rsid w:val="003E7269"/>
    <w:rsid w:val="003F14EA"/>
    <w:rsid w:val="003F3CD8"/>
    <w:rsid w:val="003F40CB"/>
    <w:rsid w:val="003F42AF"/>
    <w:rsid w:val="003F5B7B"/>
    <w:rsid w:val="003F5BA9"/>
    <w:rsid w:val="003F6B93"/>
    <w:rsid w:val="004010E0"/>
    <w:rsid w:val="00401F93"/>
    <w:rsid w:val="0040499B"/>
    <w:rsid w:val="004060D1"/>
    <w:rsid w:val="004072AD"/>
    <w:rsid w:val="00407DEE"/>
    <w:rsid w:val="00410873"/>
    <w:rsid w:val="00412F32"/>
    <w:rsid w:val="00412FEF"/>
    <w:rsid w:val="00417E45"/>
    <w:rsid w:val="00423282"/>
    <w:rsid w:val="004243A1"/>
    <w:rsid w:val="00433A38"/>
    <w:rsid w:val="0043511D"/>
    <w:rsid w:val="004352AA"/>
    <w:rsid w:val="004366EF"/>
    <w:rsid w:val="004400C2"/>
    <w:rsid w:val="004412FD"/>
    <w:rsid w:val="0044301E"/>
    <w:rsid w:val="00444B37"/>
    <w:rsid w:val="0045113B"/>
    <w:rsid w:val="00451876"/>
    <w:rsid w:val="004526A9"/>
    <w:rsid w:val="00452EC4"/>
    <w:rsid w:val="004551A4"/>
    <w:rsid w:val="00455329"/>
    <w:rsid w:val="00460F43"/>
    <w:rsid w:val="0046301F"/>
    <w:rsid w:val="004728F7"/>
    <w:rsid w:val="00480D92"/>
    <w:rsid w:val="004829AB"/>
    <w:rsid w:val="004854CF"/>
    <w:rsid w:val="00485945"/>
    <w:rsid w:val="00486308"/>
    <w:rsid w:val="004864E7"/>
    <w:rsid w:val="004A192F"/>
    <w:rsid w:val="004A2BF1"/>
    <w:rsid w:val="004A318C"/>
    <w:rsid w:val="004A480B"/>
    <w:rsid w:val="004A6360"/>
    <w:rsid w:val="004B3546"/>
    <w:rsid w:val="004B632A"/>
    <w:rsid w:val="004C6401"/>
    <w:rsid w:val="004C777A"/>
    <w:rsid w:val="004D1142"/>
    <w:rsid w:val="004E09D6"/>
    <w:rsid w:val="004E1231"/>
    <w:rsid w:val="004E62F8"/>
    <w:rsid w:val="004F01C9"/>
    <w:rsid w:val="004F67BE"/>
    <w:rsid w:val="004F6945"/>
    <w:rsid w:val="004F7464"/>
    <w:rsid w:val="00500119"/>
    <w:rsid w:val="005016C9"/>
    <w:rsid w:val="00502353"/>
    <w:rsid w:val="005109DB"/>
    <w:rsid w:val="005130A5"/>
    <w:rsid w:val="00513C36"/>
    <w:rsid w:val="005143F2"/>
    <w:rsid w:val="00522335"/>
    <w:rsid w:val="0052378C"/>
    <w:rsid w:val="005248A7"/>
    <w:rsid w:val="00536AC7"/>
    <w:rsid w:val="00537243"/>
    <w:rsid w:val="00540495"/>
    <w:rsid w:val="005414C1"/>
    <w:rsid w:val="00541F00"/>
    <w:rsid w:val="00542A5A"/>
    <w:rsid w:val="00544073"/>
    <w:rsid w:val="0055353E"/>
    <w:rsid w:val="00562DB6"/>
    <w:rsid w:val="005630B1"/>
    <w:rsid w:val="005644EA"/>
    <w:rsid w:val="005665D8"/>
    <w:rsid w:val="00567B64"/>
    <w:rsid w:val="00573522"/>
    <w:rsid w:val="00575347"/>
    <w:rsid w:val="005760FA"/>
    <w:rsid w:val="00580E90"/>
    <w:rsid w:val="00583B4E"/>
    <w:rsid w:val="00583C6E"/>
    <w:rsid w:val="00586839"/>
    <w:rsid w:val="00586A43"/>
    <w:rsid w:val="00590C52"/>
    <w:rsid w:val="00590D62"/>
    <w:rsid w:val="005A5E59"/>
    <w:rsid w:val="005B7604"/>
    <w:rsid w:val="005B7E3F"/>
    <w:rsid w:val="005C2187"/>
    <w:rsid w:val="005C584A"/>
    <w:rsid w:val="005C70F1"/>
    <w:rsid w:val="005C719D"/>
    <w:rsid w:val="005D2783"/>
    <w:rsid w:val="005D3824"/>
    <w:rsid w:val="005D508B"/>
    <w:rsid w:val="005D68EA"/>
    <w:rsid w:val="005E08E7"/>
    <w:rsid w:val="005E5AC3"/>
    <w:rsid w:val="005E70D6"/>
    <w:rsid w:val="005F1FD7"/>
    <w:rsid w:val="005F417E"/>
    <w:rsid w:val="005F42E9"/>
    <w:rsid w:val="005F5411"/>
    <w:rsid w:val="00600886"/>
    <w:rsid w:val="00602922"/>
    <w:rsid w:val="006079A7"/>
    <w:rsid w:val="006139D1"/>
    <w:rsid w:val="00615E24"/>
    <w:rsid w:val="006236DA"/>
    <w:rsid w:val="00627930"/>
    <w:rsid w:val="00630471"/>
    <w:rsid w:val="00632F42"/>
    <w:rsid w:val="00633146"/>
    <w:rsid w:val="006336DE"/>
    <w:rsid w:val="0063372A"/>
    <w:rsid w:val="0063711A"/>
    <w:rsid w:val="00637341"/>
    <w:rsid w:val="00640B81"/>
    <w:rsid w:val="006418B1"/>
    <w:rsid w:val="00644A07"/>
    <w:rsid w:val="00647079"/>
    <w:rsid w:val="0065229B"/>
    <w:rsid w:val="006539B8"/>
    <w:rsid w:val="00655287"/>
    <w:rsid w:val="00660F8D"/>
    <w:rsid w:val="006610EC"/>
    <w:rsid w:val="00661287"/>
    <w:rsid w:val="00664F99"/>
    <w:rsid w:val="0066664C"/>
    <w:rsid w:val="006670DD"/>
    <w:rsid w:val="0066757C"/>
    <w:rsid w:val="00667FE9"/>
    <w:rsid w:val="00671CF1"/>
    <w:rsid w:val="006802F6"/>
    <w:rsid w:val="006804AE"/>
    <w:rsid w:val="00687AAA"/>
    <w:rsid w:val="00687CC3"/>
    <w:rsid w:val="00690F31"/>
    <w:rsid w:val="0069117E"/>
    <w:rsid w:val="006923D5"/>
    <w:rsid w:val="00694109"/>
    <w:rsid w:val="0069538A"/>
    <w:rsid w:val="00697A64"/>
    <w:rsid w:val="006A0EC2"/>
    <w:rsid w:val="006A3393"/>
    <w:rsid w:val="006A48D0"/>
    <w:rsid w:val="006A5C0B"/>
    <w:rsid w:val="006A5FE8"/>
    <w:rsid w:val="006A6A15"/>
    <w:rsid w:val="006B0045"/>
    <w:rsid w:val="006B0668"/>
    <w:rsid w:val="006B1ABC"/>
    <w:rsid w:val="006B2A11"/>
    <w:rsid w:val="006C58E5"/>
    <w:rsid w:val="006C7BE2"/>
    <w:rsid w:val="006D472D"/>
    <w:rsid w:val="006D7B8B"/>
    <w:rsid w:val="006E492C"/>
    <w:rsid w:val="006E5E19"/>
    <w:rsid w:val="006E6B90"/>
    <w:rsid w:val="006F23E4"/>
    <w:rsid w:val="00700314"/>
    <w:rsid w:val="00701DFF"/>
    <w:rsid w:val="00702B09"/>
    <w:rsid w:val="00710998"/>
    <w:rsid w:val="0071171C"/>
    <w:rsid w:val="00714103"/>
    <w:rsid w:val="00720039"/>
    <w:rsid w:val="00720090"/>
    <w:rsid w:val="00726285"/>
    <w:rsid w:val="00727AB1"/>
    <w:rsid w:val="007311B2"/>
    <w:rsid w:val="0073210C"/>
    <w:rsid w:val="0073669A"/>
    <w:rsid w:val="0073716A"/>
    <w:rsid w:val="00737467"/>
    <w:rsid w:val="0074102C"/>
    <w:rsid w:val="00742CC9"/>
    <w:rsid w:val="00742FDD"/>
    <w:rsid w:val="00743415"/>
    <w:rsid w:val="007443AC"/>
    <w:rsid w:val="00745A82"/>
    <w:rsid w:val="00745F8D"/>
    <w:rsid w:val="00747BE6"/>
    <w:rsid w:val="007501D7"/>
    <w:rsid w:val="0075174E"/>
    <w:rsid w:val="00757BC4"/>
    <w:rsid w:val="00757D3C"/>
    <w:rsid w:val="0076137D"/>
    <w:rsid w:val="007627B3"/>
    <w:rsid w:val="00767829"/>
    <w:rsid w:val="00771237"/>
    <w:rsid w:val="00780E56"/>
    <w:rsid w:val="00786257"/>
    <w:rsid w:val="00786C9D"/>
    <w:rsid w:val="007879A9"/>
    <w:rsid w:val="007922B0"/>
    <w:rsid w:val="00794BCB"/>
    <w:rsid w:val="00796318"/>
    <w:rsid w:val="007A078C"/>
    <w:rsid w:val="007A09FC"/>
    <w:rsid w:val="007A4B3C"/>
    <w:rsid w:val="007A4E87"/>
    <w:rsid w:val="007A7C70"/>
    <w:rsid w:val="007B286C"/>
    <w:rsid w:val="007B2E82"/>
    <w:rsid w:val="007B6FE0"/>
    <w:rsid w:val="007B7409"/>
    <w:rsid w:val="007C0F01"/>
    <w:rsid w:val="007C610D"/>
    <w:rsid w:val="007C6D38"/>
    <w:rsid w:val="007D2095"/>
    <w:rsid w:val="007D5D97"/>
    <w:rsid w:val="007E04D1"/>
    <w:rsid w:val="007E0AD6"/>
    <w:rsid w:val="007E1EED"/>
    <w:rsid w:val="007E35A4"/>
    <w:rsid w:val="007E41E8"/>
    <w:rsid w:val="007E651E"/>
    <w:rsid w:val="007F022A"/>
    <w:rsid w:val="007F0AD8"/>
    <w:rsid w:val="008018E8"/>
    <w:rsid w:val="00801916"/>
    <w:rsid w:val="00805BAF"/>
    <w:rsid w:val="00815B0E"/>
    <w:rsid w:val="0082184E"/>
    <w:rsid w:val="00824535"/>
    <w:rsid w:val="00825CC5"/>
    <w:rsid w:val="008271EC"/>
    <w:rsid w:val="00827E7D"/>
    <w:rsid w:val="008320B9"/>
    <w:rsid w:val="00833B19"/>
    <w:rsid w:val="00835407"/>
    <w:rsid w:val="00836720"/>
    <w:rsid w:val="008429BA"/>
    <w:rsid w:val="008464FF"/>
    <w:rsid w:val="00860049"/>
    <w:rsid w:val="00863DCE"/>
    <w:rsid w:val="0086714F"/>
    <w:rsid w:val="008716CA"/>
    <w:rsid w:val="00871AB7"/>
    <w:rsid w:val="00872666"/>
    <w:rsid w:val="00873D89"/>
    <w:rsid w:val="0087474A"/>
    <w:rsid w:val="00874A86"/>
    <w:rsid w:val="00875033"/>
    <w:rsid w:val="00877F02"/>
    <w:rsid w:val="00880837"/>
    <w:rsid w:val="00881A44"/>
    <w:rsid w:val="00882892"/>
    <w:rsid w:val="008855C2"/>
    <w:rsid w:val="00890411"/>
    <w:rsid w:val="00891961"/>
    <w:rsid w:val="00893B34"/>
    <w:rsid w:val="008A3EE5"/>
    <w:rsid w:val="008A461E"/>
    <w:rsid w:val="008A5EE0"/>
    <w:rsid w:val="008A723D"/>
    <w:rsid w:val="008B1B8C"/>
    <w:rsid w:val="008B374C"/>
    <w:rsid w:val="008B4B7F"/>
    <w:rsid w:val="008B4F8D"/>
    <w:rsid w:val="008B6561"/>
    <w:rsid w:val="008C24CC"/>
    <w:rsid w:val="008C286A"/>
    <w:rsid w:val="008C701F"/>
    <w:rsid w:val="008C7FA9"/>
    <w:rsid w:val="008D2DA3"/>
    <w:rsid w:val="008E2CAE"/>
    <w:rsid w:val="008F329A"/>
    <w:rsid w:val="008F5012"/>
    <w:rsid w:val="008F60B1"/>
    <w:rsid w:val="00902E8C"/>
    <w:rsid w:val="009056DE"/>
    <w:rsid w:val="00905D0B"/>
    <w:rsid w:val="009060EC"/>
    <w:rsid w:val="00906955"/>
    <w:rsid w:val="00910B5B"/>
    <w:rsid w:val="00910FE3"/>
    <w:rsid w:val="00911BA9"/>
    <w:rsid w:val="0091273F"/>
    <w:rsid w:val="00915230"/>
    <w:rsid w:val="00916749"/>
    <w:rsid w:val="00925731"/>
    <w:rsid w:val="00932172"/>
    <w:rsid w:val="00936247"/>
    <w:rsid w:val="00941D35"/>
    <w:rsid w:val="0094255D"/>
    <w:rsid w:val="0094645D"/>
    <w:rsid w:val="00947951"/>
    <w:rsid w:val="0094799C"/>
    <w:rsid w:val="00947FD9"/>
    <w:rsid w:val="00950E5B"/>
    <w:rsid w:val="00951CCF"/>
    <w:rsid w:val="00953C37"/>
    <w:rsid w:val="00954B1A"/>
    <w:rsid w:val="00954BAB"/>
    <w:rsid w:val="0095583C"/>
    <w:rsid w:val="009571C1"/>
    <w:rsid w:val="00962A63"/>
    <w:rsid w:val="009637A8"/>
    <w:rsid w:val="0096640F"/>
    <w:rsid w:val="009724CB"/>
    <w:rsid w:val="0097371A"/>
    <w:rsid w:val="00974F5D"/>
    <w:rsid w:val="00975B2D"/>
    <w:rsid w:val="00977D4D"/>
    <w:rsid w:val="009820C4"/>
    <w:rsid w:val="00982814"/>
    <w:rsid w:val="00982B0F"/>
    <w:rsid w:val="00982E49"/>
    <w:rsid w:val="009870C4"/>
    <w:rsid w:val="00991E89"/>
    <w:rsid w:val="00997587"/>
    <w:rsid w:val="00997AC5"/>
    <w:rsid w:val="009A04E8"/>
    <w:rsid w:val="009A1A39"/>
    <w:rsid w:val="009B01EE"/>
    <w:rsid w:val="009B7BF2"/>
    <w:rsid w:val="009C3670"/>
    <w:rsid w:val="009D112F"/>
    <w:rsid w:val="009D2C5C"/>
    <w:rsid w:val="009D6685"/>
    <w:rsid w:val="009D685C"/>
    <w:rsid w:val="009D7707"/>
    <w:rsid w:val="009E11DC"/>
    <w:rsid w:val="009E5334"/>
    <w:rsid w:val="009E63FF"/>
    <w:rsid w:val="009F0BDA"/>
    <w:rsid w:val="009F229E"/>
    <w:rsid w:val="009F4869"/>
    <w:rsid w:val="009F5F74"/>
    <w:rsid w:val="009F77FA"/>
    <w:rsid w:val="00A0135C"/>
    <w:rsid w:val="00A04379"/>
    <w:rsid w:val="00A12632"/>
    <w:rsid w:val="00A13400"/>
    <w:rsid w:val="00A172F1"/>
    <w:rsid w:val="00A21790"/>
    <w:rsid w:val="00A26F33"/>
    <w:rsid w:val="00A27EAE"/>
    <w:rsid w:val="00A30DF7"/>
    <w:rsid w:val="00A315EC"/>
    <w:rsid w:val="00A36DA8"/>
    <w:rsid w:val="00A412C4"/>
    <w:rsid w:val="00A421A0"/>
    <w:rsid w:val="00A44BAD"/>
    <w:rsid w:val="00A51A0D"/>
    <w:rsid w:val="00A53FF8"/>
    <w:rsid w:val="00A569F6"/>
    <w:rsid w:val="00A6409C"/>
    <w:rsid w:val="00A6504A"/>
    <w:rsid w:val="00A66A89"/>
    <w:rsid w:val="00A7205B"/>
    <w:rsid w:val="00A74B5E"/>
    <w:rsid w:val="00A75014"/>
    <w:rsid w:val="00A7556F"/>
    <w:rsid w:val="00A756A5"/>
    <w:rsid w:val="00A75EDB"/>
    <w:rsid w:val="00A76322"/>
    <w:rsid w:val="00A842D7"/>
    <w:rsid w:val="00A85085"/>
    <w:rsid w:val="00A95F20"/>
    <w:rsid w:val="00A96BD3"/>
    <w:rsid w:val="00AA057C"/>
    <w:rsid w:val="00AA1E2E"/>
    <w:rsid w:val="00AA3A44"/>
    <w:rsid w:val="00AA54E8"/>
    <w:rsid w:val="00AA57E3"/>
    <w:rsid w:val="00AA76FE"/>
    <w:rsid w:val="00AB3078"/>
    <w:rsid w:val="00AB54DE"/>
    <w:rsid w:val="00AB5B9A"/>
    <w:rsid w:val="00AC1392"/>
    <w:rsid w:val="00AC3F76"/>
    <w:rsid w:val="00AC6AEB"/>
    <w:rsid w:val="00AD0378"/>
    <w:rsid w:val="00AD140F"/>
    <w:rsid w:val="00AD1546"/>
    <w:rsid w:val="00AD17C9"/>
    <w:rsid w:val="00AE0971"/>
    <w:rsid w:val="00AE50FA"/>
    <w:rsid w:val="00AE7131"/>
    <w:rsid w:val="00AE74DB"/>
    <w:rsid w:val="00AE76FD"/>
    <w:rsid w:val="00AF0F49"/>
    <w:rsid w:val="00AF4392"/>
    <w:rsid w:val="00AF5C5D"/>
    <w:rsid w:val="00AF6757"/>
    <w:rsid w:val="00AF69E9"/>
    <w:rsid w:val="00B109CB"/>
    <w:rsid w:val="00B11AF4"/>
    <w:rsid w:val="00B1457B"/>
    <w:rsid w:val="00B17AB0"/>
    <w:rsid w:val="00B20085"/>
    <w:rsid w:val="00B25C34"/>
    <w:rsid w:val="00B31050"/>
    <w:rsid w:val="00B33CF2"/>
    <w:rsid w:val="00B342D0"/>
    <w:rsid w:val="00B349CA"/>
    <w:rsid w:val="00B3789F"/>
    <w:rsid w:val="00B425B3"/>
    <w:rsid w:val="00B46206"/>
    <w:rsid w:val="00B50531"/>
    <w:rsid w:val="00B52B4F"/>
    <w:rsid w:val="00B63641"/>
    <w:rsid w:val="00B65C65"/>
    <w:rsid w:val="00B6773F"/>
    <w:rsid w:val="00B73AFF"/>
    <w:rsid w:val="00B779E1"/>
    <w:rsid w:val="00B828B5"/>
    <w:rsid w:val="00B82A72"/>
    <w:rsid w:val="00B915B2"/>
    <w:rsid w:val="00B92520"/>
    <w:rsid w:val="00B92ACB"/>
    <w:rsid w:val="00B933C4"/>
    <w:rsid w:val="00B94B1F"/>
    <w:rsid w:val="00BA0152"/>
    <w:rsid w:val="00BA18DD"/>
    <w:rsid w:val="00BA1982"/>
    <w:rsid w:val="00BA2797"/>
    <w:rsid w:val="00BA6C11"/>
    <w:rsid w:val="00BA75AD"/>
    <w:rsid w:val="00BB0671"/>
    <w:rsid w:val="00BB3230"/>
    <w:rsid w:val="00BC18BB"/>
    <w:rsid w:val="00BC2957"/>
    <w:rsid w:val="00BD58EB"/>
    <w:rsid w:val="00BD72E0"/>
    <w:rsid w:val="00BD7BB0"/>
    <w:rsid w:val="00BE10CB"/>
    <w:rsid w:val="00BF2101"/>
    <w:rsid w:val="00BF314B"/>
    <w:rsid w:val="00BF55A0"/>
    <w:rsid w:val="00BF5EF9"/>
    <w:rsid w:val="00BF777F"/>
    <w:rsid w:val="00C011F4"/>
    <w:rsid w:val="00C02B32"/>
    <w:rsid w:val="00C04707"/>
    <w:rsid w:val="00C04AC8"/>
    <w:rsid w:val="00C053D3"/>
    <w:rsid w:val="00C1016D"/>
    <w:rsid w:val="00C35B58"/>
    <w:rsid w:val="00C432BB"/>
    <w:rsid w:val="00C4660B"/>
    <w:rsid w:val="00C50FA7"/>
    <w:rsid w:val="00C525D6"/>
    <w:rsid w:val="00C5297A"/>
    <w:rsid w:val="00C533DE"/>
    <w:rsid w:val="00C60CF8"/>
    <w:rsid w:val="00C63B34"/>
    <w:rsid w:val="00C64656"/>
    <w:rsid w:val="00C67A42"/>
    <w:rsid w:val="00C73230"/>
    <w:rsid w:val="00C73235"/>
    <w:rsid w:val="00C756A3"/>
    <w:rsid w:val="00C8168B"/>
    <w:rsid w:val="00C816AD"/>
    <w:rsid w:val="00C82D3F"/>
    <w:rsid w:val="00C82E2D"/>
    <w:rsid w:val="00C83A0F"/>
    <w:rsid w:val="00C859B4"/>
    <w:rsid w:val="00C86F32"/>
    <w:rsid w:val="00C8780B"/>
    <w:rsid w:val="00C9165B"/>
    <w:rsid w:val="00CA2D86"/>
    <w:rsid w:val="00CA6349"/>
    <w:rsid w:val="00CB2CFD"/>
    <w:rsid w:val="00CB46D1"/>
    <w:rsid w:val="00CB4A94"/>
    <w:rsid w:val="00CB61AB"/>
    <w:rsid w:val="00CC50F8"/>
    <w:rsid w:val="00CC5401"/>
    <w:rsid w:val="00CD02F1"/>
    <w:rsid w:val="00CD1E3A"/>
    <w:rsid w:val="00CD4ECA"/>
    <w:rsid w:val="00CE4719"/>
    <w:rsid w:val="00CF0B7D"/>
    <w:rsid w:val="00CF3B6A"/>
    <w:rsid w:val="00CF55DA"/>
    <w:rsid w:val="00CF61CD"/>
    <w:rsid w:val="00CF6469"/>
    <w:rsid w:val="00D03557"/>
    <w:rsid w:val="00D063E0"/>
    <w:rsid w:val="00D1020F"/>
    <w:rsid w:val="00D10707"/>
    <w:rsid w:val="00D10EED"/>
    <w:rsid w:val="00D17E59"/>
    <w:rsid w:val="00D207CE"/>
    <w:rsid w:val="00D22B19"/>
    <w:rsid w:val="00D27005"/>
    <w:rsid w:val="00D27FFC"/>
    <w:rsid w:val="00D30E28"/>
    <w:rsid w:val="00D31F7B"/>
    <w:rsid w:val="00D36D0D"/>
    <w:rsid w:val="00D37F66"/>
    <w:rsid w:val="00D4270E"/>
    <w:rsid w:val="00D50C7B"/>
    <w:rsid w:val="00D573FE"/>
    <w:rsid w:val="00D61808"/>
    <w:rsid w:val="00D61A2F"/>
    <w:rsid w:val="00D64089"/>
    <w:rsid w:val="00D64DFD"/>
    <w:rsid w:val="00D679F7"/>
    <w:rsid w:val="00D73085"/>
    <w:rsid w:val="00D7669C"/>
    <w:rsid w:val="00D77E05"/>
    <w:rsid w:val="00D808DC"/>
    <w:rsid w:val="00D80A33"/>
    <w:rsid w:val="00D81874"/>
    <w:rsid w:val="00D82408"/>
    <w:rsid w:val="00D92534"/>
    <w:rsid w:val="00D92F2E"/>
    <w:rsid w:val="00D96512"/>
    <w:rsid w:val="00DA0902"/>
    <w:rsid w:val="00DA3B75"/>
    <w:rsid w:val="00DA7B55"/>
    <w:rsid w:val="00DB0171"/>
    <w:rsid w:val="00DB1F86"/>
    <w:rsid w:val="00DB4ADB"/>
    <w:rsid w:val="00DB617D"/>
    <w:rsid w:val="00DC1982"/>
    <w:rsid w:val="00DC7404"/>
    <w:rsid w:val="00DD1E2B"/>
    <w:rsid w:val="00DD3E8A"/>
    <w:rsid w:val="00DF10CE"/>
    <w:rsid w:val="00DF36B8"/>
    <w:rsid w:val="00E00282"/>
    <w:rsid w:val="00E00F48"/>
    <w:rsid w:val="00E03495"/>
    <w:rsid w:val="00E04FE3"/>
    <w:rsid w:val="00E0517F"/>
    <w:rsid w:val="00E05C06"/>
    <w:rsid w:val="00E06216"/>
    <w:rsid w:val="00E073E9"/>
    <w:rsid w:val="00E11241"/>
    <w:rsid w:val="00E12B4F"/>
    <w:rsid w:val="00E1488F"/>
    <w:rsid w:val="00E20617"/>
    <w:rsid w:val="00E25180"/>
    <w:rsid w:val="00E30083"/>
    <w:rsid w:val="00E35955"/>
    <w:rsid w:val="00E36BA6"/>
    <w:rsid w:val="00E4144C"/>
    <w:rsid w:val="00E4184A"/>
    <w:rsid w:val="00E422F7"/>
    <w:rsid w:val="00E45968"/>
    <w:rsid w:val="00E5017E"/>
    <w:rsid w:val="00E50C64"/>
    <w:rsid w:val="00E549CE"/>
    <w:rsid w:val="00E57E6D"/>
    <w:rsid w:val="00E603BE"/>
    <w:rsid w:val="00E66EC8"/>
    <w:rsid w:val="00E709F7"/>
    <w:rsid w:val="00E763C0"/>
    <w:rsid w:val="00E76B63"/>
    <w:rsid w:val="00E811FC"/>
    <w:rsid w:val="00E83CDF"/>
    <w:rsid w:val="00E84B94"/>
    <w:rsid w:val="00E92A33"/>
    <w:rsid w:val="00E9719B"/>
    <w:rsid w:val="00EA0FA0"/>
    <w:rsid w:val="00EA263A"/>
    <w:rsid w:val="00EA27D9"/>
    <w:rsid w:val="00EA4824"/>
    <w:rsid w:val="00EA5DD2"/>
    <w:rsid w:val="00EA5EB4"/>
    <w:rsid w:val="00EA646D"/>
    <w:rsid w:val="00EA7565"/>
    <w:rsid w:val="00EB2667"/>
    <w:rsid w:val="00EB3966"/>
    <w:rsid w:val="00EB48AC"/>
    <w:rsid w:val="00EB6964"/>
    <w:rsid w:val="00EB6F1B"/>
    <w:rsid w:val="00EC283C"/>
    <w:rsid w:val="00EC6623"/>
    <w:rsid w:val="00EC6E3A"/>
    <w:rsid w:val="00EC7C0C"/>
    <w:rsid w:val="00EC7F38"/>
    <w:rsid w:val="00ED05A7"/>
    <w:rsid w:val="00ED1689"/>
    <w:rsid w:val="00ED1B31"/>
    <w:rsid w:val="00ED42A5"/>
    <w:rsid w:val="00ED439E"/>
    <w:rsid w:val="00ED79DD"/>
    <w:rsid w:val="00ED7ADD"/>
    <w:rsid w:val="00ED7BEC"/>
    <w:rsid w:val="00ED7D6D"/>
    <w:rsid w:val="00EE3204"/>
    <w:rsid w:val="00EE4CF1"/>
    <w:rsid w:val="00EE73F2"/>
    <w:rsid w:val="00EF159B"/>
    <w:rsid w:val="00EF5D3B"/>
    <w:rsid w:val="00F00C88"/>
    <w:rsid w:val="00F026F2"/>
    <w:rsid w:val="00F04860"/>
    <w:rsid w:val="00F154EB"/>
    <w:rsid w:val="00F23634"/>
    <w:rsid w:val="00F23643"/>
    <w:rsid w:val="00F256AF"/>
    <w:rsid w:val="00F263C7"/>
    <w:rsid w:val="00F37157"/>
    <w:rsid w:val="00F37A77"/>
    <w:rsid w:val="00F40635"/>
    <w:rsid w:val="00F47504"/>
    <w:rsid w:val="00F504FA"/>
    <w:rsid w:val="00F50BD0"/>
    <w:rsid w:val="00F56733"/>
    <w:rsid w:val="00F6121B"/>
    <w:rsid w:val="00F61E21"/>
    <w:rsid w:val="00F63E67"/>
    <w:rsid w:val="00F67F34"/>
    <w:rsid w:val="00F71DDF"/>
    <w:rsid w:val="00F756BD"/>
    <w:rsid w:val="00F75E18"/>
    <w:rsid w:val="00F76468"/>
    <w:rsid w:val="00F7675E"/>
    <w:rsid w:val="00F808D0"/>
    <w:rsid w:val="00F817B7"/>
    <w:rsid w:val="00F8276E"/>
    <w:rsid w:val="00F82D02"/>
    <w:rsid w:val="00F86C90"/>
    <w:rsid w:val="00F9082F"/>
    <w:rsid w:val="00F90F16"/>
    <w:rsid w:val="00F92863"/>
    <w:rsid w:val="00F93C73"/>
    <w:rsid w:val="00F957CC"/>
    <w:rsid w:val="00F966AD"/>
    <w:rsid w:val="00FA0BAE"/>
    <w:rsid w:val="00FA2B2F"/>
    <w:rsid w:val="00FA4CC4"/>
    <w:rsid w:val="00FA4D43"/>
    <w:rsid w:val="00FA5420"/>
    <w:rsid w:val="00FA7C8B"/>
    <w:rsid w:val="00FB0A52"/>
    <w:rsid w:val="00FB2438"/>
    <w:rsid w:val="00FB7559"/>
    <w:rsid w:val="00FC1973"/>
    <w:rsid w:val="00FC2AB5"/>
    <w:rsid w:val="00FC2EDA"/>
    <w:rsid w:val="00FD46D9"/>
    <w:rsid w:val="00FD4765"/>
    <w:rsid w:val="00FD6DE7"/>
    <w:rsid w:val="00FE4C9B"/>
    <w:rsid w:val="00FE5D75"/>
    <w:rsid w:val="00FE671F"/>
    <w:rsid w:val="00FF0EDD"/>
    <w:rsid w:val="00FF16C4"/>
    <w:rsid w:val="00FF44BC"/>
    <w:rsid w:val="00FF618F"/>
    <w:rsid w:val="00FF7FD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50ECDB76"/>
  <w15:chartTrackingRefBased/>
  <w15:docId w15:val="{9C497655-5132-4BE5-BFA3-6656A12C6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B65C65"/>
    <w:pPr>
      <w:numPr>
        <w:numId w:val="5"/>
      </w:numPr>
      <w:tabs>
        <w:tab w:val="left" w:pos="3969"/>
      </w:tabs>
      <w:spacing w:before="120" w:line="360" w:lineRule="auto"/>
      <w:jc w:val="center"/>
      <w:outlineLvl w:val="0"/>
    </w:pPr>
    <w:rPr>
      <w:rFonts w:ascii="Verdana" w:hAnsi="Verdana"/>
      <w:b/>
      <w:sz w:val="24"/>
    </w:rPr>
  </w:style>
  <w:style w:type="paragraph" w:styleId="Heading2">
    <w:name w:val="heading 2"/>
    <w:basedOn w:val="ListParagraph"/>
    <w:next w:val="Normal"/>
    <w:link w:val="Heading2Char"/>
    <w:uiPriority w:val="9"/>
    <w:unhideWhenUsed/>
    <w:qFormat/>
    <w:rsid w:val="006A3393"/>
    <w:pPr>
      <w:numPr>
        <w:numId w:val="6"/>
      </w:numPr>
      <w:tabs>
        <w:tab w:val="left" w:pos="1701"/>
      </w:tabs>
      <w:spacing w:before="120" w:after="0" w:line="360" w:lineRule="auto"/>
      <w:ind w:left="426"/>
      <w:jc w:val="center"/>
      <w:outlineLvl w:val="1"/>
    </w:pPr>
    <w:rPr>
      <w:rFonts w:ascii="Verdana" w:hAnsi="Verdana"/>
      <w:b/>
      <w:color w:val="000000" w:themeColor="text1"/>
    </w:rPr>
  </w:style>
  <w:style w:type="paragraph" w:styleId="Heading3">
    <w:name w:val="heading 3"/>
    <w:basedOn w:val="ListParagraph"/>
    <w:next w:val="Normal"/>
    <w:link w:val="Heading3Char"/>
    <w:uiPriority w:val="9"/>
    <w:unhideWhenUsed/>
    <w:qFormat/>
    <w:rsid w:val="00875033"/>
    <w:pPr>
      <w:numPr>
        <w:numId w:val="8"/>
      </w:numPr>
      <w:jc w:val="center"/>
      <w:outlineLvl w:val="2"/>
    </w:pPr>
    <w:rPr>
      <w:rFonts w:ascii="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0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79A9"/>
    <w:pPr>
      <w:tabs>
        <w:tab w:val="center" w:pos="4252"/>
        <w:tab w:val="right" w:pos="8504"/>
      </w:tabs>
      <w:spacing w:after="0" w:line="240" w:lineRule="auto"/>
    </w:pPr>
  </w:style>
  <w:style w:type="character" w:customStyle="1" w:styleId="HeaderChar">
    <w:name w:val="Header Char"/>
    <w:basedOn w:val="DefaultParagraphFont"/>
    <w:link w:val="Header"/>
    <w:uiPriority w:val="99"/>
    <w:rsid w:val="007879A9"/>
  </w:style>
  <w:style w:type="paragraph" w:styleId="Footer">
    <w:name w:val="footer"/>
    <w:basedOn w:val="Normal"/>
    <w:link w:val="FooterChar"/>
    <w:uiPriority w:val="99"/>
    <w:unhideWhenUsed/>
    <w:rsid w:val="007879A9"/>
    <w:pPr>
      <w:tabs>
        <w:tab w:val="center" w:pos="4252"/>
        <w:tab w:val="right" w:pos="8504"/>
      </w:tabs>
      <w:spacing w:after="0" w:line="240" w:lineRule="auto"/>
    </w:pPr>
  </w:style>
  <w:style w:type="character" w:customStyle="1" w:styleId="FooterChar">
    <w:name w:val="Footer Char"/>
    <w:basedOn w:val="DefaultParagraphFont"/>
    <w:link w:val="Footer"/>
    <w:uiPriority w:val="99"/>
    <w:rsid w:val="007879A9"/>
  </w:style>
  <w:style w:type="paragraph" w:styleId="ListParagraph">
    <w:name w:val="List Paragraph"/>
    <w:aliases w:val="Paragraph,Paragraphe de liste PBLH,Normal bullet 2,Bullet list,Figure_name,Equipment,Numbered Indented Text,List Paragraph1,lp1,List Paragraph11,List Paragraph Char Char Char,List Paragraph Char Char,Citation List,List Paragraph2,Ha"/>
    <w:basedOn w:val="Normal"/>
    <w:link w:val="ListParagraphChar"/>
    <w:uiPriority w:val="34"/>
    <w:qFormat/>
    <w:rsid w:val="00A172F1"/>
    <w:pPr>
      <w:ind w:left="720"/>
      <w:contextualSpacing/>
    </w:pPr>
  </w:style>
  <w:style w:type="character" w:styleId="CommentReference">
    <w:name w:val="annotation reference"/>
    <w:basedOn w:val="DefaultParagraphFont"/>
    <w:uiPriority w:val="99"/>
    <w:semiHidden/>
    <w:unhideWhenUsed/>
    <w:rsid w:val="006418B1"/>
    <w:rPr>
      <w:sz w:val="16"/>
      <w:szCs w:val="16"/>
    </w:rPr>
  </w:style>
  <w:style w:type="paragraph" w:styleId="CommentText">
    <w:name w:val="annotation text"/>
    <w:basedOn w:val="Normal"/>
    <w:link w:val="CommentTextChar"/>
    <w:uiPriority w:val="99"/>
    <w:unhideWhenUsed/>
    <w:rsid w:val="006418B1"/>
    <w:pPr>
      <w:spacing w:line="240" w:lineRule="auto"/>
    </w:pPr>
    <w:rPr>
      <w:sz w:val="20"/>
      <w:szCs w:val="20"/>
    </w:rPr>
  </w:style>
  <w:style w:type="character" w:customStyle="1" w:styleId="CommentTextChar">
    <w:name w:val="Comment Text Char"/>
    <w:basedOn w:val="DefaultParagraphFont"/>
    <w:link w:val="CommentText"/>
    <w:uiPriority w:val="99"/>
    <w:rsid w:val="006418B1"/>
    <w:rPr>
      <w:sz w:val="20"/>
      <w:szCs w:val="20"/>
    </w:rPr>
  </w:style>
  <w:style w:type="paragraph" w:styleId="CommentSubject">
    <w:name w:val="annotation subject"/>
    <w:basedOn w:val="CommentText"/>
    <w:next w:val="CommentText"/>
    <w:link w:val="CommentSubjectChar"/>
    <w:uiPriority w:val="99"/>
    <w:semiHidden/>
    <w:unhideWhenUsed/>
    <w:rsid w:val="006418B1"/>
    <w:rPr>
      <w:b/>
      <w:bCs/>
    </w:rPr>
  </w:style>
  <w:style w:type="character" w:customStyle="1" w:styleId="CommentSubjectChar">
    <w:name w:val="Comment Subject Char"/>
    <w:basedOn w:val="CommentTextChar"/>
    <w:link w:val="CommentSubject"/>
    <w:uiPriority w:val="99"/>
    <w:semiHidden/>
    <w:rsid w:val="006418B1"/>
    <w:rPr>
      <w:b/>
      <w:bCs/>
      <w:sz w:val="20"/>
      <w:szCs w:val="20"/>
    </w:rPr>
  </w:style>
  <w:style w:type="paragraph" w:styleId="BalloonText">
    <w:name w:val="Balloon Text"/>
    <w:basedOn w:val="Normal"/>
    <w:link w:val="BalloonTextChar"/>
    <w:uiPriority w:val="99"/>
    <w:semiHidden/>
    <w:unhideWhenUsed/>
    <w:rsid w:val="006418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8B1"/>
    <w:rPr>
      <w:rFonts w:ascii="Segoe UI" w:hAnsi="Segoe UI" w:cs="Segoe UI"/>
      <w:sz w:val="18"/>
      <w:szCs w:val="18"/>
    </w:rPr>
  </w:style>
  <w:style w:type="character" w:customStyle="1" w:styleId="ListParagraphChar">
    <w:name w:val="List Paragraph Char"/>
    <w:aliases w:val="Paragraph Char,Paragraphe de liste PBLH Char,Normal bullet 2 Char,Bullet list Char,Figure_name Char,Equipment Char,Numbered Indented Text Char,List Paragraph1 Char,lp1 Char,List Paragraph11 Char,List Paragraph Char Char Char Char"/>
    <w:link w:val="ListParagraph"/>
    <w:uiPriority w:val="34"/>
    <w:qFormat/>
    <w:rsid w:val="00092BC2"/>
  </w:style>
  <w:style w:type="character" w:customStyle="1" w:styleId="Heading1Char">
    <w:name w:val="Heading 1 Char"/>
    <w:basedOn w:val="DefaultParagraphFont"/>
    <w:link w:val="Heading1"/>
    <w:uiPriority w:val="9"/>
    <w:rsid w:val="00B65C65"/>
    <w:rPr>
      <w:rFonts w:ascii="Verdana" w:hAnsi="Verdana"/>
      <w:b/>
      <w:sz w:val="24"/>
    </w:rPr>
  </w:style>
  <w:style w:type="paragraph" w:customStyle="1" w:styleId="tex">
    <w:name w:val="tex"/>
    <w:basedOn w:val="Normal"/>
    <w:rsid w:val="00105C80"/>
    <w:pPr>
      <w:spacing w:before="60" w:after="60" w:line="240" w:lineRule="auto"/>
      <w:jc w:val="both"/>
    </w:pPr>
    <w:rPr>
      <w:rFonts w:ascii="Times New Roman" w:eastAsia="Times New Roman" w:hAnsi="Times New Roman" w:cs="Times New Roman"/>
      <w:sz w:val="24"/>
      <w:szCs w:val="24"/>
      <w:lang w:eastAsia="da-DK"/>
    </w:rPr>
  </w:style>
  <w:style w:type="paragraph" w:styleId="NormalWeb">
    <w:name w:val="Normal (Web)"/>
    <w:basedOn w:val="Normal"/>
    <w:uiPriority w:val="99"/>
    <w:unhideWhenUsed/>
    <w:rsid w:val="004551A4"/>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Hyperlink">
    <w:name w:val="Hyperlink"/>
    <w:basedOn w:val="DefaultParagraphFont"/>
    <w:uiPriority w:val="99"/>
    <w:unhideWhenUsed/>
    <w:rsid w:val="004551A4"/>
    <w:rPr>
      <w:color w:val="0000FF"/>
      <w:u w:val="single"/>
    </w:rPr>
  </w:style>
  <w:style w:type="paragraph" w:styleId="Revision">
    <w:name w:val="Revision"/>
    <w:hidden/>
    <w:uiPriority w:val="99"/>
    <w:semiHidden/>
    <w:rsid w:val="00D96512"/>
    <w:pPr>
      <w:spacing w:after="0" w:line="240" w:lineRule="auto"/>
    </w:pPr>
  </w:style>
  <w:style w:type="paragraph" w:styleId="FootnoteText">
    <w:name w:val="footnote text"/>
    <w:basedOn w:val="Normal"/>
    <w:link w:val="FootnoteTextChar"/>
    <w:uiPriority w:val="99"/>
    <w:semiHidden/>
    <w:unhideWhenUsed/>
    <w:rsid w:val="00863D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3DCE"/>
    <w:rPr>
      <w:sz w:val="20"/>
      <w:szCs w:val="20"/>
    </w:rPr>
  </w:style>
  <w:style w:type="character" w:styleId="FootnoteReference">
    <w:name w:val="footnote reference"/>
    <w:basedOn w:val="DefaultParagraphFont"/>
    <w:uiPriority w:val="99"/>
    <w:semiHidden/>
    <w:unhideWhenUsed/>
    <w:rsid w:val="00863DCE"/>
    <w:rPr>
      <w:vertAlign w:val="superscript"/>
    </w:rPr>
  </w:style>
  <w:style w:type="paragraph" w:customStyle="1" w:styleId="CM1">
    <w:name w:val="CM1"/>
    <w:basedOn w:val="Normal"/>
    <w:next w:val="Normal"/>
    <w:uiPriority w:val="99"/>
    <w:rsid w:val="00AE74DB"/>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rsid w:val="00AE74DB"/>
    <w:pPr>
      <w:autoSpaceDE w:val="0"/>
      <w:autoSpaceDN w:val="0"/>
      <w:adjustRightInd w:val="0"/>
      <w:spacing w:after="0" w:line="240" w:lineRule="auto"/>
    </w:pPr>
    <w:rPr>
      <w:rFonts w:ascii="EUAlbertina" w:hAnsi="EUAlbertina"/>
      <w:sz w:val="24"/>
      <w:szCs w:val="24"/>
    </w:rPr>
  </w:style>
  <w:style w:type="character" w:customStyle="1" w:styleId="MenoNoResolvida1">
    <w:name w:val="Menção Não Resolvida1"/>
    <w:basedOn w:val="DefaultParagraphFont"/>
    <w:uiPriority w:val="99"/>
    <w:semiHidden/>
    <w:unhideWhenUsed/>
    <w:rsid w:val="005414C1"/>
    <w:rPr>
      <w:color w:val="605E5C"/>
      <w:shd w:val="clear" w:color="auto" w:fill="E1DFDD"/>
    </w:rPr>
  </w:style>
  <w:style w:type="paragraph" w:customStyle="1" w:styleId="Chapitre">
    <w:name w:val="Chapitre"/>
    <w:basedOn w:val="Normal"/>
    <w:qFormat/>
    <w:rsid w:val="005414C1"/>
    <w:pPr>
      <w:numPr>
        <w:numId w:val="4"/>
      </w:numPr>
      <w:spacing w:beforeLines="100" w:after="240" w:line="240" w:lineRule="auto"/>
      <w:ind w:left="720"/>
      <w:jc w:val="center"/>
    </w:pPr>
    <w:rPr>
      <w:rFonts w:ascii="Verdana" w:eastAsia="Calibri" w:hAnsi="Verdana" w:cs="TimesLTStd-Roman"/>
      <w:b/>
      <w:sz w:val="20"/>
      <w:szCs w:val="20"/>
    </w:rPr>
  </w:style>
  <w:style w:type="paragraph" w:customStyle="1" w:styleId="Section">
    <w:name w:val="Section"/>
    <w:basedOn w:val="Normal"/>
    <w:qFormat/>
    <w:rsid w:val="005414C1"/>
    <w:pPr>
      <w:numPr>
        <w:ilvl w:val="1"/>
        <w:numId w:val="4"/>
      </w:numPr>
      <w:spacing w:beforeLines="100" w:after="240" w:line="240" w:lineRule="auto"/>
      <w:jc w:val="center"/>
    </w:pPr>
    <w:rPr>
      <w:rFonts w:ascii="Verdana" w:eastAsia="Calibri" w:hAnsi="Verdana" w:cs="TimesLTStd-Roman"/>
      <w:b/>
      <w:sz w:val="20"/>
      <w:szCs w:val="20"/>
    </w:rPr>
  </w:style>
  <w:style w:type="paragraph" w:customStyle="1" w:styleId="Sous-section">
    <w:name w:val="Sous-section"/>
    <w:basedOn w:val="Normal"/>
    <w:qFormat/>
    <w:rsid w:val="005414C1"/>
    <w:pPr>
      <w:numPr>
        <w:ilvl w:val="2"/>
        <w:numId w:val="4"/>
      </w:numPr>
      <w:spacing w:beforeLines="100" w:after="240" w:line="240" w:lineRule="auto"/>
      <w:jc w:val="center"/>
    </w:pPr>
    <w:rPr>
      <w:rFonts w:ascii="Verdana" w:eastAsia="Calibri" w:hAnsi="Verdana" w:cs="TimesLTStd-Roman"/>
      <w:b/>
      <w:sz w:val="20"/>
      <w:szCs w:val="20"/>
    </w:rPr>
  </w:style>
  <w:style w:type="paragraph" w:customStyle="1" w:styleId="Article">
    <w:name w:val="Article"/>
    <w:basedOn w:val="Normal"/>
    <w:qFormat/>
    <w:rsid w:val="005414C1"/>
    <w:pPr>
      <w:numPr>
        <w:ilvl w:val="3"/>
        <w:numId w:val="4"/>
      </w:numPr>
      <w:spacing w:beforeLines="100" w:after="240" w:line="240" w:lineRule="auto"/>
      <w:jc w:val="both"/>
    </w:pPr>
    <w:rPr>
      <w:rFonts w:ascii="Verdana" w:eastAsia="Calibri" w:hAnsi="Verdana" w:cs="TimesLTStd-Roman"/>
      <w:b/>
      <w:sz w:val="20"/>
      <w:szCs w:val="20"/>
    </w:rPr>
  </w:style>
  <w:style w:type="paragraph" w:customStyle="1" w:styleId="Liste1">
    <w:name w:val="Liste (1)"/>
    <w:basedOn w:val="Normal"/>
    <w:qFormat/>
    <w:rsid w:val="005414C1"/>
    <w:pPr>
      <w:numPr>
        <w:ilvl w:val="4"/>
        <w:numId w:val="4"/>
      </w:numPr>
      <w:spacing w:beforeLines="125" w:after="240" w:line="240" w:lineRule="auto"/>
      <w:jc w:val="both"/>
    </w:pPr>
    <w:rPr>
      <w:rFonts w:ascii="Verdana" w:eastAsia="Calibri" w:hAnsi="Verdana" w:cs="TimesLTStd-Roman"/>
      <w:bCs/>
      <w:color w:val="221E1F"/>
      <w:sz w:val="20"/>
      <w:szCs w:val="20"/>
    </w:rPr>
  </w:style>
  <w:style w:type="paragraph" w:customStyle="1" w:styleId="Liste10">
    <w:name w:val="Liste 1."/>
    <w:basedOn w:val="Normal"/>
    <w:qFormat/>
    <w:rsid w:val="005414C1"/>
    <w:pPr>
      <w:numPr>
        <w:ilvl w:val="5"/>
        <w:numId w:val="4"/>
      </w:numPr>
      <w:spacing w:before="60" w:after="120" w:line="240" w:lineRule="auto"/>
      <w:jc w:val="both"/>
    </w:pPr>
    <w:rPr>
      <w:rFonts w:ascii="Verdana" w:eastAsia="Calibri" w:hAnsi="Verdana" w:cs="TimesLTStd-Roman"/>
      <w:iCs/>
      <w:sz w:val="20"/>
      <w:szCs w:val="20"/>
    </w:rPr>
  </w:style>
  <w:style w:type="paragraph" w:customStyle="1" w:styleId="Listea">
    <w:name w:val="Liste a)"/>
    <w:basedOn w:val="Liste10"/>
    <w:qFormat/>
    <w:rsid w:val="005414C1"/>
    <w:pPr>
      <w:numPr>
        <w:ilvl w:val="6"/>
      </w:numPr>
    </w:pPr>
    <w:rPr>
      <w:lang w:eastAsia="fr-BE"/>
    </w:rPr>
  </w:style>
  <w:style w:type="paragraph" w:customStyle="1" w:styleId="Numerotation1">
    <w:name w:val="Numerotation 1."/>
    <w:basedOn w:val="Liste1"/>
    <w:qFormat/>
    <w:rsid w:val="005414C1"/>
    <w:pPr>
      <w:numPr>
        <w:ilvl w:val="7"/>
      </w:numPr>
      <w:spacing w:beforeLines="0" w:before="120" w:after="120"/>
    </w:pPr>
  </w:style>
  <w:style w:type="paragraph" w:customStyle="1" w:styleId="Numerotationa">
    <w:name w:val="Numerotation a)"/>
    <w:basedOn w:val="Liste10"/>
    <w:qFormat/>
    <w:rsid w:val="005414C1"/>
    <w:pPr>
      <w:numPr>
        <w:ilvl w:val="8"/>
      </w:numPr>
      <w:spacing w:before="240" w:after="240"/>
    </w:pPr>
  </w:style>
  <w:style w:type="paragraph" w:customStyle="1" w:styleId="sti-art">
    <w:name w:val="sti-art"/>
    <w:basedOn w:val="Normal"/>
    <w:rsid w:val="00F256AF"/>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super">
    <w:name w:val="super"/>
    <w:basedOn w:val="DefaultParagraphFont"/>
    <w:rsid w:val="00F256AF"/>
  </w:style>
  <w:style w:type="paragraph" w:customStyle="1" w:styleId="ti-art">
    <w:name w:val="ti-art"/>
    <w:basedOn w:val="Normal"/>
    <w:rsid w:val="00F256AF"/>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customStyle="1" w:styleId="Default">
    <w:name w:val="Default"/>
    <w:rsid w:val="008A3EE5"/>
    <w:pPr>
      <w:autoSpaceDE w:val="0"/>
      <w:autoSpaceDN w:val="0"/>
      <w:adjustRightInd w:val="0"/>
      <w:spacing w:after="0" w:line="240" w:lineRule="auto"/>
    </w:pPr>
    <w:rPr>
      <w:rFonts w:ascii="EUAlbertina" w:hAnsi="EUAlbertina" w:cs="EUAlbertina"/>
      <w:color w:val="000000"/>
      <w:sz w:val="24"/>
      <w:szCs w:val="24"/>
    </w:rPr>
  </w:style>
  <w:style w:type="character" w:customStyle="1" w:styleId="Heading2Char">
    <w:name w:val="Heading 2 Char"/>
    <w:basedOn w:val="DefaultParagraphFont"/>
    <w:link w:val="Heading2"/>
    <w:uiPriority w:val="9"/>
    <w:rsid w:val="006A3393"/>
    <w:rPr>
      <w:rFonts w:ascii="Verdana" w:hAnsi="Verdana"/>
      <w:b/>
      <w:color w:val="000000" w:themeColor="text1"/>
    </w:rPr>
  </w:style>
  <w:style w:type="character" w:customStyle="1" w:styleId="Heading3Char">
    <w:name w:val="Heading 3 Char"/>
    <w:basedOn w:val="DefaultParagraphFont"/>
    <w:link w:val="Heading3"/>
    <w:uiPriority w:val="9"/>
    <w:rsid w:val="00875033"/>
    <w:rPr>
      <w:rFonts w:ascii="Verdana" w:hAnsi="Verdana"/>
    </w:rPr>
  </w:style>
  <w:style w:type="paragraph" w:customStyle="1" w:styleId="CM4">
    <w:name w:val="CM4"/>
    <w:basedOn w:val="Default"/>
    <w:next w:val="Default"/>
    <w:uiPriority w:val="99"/>
    <w:rsid w:val="00004334"/>
    <w:rPr>
      <w:rFonts w:ascii="EU Albertina" w:hAnsi="EU Albertina" w:cstheme="minorBidi"/>
      <w:color w:val="auto"/>
    </w:rPr>
  </w:style>
  <w:style w:type="character" w:customStyle="1" w:styleId="MenoNoResolvida2">
    <w:name w:val="Menção Não Resolvida2"/>
    <w:basedOn w:val="DefaultParagraphFont"/>
    <w:uiPriority w:val="99"/>
    <w:semiHidden/>
    <w:unhideWhenUsed/>
    <w:rsid w:val="00FF16C4"/>
    <w:rPr>
      <w:color w:val="605E5C"/>
      <w:shd w:val="clear" w:color="auto" w:fill="E1DFDD"/>
    </w:rPr>
  </w:style>
  <w:style w:type="character" w:styleId="FollowedHyperlink">
    <w:name w:val="FollowedHyperlink"/>
    <w:basedOn w:val="DefaultParagraphFont"/>
    <w:uiPriority w:val="99"/>
    <w:semiHidden/>
    <w:unhideWhenUsed/>
    <w:rsid w:val="003B2C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72149">
      <w:bodyDiv w:val="1"/>
      <w:marLeft w:val="0"/>
      <w:marRight w:val="0"/>
      <w:marTop w:val="0"/>
      <w:marBottom w:val="0"/>
      <w:divBdr>
        <w:top w:val="none" w:sz="0" w:space="0" w:color="auto"/>
        <w:left w:val="none" w:sz="0" w:space="0" w:color="auto"/>
        <w:bottom w:val="none" w:sz="0" w:space="0" w:color="auto"/>
        <w:right w:val="none" w:sz="0" w:space="0" w:color="auto"/>
      </w:divBdr>
    </w:div>
    <w:div w:id="43602140">
      <w:bodyDiv w:val="1"/>
      <w:marLeft w:val="0"/>
      <w:marRight w:val="0"/>
      <w:marTop w:val="0"/>
      <w:marBottom w:val="0"/>
      <w:divBdr>
        <w:top w:val="none" w:sz="0" w:space="0" w:color="auto"/>
        <w:left w:val="none" w:sz="0" w:space="0" w:color="auto"/>
        <w:bottom w:val="none" w:sz="0" w:space="0" w:color="auto"/>
        <w:right w:val="none" w:sz="0" w:space="0" w:color="auto"/>
      </w:divBdr>
    </w:div>
    <w:div w:id="106044057">
      <w:bodyDiv w:val="1"/>
      <w:marLeft w:val="0"/>
      <w:marRight w:val="0"/>
      <w:marTop w:val="0"/>
      <w:marBottom w:val="0"/>
      <w:divBdr>
        <w:top w:val="none" w:sz="0" w:space="0" w:color="auto"/>
        <w:left w:val="none" w:sz="0" w:space="0" w:color="auto"/>
        <w:bottom w:val="none" w:sz="0" w:space="0" w:color="auto"/>
        <w:right w:val="none" w:sz="0" w:space="0" w:color="auto"/>
      </w:divBdr>
    </w:div>
    <w:div w:id="272711859">
      <w:bodyDiv w:val="1"/>
      <w:marLeft w:val="0"/>
      <w:marRight w:val="0"/>
      <w:marTop w:val="0"/>
      <w:marBottom w:val="0"/>
      <w:divBdr>
        <w:top w:val="none" w:sz="0" w:space="0" w:color="auto"/>
        <w:left w:val="none" w:sz="0" w:space="0" w:color="auto"/>
        <w:bottom w:val="none" w:sz="0" w:space="0" w:color="auto"/>
        <w:right w:val="none" w:sz="0" w:space="0" w:color="auto"/>
      </w:divBdr>
    </w:div>
    <w:div w:id="535002326">
      <w:bodyDiv w:val="1"/>
      <w:marLeft w:val="0"/>
      <w:marRight w:val="0"/>
      <w:marTop w:val="0"/>
      <w:marBottom w:val="0"/>
      <w:divBdr>
        <w:top w:val="none" w:sz="0" w:space="0" w:color="auto"/>
        <w:left w:val="none" w:sz="0" w:space="0" w:color="auto"/>
        <w:bottom w:val="none" w:sz="0" w:space="0" w:color="auto"/>
        <w:right w:val="none" w:sz="0" w:space="0" w:color="auto"/>
      </w:divBdr>
    </w:div>
    <w:div w:id="558907982">
      <w:bodyDiv w:val="1"/>
      <w:marLeft w:val="0"/>
      <w:marRight w:val="0"/>
      <w:marTop w:val="0"/>
      <w:marBottom w:val="0"/>
      <w:divBdr>
        <w:top w:val="none" w:sz="0" w:space="0" w:color="auto"/>
        <w:left w:val="none" w:sz="0" w:space="0" w:color="auto"/>
        <w:bottom w:val="none" w:sz="0" w:space="0" w:color="auto"/>
        <w:right w:val="none" w:sz="0" w:space="0" w:color="auto"/>
      </w:divBdr>
    </w:div>
    <w:div w:id="569727360">
      <w:bodyDiv w:val="1"/>
      <w:marLeft w:val="0"/>
      <w:marRight w:val="0"/>
      <w:marTop w:val="0"/>
      <w:marBottom w:val="0"/>
      <w:divBdr>
        <w:top w:val="none" w:sz="0" w:space="0" w:color="auto"/>
        <w:left w:val="none" w:sz="0" w:space="0" w:color="auto"/>
        <w:bottom w:val="none" w:sz="0" w:space="0" w:color="auto"/>
        <w:right w:val="none" w:sz="0" w:space="0" w:color="auto"/>
      </w:divBdr>
    </w:div>
    <w:div w:id="644966926">
      <w:bodyDiv w:val="1"/>
      <w:marLeft w:val="0"/>
      <w:marRight w:val="0"/>
      <w:marTop w:val="0"/>
      <w:marBottom w:val="0"/>
      <w:divBdr>
        <w:top w:val="none" w:sz="0" w:space="0" w:color="auto"/>
        <w:left w:val="none" w:sz="0" w:space="0" w:color="auto"/>
        <w:bottom w:val="none" w:sz="0" w:space="0" w:color="auto"/>
        <w:right w:val="none" w:sz="0" w:space="0" w:color="auto"/>
      </w:divBdr>
    </w:div>
    <w:div w:id="671301495">
      <w:bodyDiv w:val="1"/>
      <w:marLeft w:val="0"/>
      <w:marRight w:val="0"/>
      <w:marTop w:val="0"/>
      <w:marBottom w:val="0"/>
      <w:divBdr>
        <w:top w:val="none" w:sz="0" w:space="0" w:color="auto"/>
        <w:left w:val="none" w:sz="0" w:space="0" w:color="auto"/>
        <w:bottom w:val="none" w:sz="0" w:space="0" w:color="auto"/>
        <w:right w:val="none" w:sz="0" w:space="0" w:color="auto"/>
      </w:divBdr>
    </w:div>
    <w:div w:id="872226490">
      <w:bodyDiv w:val="1"/>
      <w:marLeft w:val="0"/>
      <w:marRight w:val="0"/>
      <w:marTop w:val="0"/>
      <w:marBottom w:val="0"/>
      <w:divBdr>
        <w:top w:val="none" w:sz="0" w:space="0" w:color="auto"/>
        <w:left w:val="none" w:sz="0" w:space="0" w:color="auto"/>
        <w:bottom w:val="none" w:sz="0" w:space="0" w:color="auto"/>
        <w:right w:val="none" w:sz="0" w:space="0" w:color="auto"/>
      </w:divBdr>
    </w:div>
    <w:div w:id="922838542">
      <w:bodyDiv w:val="1"/>
      <w:marLeft w:val="0"/>
      <w:marRight w:val="0"/>
      <w:marTop w:val="0"/>
      <w:marBottom w:val="0"/>
      <w:divBdr>
        <w:top w:val="none" w:sz="0" w:space="0" w:color="auto"/>
        <w:left w:val="none" w:sz="0" w:space="0" w:color="auto"/>
        <w:bottom w:val="none" w:sz="0" w:space="0" w:color="auto"/>
        <w:right w:val="none" w:sz="0" w:space="0" w:color="auto"/>
      </w:divBdr>
    </w:div>
    <w:div w:id="1004893017">
      <w:bodyDiv w:val="1"/>
      <w:marLeft w:val="0"/>
      <w:marRight w:val="0"/>
      <w:marTop w:val="0"/>
      <w:marBottom w:val="0"/>
      <w:divBdr>
        <w:top w:val="none" w:sz="0" w:space="0" w:color="auto"/>
        <w:left w:val="none" w:sz="0" w:space="0" w:color="auto"/>
        <w:bottom w:val="none" w:sz="0" w:space="0" w:color="auto"/>
        <w:right w:val="none" w:sz="0" w:space="0" w:color="auto"/>
      </w:divBdr>
    </w:div>
    <w:div w:id="1073505622">
      <w:bodyDiv w:val="1"/>
      <w:marLeft w:val="0"/>
      <w:marRight w:val="0"/>
      <w:marTop w:val="0"/>
      <w:marBottom w:val="0"/>
      <w:divBdr>
        <w:top w:val="none" w:sz="0" w:space="0" w:color="auto"/>
        <w:left w:val="none" w:sz="0" w:space="0" w:color="auto"/>
        <w:bottom w:val="none" w:sz="0" w:space="0" w:color="auto"/>
        <w:right w:val="none" w:sz="0" w:space="0" w:color="auto"/>
      </w:divBdr>
    </w:div>
    <w:div w:id="1350328602">
      <w:bodyDiv w:val="1"/>
      <w:marLeft w:val="0"/>
      <w:marRight w:val="0"/>
      <w:marTop w:val="0"/>
      <w:marBottom w:val="0"/>
      <w:divBdr>
        <w:top w:val="none" w:sz="0" w:space="0" w:color="auto"/>
        <w:left w:val="none" w:sz="0" w:space="0" w:color="auto"/>
        <w:bottom w:val="none" w:sz="0" w:space="0" w:color="auto"/>
        <w:right w:val="none" w:sz="0" w:space="0" w:color="auto"/>
      </w:divBdr>
    </w:div>
    <w:div w:id="1790584226">
      <w:bodyDiv w:val="1"/>
      <w:marLeft w:val="0"/>
      <w:marRight w:val="0"/>
      <w:marTop w:val="0"/>
      <w:marBottom w:val="0"/>
      <w:divBdr>
        <w:top w:val="none" w:sz="0" w:space="0" w:color="auto"/>
        <w:left w:val="none" w:sz="0" w:space="0" w:color="auto"/>
        <w:bottom w:val="none" w:sz="0" w:space="0" w:color="auto"/>
        <w:right w:val="none" w:sz="0" w:space="0" w:color="auto"/>
      </w:divBdr>
    </w:div>
    <w:div w:id="1869030707">
      <w:bodyDiv w:val="1"/>
      <w:marLeft w:val="0"/>
      <w:marRight w:val="0"/>
      <w:marTop w:val="0"/>
      <w:marBottom w:val="0"/>
      <w:divBdr>
        <w:top w:val="none" w:sz="0" w:space="0" w:color="auto"/>
        <w:left w:val="none" w:sz="0" w:space="0" w:color="auto"/>
        <w:bottom w:val="none" w:sz="0" w:space="0" w:color="auto"/>
        <w:right w:val="none" w:sz="0" w:space="0" w:color="auto"/>
      </w:divBdr>
    </w:div>
    <w:div w:id="208001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e.pt/web/guest/pesquisa/-/search/540820/details/normal?l=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re.pt/web/guest/pesquisa/-/search/540820/details/normal?l=1" TargetMode="External"/><Relationship Id="rId4" Type="http://schemas.openxmlformats.org/officeDocument/2006/relationships/settings" Target="settings.xml"/><Relationship Id="rId9" Type="http://schemas.openxmlformats.org/officeDocument/2006/relationships/hyperlink" Target="https://dre.pt/web/guest/pesquisa/-/search/540820/details/normal?l=1"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B59D7-D834-47D8-AA0D-FA3895E62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31</Pages>
  <Words>8035</Words>
  <Characters>45801</Characters>
  <Application>Microsoft Office Word</Application>
  <DocSecurity>0</DocSecurity>
  <Lines>381</Lines>
  <Paragraphs>107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dc:creator>
  <cp:keywords/>
  <dc:description/>
  <cp:lastModifiedBy>Dimitris Dimitriadis</cp:lastModifiedBy>
  <cp:revision>32</cp:revision>
  <dcterms:created xsi:type="dcterms:W3CDTF">2021-03-12T18:57:00Z</dcterms:created>
  <dcterms:modified xsi:type="dcterms:W3CDTF">2021-03-25T07:25:00Z</dcterms:modified>
</cp:coreProperties>
</file>