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РЕПУБЛИКА ФРАНЦИЯ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Министерство на културата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Наредба от [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относно минималната такса за услугата за доставка на книги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Реф. №: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Министърът на икономиката, финансите и промишлеността и цифровия суверенитет и министърът на културата,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като взе предвид Закон № 81—766 от 10 август 1981 г., изменен, относно цените на книгите, и по-специално член 1 от него във формулировката му, произтичаща от член 1 от Закон № 2021—1901 от 30 декември 2021 г., насочен към укрепване на книжната икономика и укрепване на справедливостта и доверието между нейните участници;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като взе предвид Решение № 2022—1397 на Регулаторния орган за електронни съобщения, пощи и разпространение на печатни издания от 5 юли 2022 г.;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като взе предвид уведомление №.../.../Е, адресирано до Европейската комисия на (</w:t>
      </w:r>
      <w:r>
        <w:rPr>
          <w:highlight w:val="yellow"/>
        </w:rPr>
        <w:t xml:space="preserve">дата</w:t>
      </w:r>
      <w:r>
        <w:t xml:space="preserve">), както и отговорите на последната от (</w:t>
      </w:r>
      <w:r>
        <w:rPr>
          <w:highlight w:val="yellow"/>
        </w:rPr>
        <w:t xml:space="preserve">дата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с настоящото разпореждат: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Член 1</w:t>
      </w:r>
    </w:p>
    <w:p w:rsidR="00AF5A6C" w:rsidRPr="00AF5A6C" w:rsidRDefault="00AF5A6C" w:rsidP="00AF5A6C">
      <w:pPr>
        <w:spacing w:after="120"/>
        <w:jc w:val="both"/>
      </w:pPr>
      <w:r>
        <w:t xml:space="preserve">Минималната такса за услугата по доставка на книги, посочена в член 1, четвърта алинея от посочения закон от 10 август 1981 г., се определя на: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включително всички данъци върху всяка поръчка, състояща се от една или повече книги, чиято покупна стойност в нови книги е по-малка от 35 EUR, включително всички данъци;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Повече от 0 EUR, включително всички данъци за всяка поръчка, състояща се от една или повече нови книги, чиято покупна стойност в нови книги е равна или по-голяма от 35 EUR, включително всички данъци.</w:t>
      </w:r>
    </w:p>
    <w:p w:rsidR="00AF5A6C" w:rsidRPr="00AF5A6C" w:rsidRDefault="00AF5A6C" w:rsidP="00AF5A6C">
      <w:pPr>
        <w:spacing w:after="120"/>
        <w:jc w:val="both"/>
      </w:pPr>
      <w:r>
        <w:t xml:space="preserve">Така определената минимална ставка се прилага за услугата за доставка на поръчка, независимо от броя на пакетите, съдържащи се в тази поръчка.</w:t>
      </w:r>
    </w:p>
    <w:p w:rsidR="00AF5A6C" w:rsidRPr="00AF5A6C" w:rsidRDefault="00AF5A6C" w:rsidP="00AF5A6C">
      <w:pPr>
        <w:spacing w:after="120"/>
        <w:jc w:val="both"/>
      </w:pPr>
      <w:r>
        <w:t xml:space="preserve">Услугата за доставка се заплаща от купувача заедно с плащането на поръчката.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Член 2</w:t>
      </w:r>
    </w:p>
    <w:p w:rsidR="00AF5A6C" w:rsidRPr="00AF5A6C" w:rsidRDefault="00AF5A6C" w:rsidP="00AF5A6C">
      <w:pPr>
        <w:spacing w:after="120"/>
        <w:jc w:val="both"/>
      </w:pPr>
      <w:r>
        <w:t xml:space="preserve">Тази поръчка ще бъде публикувана в </w:t>
      </w:r>
      <w:r>
        <w:rPr>
          <w:i/>
        </w:rPr>
        <w:t xml:space="preserve">Официалния вестник </w:t>
      </w:r>
      <w:r>
        <w:t xml:space="preserve"> на Френската република и ще влезе в сила шест месеца след публикуването му.</w:t>
      </w:r>
    </w:p>
    <w:p w:rsidR="00431BDA" w:rsidRDefault="00FB4714" w:rsidP="00FC046A">
      <w:pPr>
        <w:pStyle w:val="SNDatearrt"/>
      </w:pPr>
      <w:r>
        <w:t xml:space="preserve">Съставено на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Министърът на икономиката, финансите и индустриалния и цифровия суверенитет,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Бруно ЛЕ МЕР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Министърът на културата,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Рима АБДУЛ-МАЛАК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bg-BG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bg-BG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bg-BG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