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4E98F" w14:textId="730BB34C" w:rsidR="004D73A6" w:rsidRPr="009F4BE3" w:rsidRDefault="004D73A6" w:rsidP="004D73A6">
      <w:pPr>
        <w:ind w:right="-755"/>
        <w:jc w:val="left"/>
        <w:rPr>
          <w:rFonts w:ascii="Courier New" w:hAnsi="Courier New"/>
          <w:sz w:val="20"/>
        </w:rPr>
      </w:pPr>
      <w:r w:rsidRPr="009F4BE3">
        <w:rPr>
          <w:rFonts w:ascii="Courier New" w:hAnsi="Courier New"/>
          <w:sz w:val="20"/>
        </w:rPr>
        <w:t>1. ------IND- 2021 0045 D-- SV- ------ 20210210 --- --- PROJET</w:t>
      </w:r>
    </w:p>
    <w:p w14:paraId="2A1D7EB4" w14:textId="77777777" w:rsidR="00A1618A" w:rsidRPr="009F4BE3" w:rsidRDefault="00A1618A" w:rsidP="00E5776A">
      <w:pPr>
        <w:spacing w:after="240" w:line="360" w:lineRule="auto"/>
        <w:rPr>
          <w:rFonts w:ascii="Arial" w:hAnsi="Arial" w:cs="Arial"/>
          <w:spacing w:val="-4"/>
          <w:sz w:val="26"/>
          <w:szCs w:val="26"/>
        </w:rPr>
      </w:pPr>
      <w:r w:rsidRPr="009F4BE3">
        <w:rPr>
          <w:rFonts w:ascii="Arial" w:hAnsi="Arial"/>
          <w:spacing w:val="-4"/>
          <w:sz w:val="26"/>
          <w:szCs w:val="26"/>
        </w:rPr>
        <w:t>Förbundsrepubliken Tysklands justitieministerium och ministerium för konsumentskydd</w:t>
      </w:r>
    </w:p>
    <w:p w14:paraId="4892787C" w14:textId="77777777" w:rsidR="00A1618A" w:rsidRPr="009F4BE3" w:rsidRDefault="00A1618A" w:rsidP="00E5776A">
      <w:pPr>
        <w:spacing w:after="360" w:line="360" w:lineRule="auto"/>
        <w:jc w:val="center"/>
        <w:rPr>
          <w:rFonts w:ascii="Arial Fett" w:hAnsi="Arial Fett" w:cs="Arial"/>
          <w:b/>
          <w:spacing w:val="-4"/>
          <w:sz w:val="30"/>
          <w:szCs w:val="30"/>
        </w:rPr>
      </w:pPr>
      <w:r w:rsidRPr="009F4BE3">
        <w:rPr>
          <w:rFonts w:ascii="Arial Fett" w:hAnsi="Arial Fett"/>
          <w:b/>
          <w:spacing w:val="-4"/>
          <w:sz w:val="30"/>
          <w:szCs w:val="30"/>
        </w:rPr>
        <w:t>Förslag till ändring</w:t>
      </w:r>
    </w:p>
    <w:p w14:paraId="3625169F" w14:textId="77777777" w:rsidR="00A1618A" w:rsidRPr="009F4BE3" w:rsidRDefault="00A1618A" w:rsidP="00E5776A">
      <w:pPr>
        <w:spacing w:line="360" w:lineRule="auto"/>
        <w:rPr>
          <w:rFonts w:ascii="Arial" w:hAnsi="Arial" w:cs="Arial"/>
          <w:b/>
          <w:spacing w:val="-4"/>
          <w:sz w:val="26"/>
          <w:szCs w:val="26"/>
        </w:rPr>
      </w:pPr>
      <w:r w:rsidRPr="009F4BE3">
        <w:rPr>
          <w:rFonts w:ascii="Arial" w:hAnsi="Arial"/>
          <w:b/>
          <w:spacing w:val="-4"/>
          <w:sz w:val="26"/>
          <w:szCs w:val="26"/>
        </w:rPr>
        <w:t>av utkastet till lag från förbundsregeringen</w:t>
      </w:r>
    </w:p>
    <w:p w14:paraId="47E1A8FA" w14:textId="77777777" w:rsidR="00A1618A" w:rsidRPr="009F4BE3" w:rsidRDefault="00A1618A" w:rsidP="00E5776A">
      <w:pPr>
        <w:spacing w:after="240" w:line="360" w:lineRule="auto"/>
        <w:rPr>
          <w:rFonts w:ascii="Arial" w:hAnsi="Arial" w:cs="Arial"/>
          <w:b/>
          <w:spacing w:val="-4"/>
          <w:sz w:val="26"/>
          <w:szCs w:val="26"/>
        </w:rPr>
      </w:pPr>
      <w:r w:rsidRPr="009F4BE3">
        <w:rPr>
          <w:rFonts w:ascii="Arial" w:hAnsi="Arial"/>
          <w:b/>
          <w:spacing w:val="-4"/>
          <w:sz w:val="26"/>
          <w:szCs w:val="26"/>
        </w:rPr>
        <w:t xml:space="preserve">– Trycksak </w:t>
      </w:r>
      <w:r w:rsidRPr="009F4BE3">
        <w:rPr>
          <w:rStyle w:val="Marker"/>
          <w:b/>
          <w:spacing w:val="-4"/>
        </w:rPr>
        <w:t>[…]</w:t>
      </w:r>
      <w:r w:rsidRPr="009F4BE3">
        <w:rPr>
          <w:rFonts w:ascii="Arial" w:hAnsi="Arial"/>
          <w:b/>
          <w:spacing w:val="-4"/>
          <w:sz w:val="26"/>
          <w:szCs w:val="26"/>
        </w:rPr>
        <w:t xml:space="preserve"> –</w:t>
      </w:r>
    </w:p>
    <w:p w14:paraId="371C6925" w14:textId="77777777" w:rsidR="00A1618A" w:rsidRPr="009F4BE3" w:rsidRDefault="00A1618A" w:rsidP="00E5776A">
      <w:pPr>
        <w:spacing w:after="480" w:line="360" w:lineRule="auto"/>
        <w:rPr>
          <w:rStyle w:val="Marker"/>
          <w:spacing w:val="-4"/>
        </w:rPr>
      </w:pPr>
      <w:r w:rsidRPr="009F4BE3">
        <w:rPr>
          <w:rStyle w:val="Marker"/>
          <w:spacing w:val="-4"/>
        </w:rPr>
        <w:t>[…]</w:t>
      </w:r>
    </w:p>
    <w:p w14:paraId="57FA809D" w14:textId="77777777" w:rsidR="00A1618A" w:rsidRPr="009F4BE3" w:rsidRDefault="00A1618A" w:rsidP="00E5776A">
      <w:pPr>
        <w:spacing w:line="360" w:lineRule="auto"/>
        <w:rPr>
          <w:rFonts w:ascii="Arial" w:hAnsi="Arial" w:cs="Arial"/>
          <w:spacing w:val="-4"/>
          <w:sz w:val="22"/>
        </w:rPr>
      </w:pPr>
      <w:r w:rsidRPr="009F4BE3">
        <w:rPr>
          <w:rFonts w:ascii="Arial" w:hAnsi="Arial"/>
          <w:spacing w:val="-4"/>
          <w:sz w:val="22"/>
        </w:rPr>
        <w:t>Förbundsregeringen avser besluta om</w:t>
      </w:r>
    </w:p>
    <w:p w14:paraId="7B2A7215" w14:textId="5911DA34" w:rsidR="0063228E" w:rsidRPr="009F4BE3" w:rsidRDefault="00A1618A" w:rsidP="00E5776A">
      <w:pPr>
        <w:spacing w:line="360" w:lineRule="auto"/>
        <w:rPr>
          <w:rFonts w:ascii="Arial" w:hAnsi="Arial" w:cs="Arial"/>
          <w:spacing w:val="-4"/>
          <w:sz w:val="22"/>
        </w:rPr>
      </w:pPr>
      <w:r w:rsidRPr="009F4BE3">
        <w:rPr>
          <w:rFonts w:ascii="Arial" w:hAnsi="Arial"/>
          <w:spacing w:val="-4"/>
          <w:sz w:val="22"/>
        </w:rPr>
        <w:t xml:space="preserve">att anta utkastet till lag beträffande trycksak </w:t>
      </w:r>
      <w:r w:rsidRPr="009F4BE3">
        <w:rPr>
          <w:rStyle w:val="Marker"/>
          <w:spacing w:val="-4"/>
        </w:rPr>
        <w:t>[…]</w:t>
      </w:r>
      <w:r w:rsidRPr="009F4BE3">
        <w:rPr>
          <w:rFonts w:ascii="Arial" w:hAnsi="Arial"/>
          <w:spacing w:val="-4"/>
          <w:sz w:val="22"/>
        </w:rPr>
        <w:t xml:space="preserve"> med följande villkor, i övrigt oförändrat:</w:t>
      </w:r>
    </w:p>
    <w:p w14:paraId="63DEEB82" w14:textId="1DF3B60D" w:rsidR="00A1618A" w:rsidRPr="009F4BE3" w:rsidRDefault="00A1618A" w:rsidP="00A1618A">
      <w:pPr>
        <w:pStyle w:val="EmpfehlungNummerierungStufe1"/>
        <w:rPr>
          <w:spacing w:val="-4"/>
        </w:rPr>
      </w:pPr>
      <w:r w:rsidRPr="009F4BE3">
        <w:rPr>
          <w:spacing w:val="-4"/>
        </w:rPr>
        <w:t>Efter artikel ... ska följande artikel ... införas:</w:t>
      </w:r>
    </w:p>
    <w:p w14:paraId="299BD583" w14:textId="5B63D453" w:rsidR="00E5776A" w:rsidRPr="009F4BE3" w:rsidRDefault="00E5776A" w:rsidP="009C727B">
      <w:pPr>
        <w:pStyle w:val="RevisionArtikelBezeichnermanuell"/>
        <w:ind w:left="425" w:hanging="70"/>
        <w:rPr>
          <w:spacing w:val="-4"/>
        </w:rPr>
      </w:pPr>
      <w:r w:rsidRPr="009F4BE3">
        <w:rPr>
          <w:spacing w:val="-4"/>
        </w:rPr>
        <w:t>”Artikel </w:t>
      </w:r>
      <w:r w:rsidRPr="009F4BE3">
        <w:rPr>
          <w:rStyle w:val="Marker"/>
          <w:spacing w:val="-4"/>
        </w:rPr>
        <w:t>[…]</w:t>
      </w:r>
      <w:r w:rsidRPr="009F4BE3">
        <w:rPr>
          <w:rStyle w:val="FootnoteReference"/>
          <w:color w:val="0000FF"/>
          <w:spacing w:val="-4"/>
        </w:rPr>
        <w:footnoteReference w:customMarkFollows="1" w:id="1"/>
        <w:t>*</w:t>
      </w:r>
      <w:r w:rsidRPr="009F4BE3">
        <w:rPr>
          <w:rStyle w:val="FootnoteReference"/>
          <w:color w:val="0000FF"/>
          <w:spacing w:val="-4"/>
          <w:vertAlign w:val="baseline"/>
        </w:rPr>
        <w:t>)</w:t>
      </w:r>
      <w:r w:rsidRPr="009F4BE3">
        <w:rPr>
          <w:rStyle w:val="Marker"/>
          <w:spacing w:val="-4"/>
        </w:rPr>
        <w:t xml:space="preserve"> </w:t>
      </w:r>
    </w:p>
    <w:p w14:paraId="0353C7F8" w14:textId="06DB94DE" w:rsidR="00D879BF" w:rsidRPr="009F4BE3" w:rsidRDefault="00D879BF" w:rsidP="009C727B">
      <w:pPr>
        <w:pStyle w:val="RevisionArtikelberschrift"/>
        <w:ind w:left="425"/>
        <w:rPr>
          <w:spacing w:val="-4"/>
        </w:rPr>
      </w:pPr>
      <w:r w:rsidRPr="009F4BE3">
        <w:rPr>
          <w:b/>
          <w:spacing w:val="-4"/>
        </w:rPr>
        <w:t>Ändring av lagen om förbättrad efterlevnad av lagstiftning i sociala nätverk</w:t>
      </w:r>
    </w:p>
    <w:p w14:paraId="17D06E04" w14:textId="25FA39A2" w:rsidR="00A1618A" w:rsidRPr="009F4BE3" w:rsidRDefault="00A1618A" w:rsidP="0018171E">
      <w:pPr>
        <w:pStyle w:val="RevisionJuristischerAbsatzmanuell"/>
        <w:keepNext/>
        <w:tabs>
          <w:tab w:val="clear" w:pos="850"/>
          <w:tab w:val="left" w:pos="1275"/>
        </w:tabs>
        <w:ind w:left="425"/>
        <w:rPr>
          <w:spacing w:val="-6"/>
        </w:rPr>
      </w:pPr>
      <w:r w:rsidRPr="009F4BE3">
        <w:rPr>
          <w:spacing w:val="-6"/>
        </w:rPr>
        <w:t>Lagen om förbättrad efterlevnad av lagstiftning i sociala nätverk (</w:t>
      </w:r>
      <w:r w:rsidRPr="009F4BE3">
        <w:rPr>
          <w:i/>
          <w:iCs/>
          <w:spacing w:val="-6"/>
        </w:rPr>
        <w:t>Netzwerkdurchsetzungsgesetz</w:t>
      </w:r>
      <w:r w:rsidRPr="009F4BE3">
        <w:rPr>
          <w:spacing w:val="-6"/>
        </w:rPr>
        <w:t xml:space="preserve">) av den 1 september 2017 (Tysklands officiella tidning [BGBl., </w:t>
      </w:r>
      <w:r w:rsidRPr="009F4BE3">
        <w:rPr>
          <w:i/>
          <w:iCs/>
          <w:spacing w:val="-6"/>
        </w:rPr>
        <w:t>Bundesgesetzblatt</w:t>
      </w:r>
      <w:r w:rsidRPr="009F4BE3">
        <w:rPr>
          <w:spacing w:val="-6"/>
        </w:rPr>
        <w:t>] I s. 3352), senast ändrad genom … [artikel 1 i utkastet till en lag om ändring av lagen om förbättrad efterlevnad av lagstiftning i sociala nätverk, förbundsdagens trycksak 19/18792], ska ändras på följande sätt:</w:t>
      </w:r>
    </w:p>
    <w:p w14:paraId="32195031" w14:textId="0D6EA219" w:rsidR="00A1618A" w:rsidRPr="009F4BE3" w:rsidRDefault="00A1618A" w:rsidP="009C727B">
      <w:pPr>
        <w:pStyle w:val="RevisionNummerierungStufe1"/>
        <w:numPr>
          <w:ilvl w:val="3"/>
          <w:numId w:val="2"/>
        </w:numPr>
        <w:tabs>
          <w:tab w:val="clear" w:pos="425"/>
          <w:tab w:val="num" w:pos="850"/>
        </w:tabs>
        <w:ind w:left="850"/>
        <w:rPr>
          <w:spacing w:val="-4"/>
        </w:rPr>
      </w:pPr>
      <w:r w:rsidRPr="009F4BE3">
        <w:rPr>
          <w:spacing w:val="-4"/>
        </w:rPr>
        <w:t xml:space="preserve">I 1 § punkt 2 ska uppgiften </w:t>
      </w:r>
      <w:r w:rsidRPr="009F4BE3">
        <w:rPr>
          <w:rStyle w:val="RevisionText"/>
          <w:spacing w:val="-4"/>
        </w:rPr>
        <w:t>”2–3b §§”</w:t>
      </w:r>
      <w:r w:rsidRPr="009F4BE3">
        <w:rPr>
          <w:spacing w:val="-4"/>
        </w:rPr>
        <w:t xml:space="preserve"> ersättas med orden </w:t>
      </w:r>
      <w:r w:rsidRPr="009F4BE3">
        <w:rPr>
          <w:rStyle w:val="RevisionText"/>
          <w:spacing w:val="-4"/>
        </w:rPr>
        <w:t>”2–3b §§ och 5a §”</w:t>
      </w:r>
      <w:r w:rsidRPr="009F4BE3">
        <w:rPr>
          <w:spacing w:val="-4"/>
        </w:rPr>
        <w:t>.</w:t>
      </w:r>
    </w:p>
    <w:p w14:paraId="10263F3F" w14:textId="0779D0EE" w:rsidR="00A1618A" w:rsidRPr="009F4BE3" w:rsidRDefault="00A1618A" w:rsidP="009C727B">
      <w:pPr>
        <w:pStyle w:val="RevisionNummerierungStufe1"/>
        <w:tabs>
          <w:tab w:val="clear" w:pos="425"/>
          <w:tab w:val="num" w:pos="850"/>
        </w:tabs>
        <w:ind w:left="850"/>
        <w:rPr>
          <w:spacing w:val="-4"/>
        </w:rPr>
      </w:pPr>
      <w:r w:rsidRPr="009F4BE3">
        <w:rPr>
          <w:spacing w:val="-4"/>
        </w:rPr>
        <w:t xml:space="preserve">I 2 § punkt 2.2 ska orden </w:t>
      </w:r>
      <w:r w:rsidRPr="009F4BE3">
        <w:rPr>
          <w:rStyle w:val="RevisionText"/>
          <w:spacing w:val="-4"/>
        </w:rPr>
        <w:t>”och som för detta ändamål har beviljats åtkomst till leverantörens uppgifter”</w:t>
      </w:r>
      <w:r w:rsidRPr="009F4BE3">
        <w:rPr>
          <w:spacing w:val="-4"/>
        </w:rPr>
        <w:t xml:space="preserve"> införas efter ordet </w:t>
      </w:r>
      <w:r w:rsidRPr="009F4BE3">
        <w:rPr>
          <w:rStyle w:val="RevisionText"/>
          <w:spacing w:val="-4"/>
        </w:rPr>
        <w:t>”stöds”</w:t>
      </w:r>
      <w:r w:rsidRPr="009F4BE3">
        <w:rPr>
          <w:spacing w:val="-4"/>
        </w:rPr>
        <w:t>.</w:t>
      </w:r>
    </w:p>
    <w:p w14:paraId="26550664" w14:textId="0FE945BB" w:rsidR="00A1618A" w:rsidRPr="009F4BE3" w:rsidRDefault="00A1618A" w:rsidP="0018171E">
      <w:pPr>
        <w:pStyle w:val="RevisionNummerierungStufe1"/>
        <w:keepNext/>
        <w:tabs>
          <w:tab w:val="clear" w:pos="425"/>
          <w:tab w:val="num" w:pos="850"/>
        </w:tabs>
        <w:ind w:left="850"/>
        <w:rPr>
          <w:spacing w:val="-4"/>
        </w:rPr>
      </w:pPr>
      <w:r w:rsidRPr="009F4BE3">
        <w:rPr>
          <w:spacing w:val="-4"/>
        </w:rPr>
        <w:t>Efter 5 § ska följande införas som 5a §:</w:t>
      </w:r>
    </w:p>
    <w:p w14:paraId="0324CC36" w14:textId="2F7FB129" w:rsidR="00D879BF" w:rsidRPr="009F4BE3" w:rsidRDefault="00D879BF" w:rsidP="009C727B">
      <w:pPr>
        <w:pStyle w:val="RevisionParagraphBezeichnermanuell"/>
        <w:ind w:left="850" w:hanging="90"/>
        <w:rPr>
          <w:spacing w:val="-4"/>
        </w:rPr>
      </w:pPr>
      <w:r w:rsidRPr="009F4BE3">
        <w:rPr>
          <w:spacing w:val="-4"/>
        </w:rPr>
        <w:t>”5a §</w:t>
      </w:r>
    </w:p>
    <w:p w14:paraId="726DC658" w14:textId="39CB7E5F" w:rsidR="00D879BF" w:rsidRPr="009F4BE3" w:rsidRDefault="00D879BF" w:rsidP="009C727B">
      <w:pPr>
        <w:pStyle w:val="RevisionParagraphberschrift"/>
        <w:ind w:left="850"/>
        <w:rPr>
          <w:spacing w:val="-4"/>
        </w:rPr>
      </w:pPr>
      <w:r w:rsidRPr="009F4BE3">
        <w:rPr>
          <w:spacing w:val="-4"/>
        </w:rPr>
        <w:t>Upplysningar för vetenskaplig forskning</w:t>
      </w:r>
    </w:p>
    <w:p w14:paraId="6AD69D50" w14:textId="4BFCD7E0" w:rsidR="003E7797" w:rsidRPr="009F4BE3" w:rsidRDefault="00792014" w:rsidP="009C727B">
      <w:pPr>
        <w:pStyle w:val="RevisionJuristischerAbsatz"/>
        <w:numPr>
          <w:ilvl w:val="2"/>
          <w:numId w:val="1"/>
        </w:numPr>
        <w:tabs>
          <w:tab w:val="clear" w:pos="850"/>
          <w:tab w:val="num" w:pos="1700"/>
        </w:tabs>
        <w:ind w:left="850"/>
        <w:rPr>
          <w:spacing w:val="-4"/>
        </w:rPr>
      </w:pPr>
      <w:r w:rsidRPr="009F4BE3">
        <w:rPr>
          <w:spacing w:val="-4"/>
        </w:rPr>
        <w:t xml:space="preserve">I denna föreskrift avses med </w:t>
      </w:r>
      <w:r w:rsidRPr="009F4BE3">
        <w:rPr>
          <w:i/>
          <w:iCs/>
          <w:spacing w:val="-4"/>
        </w:rPr>
        <w:t>forskare</w:t>
      </w:r>
      <w:r w:rsidRPr="009F4BE3">
        <w:rPr>
          <w:spacing w:val="-4"/>
        </w:rPr>
        <w:t xml:space="preserve"> varje fysisk eller juridisk person som bedriver vetenskaplig forskning.</w:t>
      </w:r>
    </w:p>
    <w:p w14:paraId="465DF5C8" w14:textId="2D2C57F4" w:rsidR="003E7797" w:rsidRPr="009F4BE3" w:rsidRDefault="003E7797" w:rsidP="0018171E">
      <w:pPr>
        <w:pStyle w:val="RevisionJuristischerAbsatz"/>
        <w:keepNext/>
        <w:tabs>
          <w:tab w:val="clear" w:pos="850"/>
          <w:tab w:val="num" w:pos="1700"/>
        </w:tabs>
        <w:ind w:left="850"/>
        <w:rPr>
          <w:spacing w:val="-4"/>
        </w:rPr>
      </w:pPr>
      <w:r w:rsidRPr="009F4BE3">
        <w:rPr>
          <w:spacing w:val="-4"/>
        </w:rPr>
        <w:lastRenderedPageBreak/>
        <w:t>En forskare kan från en leverantör av sociala nätverk begära kvalificerade upplysningar om</w:t>
      </w:r>
    </w:p>
    <w:p w14:paraId="1DAACCE7" w14:textId="576C75C0" w:rsidR="003E7797" w:rsidRPr="009F4BE3" w:rsidRDefault="003E7797" w:rsidP="009C727B">
      <w:pPr>
        <w:pStyle w:val="RevisionNummerierungStufe1"/>
        <w:tabs>
          <w:tab w:val="clear" w:pos="425"/>
          <w:tab w:val="num" w:pos="1275"/>
        </w:tabs>
        <w:ind w:left="1275"/>
        <w:rPr>
          <w:spacing w:val="-4"/>
        </w:rPr>
      </w:pPr>
      <w:r w:rsidRPr="009F4BE3">
        <w:rPr>
          <w:spacing w:val="-4"/>
        </w:rPr>
        <w:t>tillämpning och konkret funktion av metoder för automatisk identifiering av innehåll som ska avlägsnas eller blockeras, bland annat om typ och omfattning av tekniker som används och om ändamål, kriterier och parametrar avseende deras programmering samt om de data som används,</w:t>
      </w:r>
    </w:p>
    <w:p w14:paraId="3C838C31" w14:textId="1ACF9BED" w:rsidR="003E7797" w:rsidRPr="009F4BE3" w:rsidRDefault="003E7797" w:rsidP="009C727B">
      <w:pPr>
        <w:pStyle w:val="RevisionNummerierungStufe1"/>
        <w:tabs>
          <w:tab w:val="clear" w:pos="425"/>
          <w:tab w:val="num" w:pos="1275"/>
        </w:tabs>
        <w:ind w:left="1275"/>
        <w:rPr>
          <w:spacing w:val="-4"/>
        </w:rPr>
      </w:pPr>
      <w:r w:rsidRPr="009F4BE3">
        <w:rPr>
          <w:spacing w:val="-4"/>
        </w:rPr>
        <w:t>spridning av innehåll som har varit föremål för klagomål avseende lagstridigt innehåll eller som avlägsnats eller blockerats av leverantören, bland annat om respektive innehåll samt uppgifter om vilka användare som har interagerat med innehållet och på vilket sätt.</w:t>
      </w:r>
    </w:p>
    <w:p w14:paraId="1DA5F836" w14:textId="37C638B4" w:rsidR="003E7797" w:rsidRPr="009F4BE3" w:rsidRDefault="003E7797" w:rsidP="009C727B">
      <w:pPr>
        <w:pStyle w:val="RevisionJuristischerAbsatz"/>
        <w:tabs>
          <w:tab w:val="clear" w:pos="850"/>
          <w:tab w:val="num" w:pos="1700"/>
        </w:tabs>
        <w:ind w:left="850"/>
        <w:rPr>
          <w:spacing w:val="-4"/>
        </w:rPr>
      </w:pPr>
      <w:r w:rsidRPr="009F4BE3">
        <w:rPr>
          <w:spacing w:val="-4"/>
        </w:rPr>
        <w:t>Upplysningar enligt punkt 2 kan endast begäras i den mån de är nödvändiga för vetenskapliga forskningsprojekt i allmänhetens intresse om typ, omfattning, orsaker och funktioner vad gäller offentlig kommunikation i sociala nätverk och leverantörernas hantering av detta.</w:t>
      </w:r>
    </w:p>
    <w:p w14:paraId="0D5D8322" w14:textId="0EC96F12" w:rsidR="003B0970" w:rsidRPr="009F4BE3" w:rsidRDefault="003B0970" w:rsidP="0018171E">
      <w:pPr>
        <w:pStyle w:val="RevisionJuristischerAbsatz"/>
        <w:keepNext/>
        <w:tabs>
          <w:tab w:val="clear" w:pos="850"/>
          <w:tab w:val="num" w:pos="1700"/>
        </w:tabs>
        <w:ind w:left="850"/>
        <w:rPr>
          <w:spacing w:val="-4"/>
        </w:rPr>
      </w:pPr>
      <w:r w:rsidRPr="009F4BE3">
        <w:rPr>
          <w:spacing w:val="-4"/>
        </w:rPr>
        <w:t>Upplysningar får endast lämnas om forskaren lägger fram ett skyddskoncept för leverantören av det sociala nätverket. Skyddskonceptet ska innehålla</w:t>
      </w:r>
    </w:p>
    <w:p w14:paraId="577C67EC" w14:textId="60CDC11C" w:rsidR="003B0970" w:rsidRPr="009F4BE3" w:rsidRDefault="003B0970" w:rsidP="009C727B">
      <w:pPr>
        <w:pStyle w:val="RevisionNummerierungStufe1"/>
        <w:tabs>
          <w:tab w:val="clear" w:pos="425"/>
          <w:tab w:val="num" w:pos="1275"/>
        </w:tabs>
        <w:ind w:left="1275"/>
        <w:rPr>
          <w:spacing w:val="-4"/>
        </w:rPr>
      </w:pPr>
      <w:r w:rsidRPr="009F4BE3">
        <w:rPr>
          <w:spacing w:val="-4"/>
        </w:rPr>
        <w:t>en beskrivning av de uppgifter som krävs för forskningsändamål enligt punkt 3,</w:t>
      </w:r>
    </w:p>
    <w:p w14:paraId="5AABA7E4" w14:textId="3A66C314" w:rsidR="003B0970" w:rsidRPr="009F4BE3" w:rsidRDefault="003B0970" w:rsidP="009C727B">
      <w:pPr>
        <w:pStyle w:val="RevisionNummerierungStufe1"/>
        <w:tabs>
          <w:tab w:val="clear" w:pos="425"/>
          <w:tab w:val="num" w:pos="1275"/>
        </w:tabs>
        <w:ind w:left="1275"/>
        <w:rPr>
          <w:spacing w:val="-4"/>
        </w:rPr>
      </w:pPr>
      <w:r w:rsidRPr="009F4BE3">
        <w:rPr>
          <w:spacing w:val="-4"/>
        </w:rPr>
        <w:t>en beskrivning av uppgifternas avsedda användning,</w:t>
      </w:r>
    </w:p>
    <w:p w14:paraId="0654C9E5" w14:textId="4D2A02B0" w:rsidR="003B0970" w:rsidRPr="009F4BE3" w:rsidRDefault="009A5C22" w:rsidP="009C727B">
      <w:pPr>
        <w:pStyle w:val="RevisionNummerierungStufe1"/>
        <w:tabs>
          <w:tab w:val="clear" w:pos="425"/>
          <w:tab w:val="num" w:pos="1275"/>
        </w:tabs>
        <w:ind w:left="1275"/>
        <w:rPr>
          <w:spacing w:val="-4"/>
        </w:rPr>
      </w:pPr>
      <w:r w:rsidRPr="009F4BE3">
        <w:rPr>
          <w:spacing w:val="-4"/>
        </w:rPr>
        <w:t>en beskrivning av de åtgärder som ska förebygga användning av uppgifterna för andra ändamål,</w:t>
      </w:r>
    </w:p>
    <w:p w14:paraId="7DD21787" w14:textId="65E2C567" w:rsidR="003B0970" w:rsidRPr="009F4BE3" w:rsidRDefault="009A5C22" w:rsidP="009C727B">
      <w:pPr>
        <w:pStyle w:val="RevisionNummerierungStufe1"/>
        <w:tabs>
          <w:tab w:val="clear" w:pos="425"/>
          <w:tab w:val="num" w:pos="1275"/>
        </w:tabs>
        <w:ind w:left="1275"/>
        <w:rPr>
          <w:spacing w:val="-4"/>
        </w:rPr>
      </w:pPr>
      <w:r w:rsidRPr="009F4BE3">
        <w:rPr>
          <w:spacing w:val="-4"/>
        </w:rPr>
        <w:t>en beskrivning av de åtgärder som ska skydda leverantörens legitima intressen och</w:t>
      </w:r>
    </w:p>
    <w:p w14:paraId="7FDD7EDD" w14:textId="6C7443DB" w:rsidR="003B0970" w:rsidRPr="009F4BE3" w:rsidRDefault="003B0970" w:rsidP="009C727B">
      <w:pPr>
        <w:pStyle w:val="RevisionNummerierungStufe1"/>
        <w:tabs>
          <w:tab w:val="clear" w:pos="425"/>
          <w:tab w:val="num" w:pos="1275"/>
        </w:tabs>
        <w:ind w:left="1275"/>
        <w:rPr>
          <w:spacing w:val="-4"/>
        </w:rPr>
      </w:pPr>
      <w:r w:rsidRPr="009F4BE3">
        <w:rPr>
          <w:spacing w:val="-4"/>
        </w:rPr>
        <w:t>en beskrivning av de tekniska och organisatoriska åtgärder som ska garantera skyddet av personuppgifterna.</w:t>
      </w:r>
    </w:p>
    <w:p w14:paraId="6F58E8FB" w14:textId="7863B11B" w:rsidR="003B0970" w:rsidRPr="009F4BE3" w:rsidRDefault="003B0970" w:rsidP="009C727B">
      <w:pPr>
        <w:pStyle w:val="RevisionJuristischerAbsatzFolgeabsatz"/>
        <w:ind w:left="850"/>
        <w:rPr>
          <w:spacing w:val="-4"/>
        </w:rPr>
      </w:pPr>
      <w:r w:rsidRPr="009F4BE3">
        <w:rPr>
          <w:spacing w:val="-4"/>
        </w:rPr>
        <w:t>Skyddskonceptet ska överlämnas till behörig datatillsynsmyndighet tillsammans med begäran om upplysning.</w:t>
      </w:r>
    </w:p>
    <w:p w14:paraId="4D175D2B" w14:textId="0B4186A8" w:rsidR="009C0AFB" w:rsidRPr="009F4BE3" w:rsidRDefault="003E7797" w:rsidP="0018171E">
      <w:pPr>
        <w:pStyle w:val="RevisionJuristischerAbsatz"/>
        <w:keepNext/>
        <w:tabs>
          <w:tab w:val="clear" w:pos="850"/>
          <w:tab w:val="num" w:pos="1700"/>
        </w:tabs>
        <w:ind w:left="850"/>
        <w:rPr>
          <w:spacing w:val="-4"/>
        </w:rPr>
      </w:pPr>
      <w:r w:rsidRPr="009F4BE3">
        <w:rPr>
          <w:spacing w:val="-4"/>
        </w:rPr>
        <w:t>Leverantören av ett socialt nätverk kan vägra upplysningen, om</w:t>
      </w:r>
    </w:p>
    <w:p w14:paraId="20E7290B" w14:textId="1403DA61" w:rsidR="009C0AFB" w:rsidRPr="009F4BE3" w:rsidRDefault="003E7797" w:rsidP="009C727B">
      <w:pPr>
        <w:pStyle w:val="RevisionNummerierungStufe1"/>
        <w:tabs>
          <w:tab w:val="clear" w:pos="425"/>
          <w:tab w:val="num" w:pos="1275"/>
        </w:tabs>
        <w:ind w:left="1275"/>
        <w:rPr>
          <w:spacing w:val="-4"/>
        </w:rPr>
      </w:pPr>
      <w:r w:rsidRPr="009F4BE3">
        <w:rPr>
          <w:spacing w:val="-4"/>
        </w:rPr>
        <w:t>leverantörens legitima intressen i hög grad överväger allmänhetens intresse eller</w:t>
      </w:r>
    </w:p>
    <w:p w14:paraId="0330033E" w14:textId="544CB962" w:rsidR="003E7797" w:rsidRPr="009F4BE3" w:rsidRDefault="003E7797" w:rsidP="009C727B">
      <w:pPr>
        <w:pStyle w:val="RevisionNummerierungStufe1"/>
        <w:tabs>
          <w:tab w:val="clear" w:pos="425"/>
          <w:tab w:val="num" w:pos="1275"/>
        </w:tabs>
        <w:ind w:left="1275"/>
        <w:rPr>
          <w:spacing w:val="-4"/>
        </w:rPr>
      </w:pPr>
      <w:r w:rsidRPr="009F4BE3">
        <w:rPr>
          <w:spacing w:val="-4"/>
        </w:rPr>
        <w:t>de registrerade personernas legitima intressen skadas och allmänhetens intresse i forskningen inte överväger de registrerade personernas konfidentialitet.</w:t>
      </w:r>
    </w:p>
    <w:p w14:paraId="63F909E8" w14:textId="4478DA44" w:rsidR="00D969A6" w:rsidRPr="009F4BE3" w:rsidRDefault="00D969A6" w:rsidP="0018171E">
      <w:pPr>
        <w:pStyle w:val="RevisionJuristischerAbsatz"/>
        <w:keepNext/>
        <w:tabs>
          <w:tab w:val="clear" w:pos="850"/>
          <w:tab w:val="num" w:pos="1700"/>
        </w:tabs>
        <w:ind w:left="850"/>
        <w:rPr>
          <w:spacing w:val="-4"/>
        </w:rPr>
      </w:pPr>
      <w:r w:rsidRPr="009F4BE3">
        <w:rPr>
          <w:spacing w:val="-4"/>
        </w:rPr>
        <w:t>Leverantören av ett socialt nätverk får förmedla följande personuppgifter för att lämna upplysningar enligt punkt 2:</w:t>
      </w:r>
    </w:p>
    <w:p w14:paraId="63FE05D0" w14:textId="1ABFB4BC" w:rsidR="00D969A6" w:rsidRPr="009F4BE3" w:rsidRDefault="00D969A6" w:rsidP="009C727B">
      <w:pPr>
        <w:pStyle w:val="RevisionNummerierungStufe1"/>
        <w:tabs>
          <w:tab w:val="clear" w:pos="425"/>
          <w:tab w:val="num" w:pos="1275"/>
        </w:tabs>
        <w:ind w:left="1275"/>
        <w:rPr>
          <w:spacing w:val="-4"/>
        </w:rPr>
      </w:pPr>
      <w:r w:rsidRPr="009F4BE3">
        <w:rPr>
          <w:spacing w:val="-4"/>
        </w:rPr>
        <w:t>Innehåll som har spridits.</w:t>
      </w:r>
    </w:p>
    <w:p w14:paraId="2331E910" w14:textId="7E2B248A" w:rsidR="00D969A6" w:rsidRPr="009F4BE3" w:rsidRDefault="00D969A6" w:rsidP="009C727B">
      <w:pPr>
        <w:pStyle w:val="RevisionNummerierungStufe1"/>
        <w:tabs>
          <w:tab w:val="clear" w:pos="425"/>
          <w:tab w:val="num" w:pos="1275"/>
        </w:tabs>
        <w:ind w:left="1275"/>
        <w:rPr>
          <w:spacing w:val="-4"/>
        </w:rPr>
      </w:pPr>
      <w:r w:rsidRPr="009F4BE3">
        <w:rPr>
          <w:spacing w:val="-4"/>
        </w:rPr>
        <w:t>Klagomål om lagstridigt innehåll.</w:t>
      </w:r>
    </w:p>
    <w:p w14:paraId="4CC6BEE3" w14:textId="48B4D2C4" w:rsidR="00D969A6" w:rsidRPr="009F4BE3" w:rsidRDefault="00D969A6" w:rsidP="009C727B">
      <w:pPr>
        <w:pStyle w:val="RevisionNummerierungStufe1"/>
        <w:tabs>
          <w:tab w:val="clear" w:pos="425"/>
          <w:tab w:val="num" w:pos="1275"/>
        </w:tabs>
        <w:ind w:left="1275"/>
        <w:rPr>
          <w:spacing w:val="-4"/>
        </w:rPr>
      </w:pPr>
      <w:r w:rsidRPr="009F4BE3">
        <w:rPr>
          <w:spacing w:val="-4"/>
        </w:rPr>
        <w:t>Användarnamn på de parter som är delaktiga i spridningen.</w:t>
      </w:r>
    </w:p>
    <w:p w14:paraId="7F95ED84" w14:textId="6E103565" w:rsidR="00D969A6" w:rsidRPr="009F4BE3" w:rsidRDefault="00D969A6" w:rsidP="009C727B">
      <w:pPr>
        <w:pStyle w:val="RevisionNummerierungStufe1"/>
        <w:tabs>
          <w:tab w:val="clear" w:pos="425"/>
          <w:tab w:val="num" w:pos="1275"/>
        </w:tabs>
        <w:ind w:left="1275"/>
        <w:rPr>
          <w:spacing w:val="-4"/>
        </w:rPr>
      </w:pPr>
      <w:r w:rsidRPr="009F4BE3">
        <w:rPr>
          <w:spacing w:val="-4"/>
        </w:rPr>
        <w:t>Detaljer om interaktionerna av de parter som är delaktiga i spridningen med avseende på det aktuella innehållet.</w:t>
      </w:r>
    </w:p>
    <w:p w14:paraId="35C5E61A" w14:textId="08449E2C" w:rsidR="00D969A6" w:rsidRPr="009F4BE3" w:rsidRDefault="00D969A6" w:rsidP="009C727B">
      <w:pPr>
        <w:pStyle w:val="RevisionNummerierungStufe1"/>
        <w:tabs>
          <w:tab w:val="clear" w:pos="425"/>
          <w:tab w:val="num" w:pos="1275"/>
        </w:tabs>
        <w:ind w:left="1275"/>
        <w:rPr>
          <w:spacing w:val="-4"/>
        </w:rPr>
      </w:pPr>
      <w:r w:rsidRPr="009F4BE3">
        <w:rPr>
          <w:spacing w:val="-4"/>
        </w:rPr>
        <w:t>Inlärningsdata för metoder för automatisk identifiering av innehåll som ska avlägsnas eller blockeras, samt uppgifter om funktion, ändamål, kriterier och parametrar avseende programmering av dessa metoder.</w:t>
      </w:r>
    </w:p>
    <w:p w14:paraId="041944BF" w14:textId="44C7953A" w:rsidR="00D969A6" w:rsidRPr="009F4BE3" w:rsidRDefault="00D969A6" w:rsidP="009C727B">
      <w:pPr>
        <w:pStyle w:val="RevisionJuristischerAbsatzFolgeabsatz"/>
        <w:ind w:left="850"/>
        <w:rPr>
          <w:spacing w:val="-4"/>
        </w:rPr>
      </w:pPr>
      <w:r w:rsidRPr="009F4BE3">
        <w:rPr>
          <w:spacing w:val="-4"/>
        </w:rPr>
        <w:lastRenderedPageBreak/>
        <w:t>Uppgifterna ska förmedlas i avidentifierad eller åtminstone i pseudonymiserad form, i den mån det är möjligt utan att äventyra forskningsändamålet.</w:t>
      </w:r>
    </w:p>
    <w:p w14:paraId="586F09EF" w14:textId="3B2EB56C" w:rsidR="00D969A6" w:rsidRPr="009F4BE3" w:rsidRDefault="00D969A6" w:rsidP="009C727B">
      <w:pPr>
        <w:pStyle w:val="RevisionJuristischerAbsatz"/>
        <w:tabs>
          <w:tab w:val="clear" w:pos="850"/>
          <w:tab w:val="num" w:pos="1700"/>
        </w:tabs>
        <w:ind w:left="850"/>
        <w:rPr>
          <w:spacing w:val="-4"/>
        </w:rPr>
      </w:pPr>
      <w:r w:rsidRPr="009F4BE3">
        <w:rPr>
          <w:spacing w:val="-4"/>
        </w:rPr>
        <w:t>Forskaren får endast behandla uppgifterna för projekt inom vetenskaplig forskning enligt punkt 3. Om särskilda kategorier av uppgifter behandlas enligt artikel 9.1 i Europaparlamentets och rådets förordning (EU) 2016/679 av den 27 april 2016 om skydd för fysiska personer med avseende på behandling av personuppgifter och om det fria flödet av sådana uppgifter och om upphävande av direktiv 95/46/EG (allmän dataskyddsförordning) (EUT L 119, 4.5.2016, s. 1; EUT L 314, 22.11.2016, s. 72; EUT L 127, 23.5.2018, s. 2) i deras gällande lydelse ska forskaren fastställa lämpliga och specifika åtgärder för att skydda berörd persons intressen enligt 22 § punkt 2 andra meningen i den federala dataskyddslagen (</w:t>
      </w:r>
      <w:r w:rsidRPr="009F4BE3">
        <w:rPr>
          <w:i/>
          <w:iCs/>
          <w:spacing w:val="-4"/>
        </w:rPr>
        <w:t>Bundesdatenschutzgesetz</w:t>
      </w:r>
      <w:r w:rsidRPr="009F4BE3">
        <w:rPr>
          <w:spacing w:val="-4"/>
        </w:rPr>
        <w:t>). Utöver de åtgärder som anges däri ska uppgifterna enligt artikel 9.1 i förordning (EU) 2016/679 avidentifieras när det är möjligt i enlighet med forskningsändamålet. Ytterligare dataskyddsrättsliga föreskrifter påverkas inte.</w:t>
      </w:r>
    </w:p>
    <w:p w14:paraId="1627C846" w14:textId="381758EE" w:rsidR="0063228E" w:rsidRPr="009F4BE3" w:rsidRDefault="00D969A6" w:rsidP="00301E30">
      <w:pPr>
        <w:pStyle w:val="RevisionJuristischerAbsatz"/>
        <w:tabs>
          <w:tab w:val="clear" w:pos="850"/>
          <w:tab w:val="num" w:pos="1700"/>
        </w:tabs>
        <w:ind w:left="850"/>
        <w:rPr>
          <w:spacing w:val="-4"/>
        </w:rPr>
      </w:pPr>
      <w:r w:rsidRPr="009F4BE3">
        <w:rPr>
          <w:spacing w:val="-4"/>
        </w:rPr>
        <w:t>Leverantören av ett socialt nätverk har rätt till en rimlig ersättning från forskaren för kostnader som uppstår i samband med de upplysningar som lämnas enligt punkt 2. När ett lämpligt belopp bestäms ska hänsyn tas till att kostnaderna inte får utgöra ett avsevärt hinder för att utnyttja rätten till upplysningar. 287 § punkt 1 i civilprocesslagen ska gälla i tillämpliga delar. De stödberättigade kostnaderna får uppgå till högst 5 000 euro. Beloppet får endast överskridas om utomordentliga insatser krävs för att lämna upplysningen. När skyddskonceptet har överlämnats enligt punkt 4 kan forskaren begära att leverantören överlämnar ett kostnadsfritt anbud inom en rimlig tid.”</w:t>
      </w:r>
    </w:p>
    <w:p w14:paraId="36342A1E" w14:textId="099F92EE" w:rsidR="0063228E" w:rsidRPr="009F4BE3" w:rsidRDefault="00482E04" w:rsidP="0018171E">
      <w:pPr>
        <w:pStyle w:val="EmpfehlungNummerierungStufe1"/>
        <w:keepNext/>
        <w:rPr>
          <w:spacing w:val="-4"/>
        </w:rPr>
      </w:pPr>
      <w:r w:rsidRPr="009F4BE3">
        <w:rPr>
          <w:spacing w:val="-4"/>
        </w:rPr>
        <w:t xml:space="preserve">Artikel </w:t>
      </w:r>
      <w:r w:rsidRPr="009F4BE3">
        <w:rPr>
          <w:rStyle w:val="Marker"/>
          <w:spacing w:val="-4"/>
        </w:rPr>
        <w:t>[…]</w:t>
      </w:r>
      <w:r w:rsidRPr="009F4BE3">
        <w:rPr>
          <w:spacing w:val="-4"/>
        </w:rPr>
        <w:t xml:space="preserve"> ska ha följande lydelse:</w:t>
      </w:r>
    </w:p>
    <w:p w14:paraId="49D47905" w14:textId="31CE6EC1" w:rsidR="00173C16" w:rsidRPr="009F4BE3" w:rsidRDefault="00173C16" w:rsidP="009C727B">
      <w:pPr>
        <w:pStyle w:val="RevisionArtikelBezeichnermanuell"/>
        <w:ind w:left="425" w:hanging="90"/>
        <w:rPr>
          <w:spacing w:val="-4"/>
        </w:rPr>
      </w:pPr>
      <w:r w:rsidRPr="009F4BE3">
        <w:rPr>
          <w:spacing w:val="-4"/>
        </w:rPr>
        <w:t>”Artikel </w:t>
      </w:r>
      <w:r w:rsidRPr="009F4BE3">
        <w:rPr>
          <w:rStyle w:val="Marker"/>
          <w:spacing w:val="-4"/>
        </w:rPr>
        <w:t>[…]</w:t>
      </w:r>
    </w:p>
    <w:p w14:paraId="577BA21A" w14:textId="3EB5AE99" w:rsidR="00173C16" w:rsidRPr="009F4BE3" w:rsidRDefault="00173C16" w:rsidP="009C727B">
      <w:pPr>
        <w:pStyle w:val="RevisionArtikelberschrift"/>
        <w:ind w:left="425"/>
        <w:rPr>
          <w:spacing w:val="-4"/>
        </w:rPr>
      </w:pPr>
      <w:r w:rsidRPr="009F4BE3">
        <w:rPr>
          <w:rStyle w:val="Marker"/>
          <w:spacing w:val="-4"/>
        </w:rPr>
        <w:t>[…]</w:t>
      </w:r>
    </w:p>
    <w:p w14:paraId="5AF7FB2C" w14:textId="090B4924" w:rsidR="00173C16" w:rsidRPr="009F4BE3" w:rsidRDefault="00173C16" w:rsidP="009C727B">
      <w:pPr>
        <w:pStyle w:val="RevisionJuristischerAbsatzmanuell"/>
        <w:tabs>
          <w:tab w:val="clear" w:pos="850"/>
          <w:tab w:val="left" w:pos="1275"/>
        </w:tabs>
        <w:ind w:left="425"/>
        <w:rPr>
          <w:spacing w:val="-4"/>
        </w:rPr>
      </w:pPr>
      <w:r w:rsidRPr="009F4BE3">
        <w:rPr>
          <w:spacing w:val="-4"/>
        </w:rPr>
        <w:t xml:space="preserve">… </w:t>
      </w:r>
      <w:r w:rsidRPr="009F4BE3">
        <w:rPr>
          <w:rStyle w:val="Marker"/>
          <w:spacing w:val="-4"/>
        </w:rPr>
        <w:t>[ev. särskild bestämmelse om ikraftträdande]</w:t>
      </w:r>
      <w:r w:rsidRPr="009F4BE3">
        <w:rPr>
          <w:spacing w:val="-4"/>
        </w:rPr>
        <w:t xml:space="preserve"> …”.</w:t>
      </w:r>
    </w:p>
    <w:p w14:paraId="2CDAA614" w14:textId="1C885BBD" w:rsidR="00A1618A" w:rsidRPr="009F4BE3" w:rsidRDefault="00A1618A" w:rsidP="009F08C0">
      <w:pPr>
        <w:pStyle w:val="EinzelbegrndungTitel"/>
        <w:rPr>
          <w:spacing w:val="-4"/>
        </w:rPr>
      </w:pPr>
      <w:r w:rsidRPr="009F4BE3">
        <w:rPr>
          <w:spacing w:val="-4"/>
        </w:rPr>
        <w:t>Motivering</w:t>
      </w:r>
    </w:p>
    <w:p w14:paraId="5B2223BB" w14:textId="271DB07E" w:rsidR="009F08C0" w:rsidRPr="009F4BE3" w:rsidRDefault="009F08C0" w:rsidP="0018171E">
      <w:pPr>
        <w:pStyle w:val="Text"/>
        <w:keepNext/>
        <w:rPr>
          <w:rStyle w:val="Marker"/>
          <w:b/>
          <w:color w:val="auto"/>
          <w:spacing w:val="-4"/>
        </w:rPr>
      </w:pPr>
      <w:r w:rsidRPr="009F4BE3">
        <w:rPr>
          <w:rStyle w:val="Marker"/>
          <w:b/>
          <w:color w:val="auto"/>
          <w:spacing w:val="-4"/>
        </w:rPr>
        <w:t xml:space="preserve">Om led 1 </w:t>
      </w:r>
    </w:p>
    <w:p w14:paraId="47C1AE4D" w14:textId="77777777" w:rsidR="00D969A6" w:rsidRPr="009F4BE3" w:rsidRDefault="00D969A6" w:rsidP="00D969A6">
      <w:pPr>
        <w:pStyle w:val="Text"/>
        <w:rPr>
          <w:rStyle w:val="Marker"/>
          <w:color w:val="auto"/>
          <w:spacing w:val="-4"/>
        </w:rPr>
      </w:pPr>
      <w:r w:rsidRPr="009F4BE3">
        <w:rPr>
          <w:rStyle w:val="Marker"/>
          <w:color w:val="auto"/>
          <w:spacing w:val="-4"/>
        </w:rPr>
        <w:t xml:space="preserve">Politiska debatter och opinionsbildningsprocesser äger i allt större utsträckning rum i den digitala världen och i sociala nätverk. Den kommunikationsprocess som äger rum där har blivit mycket viktig för den offentliga opinionen. Åtkomsten till vissa sociala nätverk, som på grund av sin relevans är medier som inte utan vidare kan bytas ut, kan vara avgörande för t.ex. spridningen av politiska program och idéer (se den tyska författningsdomstolen [BVerfG, </w:t>
      </w:r>
      <w:r w:rsidRPr="009F4BE3">
        <w:rPr>
          <w:rStyle w:val="Marker"/>
          <w:i/>
          <w:iCs/>
          <w:color w:val="auto"/>
          <w:spacing w:val="-4"/>
        </w:rPr>
        <w:t>Bundesverfassungsgericht</w:t>
      </w:r>
      <w:r w:rsidRPr="009F4BE3">
        <w:rPr>
          <w:rStyle w:val="Marker"/>
          <w:color w:val="auto"/>
          <w:spacing w:val="-4"/>
        </w:rPr>
        <w:t>], interimistiskt beslut av den 22 maj 2019 – 1 BvQ 42/19 –, punkt 19).</w:t>
      </w:r>
    </w:p>
    <w:p w14:paraId="6C4892FE" w14:textId="77777777" w:rsidR="00D969A6" w:rsidRPr="009F4BE3" w:rsidRDefault="00D969A6" w:rsidP="00D969A6">
      <w:pPr>
        <w:pStyle w:val="Text"/>
        <w:rPr>
          <w:rStyle w:val="Marker"/>
          <w:color w:val="auto"/>
          <w:spacing w:val="-4"/>
        </w:rPr>
      </w:pPr>
      <w:r w:rsidRPr="009F4BE3">
        <w:rPr>
          <w:rStyle w:val="Marker"/>
          <w:color w:val="auto"/>
          <w:spacing w:val="-4"/>
        </w:rPr>
        <w:t>Det är därför av stort allmänt intresse att skapa mer transparens när det gäller de olika plattformarnas funktionssätt och deras process för att sprida innehåll samt möjliggöra oberoende forskning om detta.</w:t>
      </w:r>
    </w:p>
    <w:p w14:paraId="373BFE01" w14:textId="385D0837" w:rsidR="00D969A6" w:rsidRPr="009F4BE3" w:rsidRDefault="00D969A6" w:rsidP="00D969A6">
      <w:pPr>
        <w:pStyle w:val="Text"/>
        <w:rPr>
          <w:rStyle w:val="Marker"/>
          <w:color w:val="auto"/>
          <w:spacing w:val="-4"/>
        </w:rPr>
      </w:pPr>
      <w:r w:rsidRPr="009F4BE3">
        <w:rPr>
          <w:rStyle w:val="Marker"/>
          <w:color w:val="auto"/>
          <w:spacing w:val="-4"/>
        </w:rPr>
        <w:t xml:space="preserve">Detta berör dels frågan om vilka kriterier som ligger till grund för leverantörerna att besluta om möjligheten att använda deras plattform och möjligheten att tillåta resp. begränsa spridningen av innehåll på plattformen. Frågan om huruvida de för den </w:t>
      </w:r>
      <w:r w:rsidRPr="009F4BE3">
        <w:rPr>
          <w:rStyle w:val="Marker"/>
          <w:color w:val="auto"/>
          <w:spacing w:val="-4"/>
        </w:rPr>
        <w:lastRenderedPageBreak/>
        <w:t>offentliga debatten viktiga stora leverantörerna t.ex. hanterar klagomål om lagstridigt innehåll och på vilket sätt andra beslut om begränsad spridning av innehåll ska fattas utgör ett stort offentligt intresse på grund av de stora leverantörernas relevans (se förbundsdagens trycksak 19/18792, s. 42). Endast en motsvarande öppenhet i frågan om detta gör det begripligt för den breda allmänheten varför och på vilket sätt visst innehåll begränsas i sin spridning. Härvid ska beaktas att motsvarande beslut vad gäller redigering av innehåll numera ofta fattas med hjälp av komplexa automatiserade rutiner. Exempelvis rapporterar Facebook att allt innehåll som registreras som hatiska uttalanden enligt de s.k. Community Standards i dag hittas till största del av leverantören själv med hjälp av tekniska lösningar (se https://transparency.facebook.com/community-standards-enforcement#hate-speech, hämtad den 12 oktober 2020). För att skapa öppenhet för den breda allmänheten i fråga om de underliggande, delvis tekniskt komplexa, processerna är det därför av stor vikt att vetenskap och forskning kan spåra användningen av metoder för automatisk identifiering av innehåll, om dessa vid behov ska avlägsnas eller blockeras (se förbundsdagens trycksak 19/18792, s. 43). I detta avseende är det inte tillräckligt att vetenskap och forskning kan använda sig av de allmänna uppgifterna i öppenhetsrapporterna enligt 2 § i lagen om förbättrad efterlevnad av lagstiftning i sociala nätverk, som syftar till att tillhandahålla information för den breda allmänheten. För vetenskapliga ändamål och forskningsändamål behövs inte bara sådana allmänna eller aggregerade uppgifter, utan även detaljerade uppgifter och rådata (t.ex. innehåll som uttryckligen anges i punkt 6 samt innehållets aktuella sammanhang och inlärningsdata för de automatiserade rutinerna) för att skaffa oberoende vetenskapligt grundad kunskap om de relevanta metoderna för automatisk identifiering av innehåll.</w:t>
      </w:r>
    </w:p>
    <w:p w14:paraId="138C3D37" w14:textId="032BC65F" w:rsidR="00D969A6" w:rsidRPr="009F4BE3" w:rsidRDefault="00D969A6" w:rsidP="00D969A6">
      <w:pPr>
        <w:pStyle w:val="Text"/>
        <w:rPr>
          <w:rStyle w:val="Marker"/>
          <w:color w:val="auto"/>
          <w:spacing w:val="-4"/>
        </w:rPr>
      </w:pPr>
      <w:r w:rsidRPr="009F4BE3">
        <w:rPr>
          <w:rStyle w:val="Marker"/>
          <w:color w:val="auto"/>
          <w:spacing w:val="-4"/>
        </w:rPr>
        <w:t>En annan viktig fråga avser hur spridningen av lagstridigt innehåll spåras. Handläggningen av klagomål enligt lagen om förbättrad efterlevnad av lagstiftning i sociala nätverk omfattar enligt gällande rättsläge konkret innehåll som är föremål för ett klagomål om lagstridigt innehåll. Innehåll i sociala nätverk kan dock delvis sprida sig med hög fart och i hög utsträckning bland olika användare. På så sätt kan lagöverträdelser upprepas och konsekvenserna av spridningen av lagstridigt innehåll kan få betydligt högre intensitet. Den kommunikationsprocess som äger rum i de stora sociala nätverken har en betydande samhällsroll för den offentliga opinionen, varför det är viktigt att kunna härleda hur innehåll som slutligen avlägsnats av leverantören eller innehåll som har anmälts som lagstridigt till leverantören sprids eller har spridits på sociala nätverk, inte minst för att de berörda parterna tack vare en djupare förståelse av spridningsmekanismerna ska kunna motverka spridningen av lagstridigt innehåll på ett effektivare sätt.</w:t>
      </w:r>
    </w:p>
    <w:p w14:paraId="06151A16" w14:textId="5B551E2D" w:rsidR="00D969A6" w:rsidRPr="009F4BE3" w:rsidRDefault="00D969A6" w:rsidP="00D969A6">
      <w:pPr>
        <w:pStyle w:val="Text"/>
        <w:rPr>
          <w:rStyle w:val="Marker"/>
          <w:color w:val="auto"/>
          <w:spacing w:val="-4"/>
        </w:rPr>
      </w:pPr>
      <w:r w:rsidRPr="009F4BE3">
        <w:rPr>
          <w:rStyle w:val="Marker"/>
          <w:color w:val="auto"/>
          <w:spacing w:val="-4"/>
        </w:rPr>
        <w:t>Genom 5a § i lagen om förbättrad efterlevnad av lagstiftning i sociala nätverk säkerställs att forskningsinstitut och forskare får åtkomst till de nödvändiga uppgifterna.</w:t>
      </w:r>
    </w:p>
    <w:p w14:paraId="72966CD2" w14:textId="29B9B32B" w:rsidR="00D969A6" w:rsidRPr="009F4BE3" w:rsidRDefault="00D969A6" w:rsidP="00D969A6">
      <w:pPr>
        <w:pStyle w:val="Text"/>
        <w:rPr>
          <w:rStyle w:val="Marker"/>
          <w:color w:val="auto"/>
          <w:spacing w:val="-4"/>
        </w:rPr>
      </w:pPr>
      <w:r w:rsidRPr="009F4BE3">
        <w:rPr>
          <w:rStyle w:val="Marker"/>
          <w:color w:val="auto"/>
          <w:spacing w:val="-4"/>
        </w:rPr>
        <w:t xml:space="preserve">Det är inte var och en som har rätt till upplysningar, utan endast forskare eller forskningsinstitut som bedriver vetenskapliga forskningsprojekt i allmänhetens intresse. </w:t>
      </w:r>
      <w:r w:rsidRPr="009F4BE3">
        <w:rPr>
          <w:spacing w:val="-4"/>
        </w:rPr>
        <w:t xml:space="preserve">I regel kan ett allmänt intresse antas föreligga när det gäller forskningsprojekt som bedrivs av högskolor och forskningsinstitut utanför universiteten i Tyskland. </w:t>
      </w:r>
      <w:r w:rsidRPr="009F4BE3">
        <w:rPr>
          <w:rStyle w:val="Marker"/>
          <w:color w:val="auto"/>
          <w:spacing w:val="-4"/>
        </w:rPr>
        <w:t xml:space="preserve">En finansiering med huvudsakligen offentliga medel utgör i detta sammanhang ett indicium för antagande av ett allmänt intresse. Enligt bestämmelsen omfattas alla inrättningar som vill forska i allmänhetens intresse, oavsett säte. Antagandet av ett allmänt intresse kommer att vara förknippat med ett återkommande krav att forskningsresultaten görs tillgängliga för allmänheten och att de i slutändan tjänar det allmännas bästa. Antagandet av ett allmänt intresse kan stödjas av det faktum att forskningen bidrar till att uppnå målet med lagen. Ett allmänt intresse kan anses saknas om ett beroende av en uppdragsgivare i det konkreta fallet tyder på att ingen opartisk </w:t>
      </w:r>
      <w:r w:rsidRPr="009F4BE3">
        <w:rPr>
          <w:rStyle w:val="Marker"/>
          <w:color w:val="auto"/>
          <w:spacing w:val="-4"/>
        </w:rPr>
        <w:lastRenderedPageBreak/>
        <w:t>forskning bedrivs. Dessutom talar det mot ett allmänt intresse om det finns skäl att anta att information ska inhämtas för ekonomiska eller politiska ändamål.</w:t>
      </w:r>
    </w:p>
    <w:p w14:paraId="3A166ADB" w14:textId="77777777" w:rsidR="00146FA3" w:rsidRPr="009F4BE3" w:rsidRDefault="00D969A6" w:rsidP="00D969A6">
      <w:pPr>
        <w:pStyle w:val="Text"/>
        <w:rPr>
          <w:rStyle w:val="Marker"/>
          <w:color w:val="auto"/>
          <w:spacing w:val="-4"/>
        </w:rPr>
      </w:pPr>
      <w:r w:rsidRPr="009F4BE3">
        <w:rPr>
          <w:rStyle w:val="Marker"/>
          <w:color w:val="auto"/>
          <w:spacing w:val="-4"/>
        </w:rPr>
        <w:t>På grundval av uppräkningen i 5a § i lagen om förbättrad efterlevnad av lagstiftning i sociala nätverk i 1 § punkt 2 i samma lag är, oavsett säte, endast sådana leverantörer av sociala nätverk ansvarsskyldiga som har minst två miljoner registrerade användare i landet. Respektive leverantörer är skyldiga att lämna upplysningar oavsett om de har sitt säte i landet eller ej. Detta är i överensstämmelse med de tillämpliga EU-rättsliga föreskrifterna, särskilt principen om ursprungsland enligt direktiv 2000/31/EG (direktiv om elektronisk handel). Även om den rätt till upplysningar som anges i 5a § i lagen om förbättrad efterlevnad av lagstiftning i sociala nätverk skulle omfattas av det s.k. samordnade området i direktivet om elektronisk handel och detta skulle kunna betraktas som en i princip undantagen begränsande effekt enligt artikel 3.2 i direktivet om elektronisk handel, så skulle förutsättningarna för ett undantag enligt artikel 3.4 i direktivet om elektronisk handel i vart fall uppfyllas. På grund av de registrerade leverantörernas stora betydelse är de förbättrade möjligheter till kunskap som tryggas med rätten till upplysningar nämligen i vart fall nödvändiga för att förebygga brott, inbegripet bekämpa hets, samt för att skydda konsumenterna (se artikel 3.4 a i första och fjärde strecksatsen i direktivet om elektronisk handel). Mot bakgrund av den avsevärda brist på information vad gäller de registrerade plattformarna, som har en växande betydelse för medborgarna i det offentliga rummet, finns ett brådskande behov av reglering (artikel 3.5 i direktivet om elektronisk handel).</w:t>
      </w:r>
    </w:p>
    <w:p w14:paraId="2B3396E0" w14:textId="22DFC019" w:rsidR="00D969A6" w:rsidRPr="009F4BE3" w:rsidRDefault="00D969A6" w:rsidP="00D969A6">
      <w:pPr>
        <w:pStyle w:val="Text"/>
        <w:rPr>
          <w:rStyle w:val="Marker"/>
          <w:color w:val="auto"/>
          <w:spacing w:val="-4"/>
        </w:rPr>
      </w:pPr>
      <w:r w:rsidRPr="009F4BE3">
        <w:rPr>
          <w:rStyle w:val="Marker"/>
          <w:color w:val="auto"/>
          <w:spacing w:val="-4"/>
        </w:rPr>
        <w:t>Rätten till upplysningar är dessutom begränsad i olika avseenden även för personer som har rätt till upplysningar.</w:t>
      </w:r>
    </w:p>
    <w:p w14:paraId="7CD947D6" w14:textId="02AD6996" w:rsidR="00E97B1F" w:rsidRPr="009F4BE3" w:rsidRDefault="00E97B1F" w:rsidP="00D969A6">
      <w:pPr>
        <w:pStyle w:val="Text"/>
        <w:rPr>
          <w:rStyle w:val="Marker"/>
          <w:color w:val="auto"/>
          <w:spacing w:val="-4"/>
        </w:rPr>
      </w:pPr>
      <w:r w:rsidRPr="009F4BE3">
        <w:rPr>
          <w:rStyle w:val="Marker"/>
          <w:color w:val="auto"/>
          <w:spacing w:val="-4"/>
        </w:rPr>
        <w:t>Forskare med rätt till upplysningar kan endast begära upplysningar från leverantören av det sociala nätverket. 5a § ger däremot inte rätt till direkt teknisk åtkomst till leverantörens databaser eller tekniska system. Det som emellertid får begäras är kvalificerade upplysningar. Dessa omfattar oförfalskade data som är tillgängliga hos leverantören, men även behandlad information som föreligger där, som t.ex. slutsatser från utvärderingar som leverantören gjort baserat på data som är tillgängliga hos leverantören.</w:t>
      </w:r>
    </w:p>
    <w:p w14:paraId="72C56E68" w14:textId="39D2C9CA" w:rsidR="00E97B1F" w:rsidRPr="009F4BE3" w:rsidRDefault="00E97B1F" w:rsidP="00D969A6">
      <w:pPr>
        <w:pStyle w:val="Text"/>
        <w:rPr>
          <w:rStyle w:val="Marker"/>
          <w:color w:val="auto"/>
          <w:spacing w:val="-4"/>
        </w:rPr>
      </w:pPr>
      <w:r w:rsidRPr="009F4BE3">
        <w:rPr>
          <w:rStyle w:val="Marker"/>
          <w:color w:val="auto"/>
          <w:spacing w:val="-4"/>
        </w:rPr>
        <w:t xml:space="preserve">Rätten till upplysningar är dessutom, vad gäller innehållet, begränsad till information om tillämpning och funktion av metoder för automatisk identifiering av innehåll som ska avlägsnas eller blockeras, inbegripet programmeringens ändamål, kriterier och parametrar. Vidare kan upplysningar begäras om spridning av innehåll som har varit föremål för klagomål om lagstridigt innehåll eller som har avlägsnats eller blockerats av leverantören. </w:t>
      </w:r>
    </w:p>
    <w:p w14:paraId="752FC65F" w14:textId="4597FCAE" w:rsidR="00D969A6" w:rsidRPr="009F4BE3" w:rsidRDefault="00D969A6" w:rsidP="00D969A6">
      <w:pPr>
        <w:pStyle w:val="Text"/>
        <w:rPr>
          <w:rStyle w:val="Marker"/>
          <w:color w:val="auto"/>
          <w:spacing w:val="-4"/>
        </w:rPr>
      </w:pPr>
      <w:r w:rsidRPr="009F4BE3">
        <w:rPr>
          <w:rStyle w:val="Marker"/>
          <w:color w:val="auto"/>
          <w:spacing w:val="-4"/>
        </w:rPr>
        <w:t xml:space="preserve">Motsvarande uppgifter är lämpliga och nödvändiga för att bättre kunna härleda relevanta innehållsbegränsningar från leverantörens sida och spridningen av enligt leverantören otillåtet eller som lagstridigt anmält innehåll på plattformarna. </w:t>
      </w:r>
    </w:p>
    <w:p w14:paraId="5D09F342" w14:textId="5F0FFD55" w:rsidR="00D969A6" w:rsidRPr="009F4BE3" w:rsidRDefault="00D969A6" w:rsidP="00D969A6">
      <w:pPr>
        <w:pStyle w:val="Text"/>
        <w:rPr>
          <w:rStyle w:val="Marker"/>
          <w:color w:val="auto"/>
          <w:spacing w:val="-4"/>
        </w:rPr>
      </w:pPr>
      <w:r w:rsidRPr="009F4BE3">
        <w:rPr>
          <w:rStyle w:val="Marker"/>
          <w:color w:val="auto"/>
          <w:spacing w:val="-4"/>
        </w:rPr>
        <w:t>Rätten till upplysningar ska gälla under förutsättning att uppgifterna i det konkreta fallet är nödvändiga för vetenskapliga forskningsprojekt i allmänhetens intresse. Detta innebär att de överförda uppgifterna endast får användas i vetenskapligt syfte. Slutligen är de forskningsändamål som kan tas i beaktande begränsade till forskning om typ, omfattning, orsak och funktioner avseende offentlig kommunikation på sociala nätverk och leverantörernas hantering av detta.</w:t>
      </w:r>
    </w:p>
    <w:p w14:paraId="588C65A9" w14:textId="3AAAB10E" w:rsidR="00C46490" w:rsidRPr="009F4BE3" w:rsidRDefault="00C46490" w:rsidP="00D969A6">
      <w:pPr>
        <w:pStyle w:val="Text"/>
        <w:rPr>
          <w:rStyle w:val="Marker"/>
          <w:color w:val="auto"/>
          <w:spacing w:val="-4"/>
        </w:rPr>
      </w:pPr>
      <w:r w:rsidRPr="009F4BE3">
        <w:rPr>
          <w:rStyle w:val="Marker"/>
          <w:color w:val="auto"/>
          <w:spacing w:val="-4"/>
        </w:rPr>
        <w:t xml:space="preserve">Genom det fastställda förfarandet för överlämning av ett skyddskoncept tillgodoses de intressen som ska beaktas enligt 5a §. Leverantören av det sociala nätverket kan vägra att lämna upplysningar fram till dess att skyddskonceptet har överlämnats. Skyddskonceptet ska samtidigt läggas fram för den behöriga datatillsynsmyndigheten, som kan inleda ett rättsligt förfarande om det finns tecken på brott mot dataskyddsbestämmelser. Detta är särskilt viktigt eftersom utlämnande </w:t>
      </w:r>
      <w:r w:rsidRPr="009F4BE3">
        <w:rPr>
          <w:rStyle w:val="Marker"/>
          <w:color w:val="auto"/>
          <w:spacing w:val="-4"/>
        </w:rPr>
        <w:lastRenderedPageBreak/>
        <w:t>av upplysningar genom leverantörer även kan påverka tredje parters, exempelvis användares, intressen.</w:t>
      </w:r>
    </w:p>
    <w:p w14:paraId="61C60CE8" w14:textId="669418FB" w:rsidR="00D969A6" w:rsidRPr="009F4BE3" w:rsidRDefault="00D969A6" w:rsidP="00D969A6">
      <w:pPr>
        <w:pStyle w:val="Text"/>
        <w:rPr>
          <w:rStyle w:val="Marker"/>
          <w:color w:val="auto"/>
          <w:spacing w:val="-4"/>
        </w:rPr>
      </w:pPr>
      <w:r w:rsidRPr="009F4BE3">
        <w:rPr>
          <w:rStyle w:val="Marker"/>
          <w:color w:val="auto"/>
          <w:spacing w:val="-4"/>
        </w:rPr>
        <w:t>Vidare får upplysningen inte strida mot legitima specifika intressen för leverantörer av sociala nätverk. Legitima intressen ska beaktas om dataåtkomsten skulle skada leverantörens konfidentialitet i en orimlig utsträckning. Om de registrerade personernas legitima intressen skadas och allmänhetens intresse i forskningen inte överväger de registrerade personernas konfidentialitet utgör detta också ett hinder för rätten till upplysningar.</w:t>
      </w:r>
    </w:p>
    <w:p w14:paraId="05EA09A2" w14:textId="77777777" w:rsidR="00D969A6" w:rsidRPr="009F4BE3" w:rsidRDefault="00D969A6" w:rsidP="00D969A6">
      <w:pPr>
        <w:pStyle w:val="Text"/>
        <w:rPr>
          <w:rStyle w:val="Marker"/>
          <w:color w:val="auto"/>
          <w:spacing w:val="-4"/>
        </w:rPr>
      </w:pPr>
      <w:r w:rsidRPr="009F4BE3">
        <w:rPr>
          <w:rStyle w:val="Marker"/>
          <w:color w:val="auto"/>
          <w:spacing w:val="-4"/>
        </w:rPr>
        <w:t xml:space="preserve">Vid informationsöverföringen får även personuppgifter förmedlas, vilket dock i största möjliga mån ska ske i avidentifierad eller åtminstone i pseudonymiserad form. Dessutom ska ytterligare åtgärder för skydd av personuppgifter fastställas, såvida särskilda kategorier av data i den mening som avses i artikel 9.1 i förordning (EU) 2016/679 behandlas. Övriga dataskyddsrättsliga föreskrifter, särskilt enligt 27 § i den federala dataskyddslagen (BDSG, </w:t>
      </w:r>
      <w:r w:rsidRPr="009F4BE3">
        <w:rPr>
          <w:rStyle w:val="Marker"/>
          <w:i/>
          <w:iCs/>
          <w:color w:val="auto"/>
          <w:spacing w:val="-4"/>
        </w:rPr>
        <w:t>Bundesdatenschutzgesetz</w:t>
      </w:r>
      <w:r w:rsidRPr="009F4BE3">
        <w:rPr>
          <w:rStyle w:val="Marker"/>
          <w:color w:val="auto"/>
          <w:spacing w:val="-4"/>
        </w:rPr>
        <w:t xml:space="preserve">), påverkas inte. </w:t>
      </w:r>
    </w:p>
    <w:p w14:paraId="67D27A76" w14:textId="0A74581F" w:rsidR="00A135B4" w:rsidRPr="009F4BE3" w:rsidRDefault="00D969A6" w:rsidP="00D969A6">
      <w:pPr>
        <w:pStyle w:val="Text"/>
        <w:rPr>
          <w:rStyle w:val="Marker"/>
          <w:color w:val="auto"/>
          <w:spacing w:val="-4"/>
        </w:rPr>
      </w:pPr>
      <w:r w:rsidRPr="009F4BE3">
        <w:rPr>
          <w:rStyle w:val="Marker"/>
          <w:color w:val="auto"/>
          <w:spacing w:val="-4"/>
        </w:rPr>
        <w:t>Leverantören har rätt till en rimlig ersättning från forskaren för kostnader som uppstår i samband med de lämnade upplysningarna. Genom begränsningen av ersättningsanspråket till kostnader på rimlig nivå säkerställs att forskares rätt till upplysningar i praktiken inte omintetgörs på grund av oöverkomligt höga anspråk på ersättning för kostnader. Detta är också syftet med fastställandet av ett tak för de stödberättigade kostnaderna, som endast får överskridas i utomordentligt betungande fall. Detta kan vara fallet om bördan för att lämna upplysningar i hög grad överskrider den börda som vanligen uppstår för att lämna upplysningar för forskningsprojekt enligt 5a §. Det ankommer på leverantören av det sociala nätverket att bevisa att motsvarande omständigheter föreligger, liksom att kostnaderna i övrigt är rimliga.</w:t>
      </w:r>
    </w:p>
    <w:p w14:paraId="1B437195" w14:textId="47B203AC" w:rsidR="00D969A6" w:rsidRPr="009F4BE3" w:rsidRDefault="00D969A6" w:rsidP="00D969A6">
      <w:pPr>
        <w:pStyle w:val="Text"/>
        <w:rPr>
          <w:rStyle w:val="Marker"/>
          <w:color w:val="auto"/>
          <w:spacing w:val="-4"/>
        </w:rPr>
      </w:pPr>
      <w:r w:rsidRPr="009F4BE3">
        <w:rPr>
          <w:rStyle w:val="Marker"/>
          <w:color w:val="auto"/>
          <w:spacing w:val="-4"/>
        </w:rPr>
        <w:t>Genom tillämpning av 287 § punkt 1 i civilprocesslagen säkerställs att behörig domstol vid tvist enligt eget gottfinnande kan fastlägga nivån för anspråket på ersättning med beaktande av alla omständigheter. Ersättning för leverantörerna utöver detta beviljas ej. För att ge forskaren större planeringssäkerhet med avseende på kostnaderna kan denne begära att leverantören av det sociala nätverket inom rimlig tid översänder ett kostnadsfritt anbud efter det att skyddskonceptet har överlämnats.</w:t>
      </w:r>
    </w:p>
    <w:p w14:paraId="0569302F" w14:textId="40F9020F" w:rsidR="00E11559" w:rsidRPr="009F4BE3" w:rsidRDefault="00D969A6" w:rsidP="00D969A6">
      <w:pPr>
        <w:pStyle w:val="Text"/>
        <w:rPr>
          <w:rStyle w:val="Marker"/>
          <w:color w:val="auto"/>
          <w:spacing w:val="-4"/>
        </w:rPr>
      </w:pPr>
      <w:r w:rsidRPr="009F4BE3">
        <w:rPr>
          <w:rStyle w:val="Marker"/>
          <w:color w:val="auto"/>
          <w:spacing w:val="-4"/>
        </w:rPr>
        <w:t>Om forskare och leverantör av det sociala nätverket är oeniga om huruvida förutsättningarna för anspråk uppfylls ska målet avgöras inför de allmänna domstolarna.</w:t>
      </w:r>
    </w:p>
    <w:p w14:paraId="1A7FF4A4" w14:textId="180DAC81" w:rsidR="00732338" w:rsidRPr="009F4BE3" w:rsidRDefault="00132D0E" w:rsidP="00132D0E">
      <w:pPr>
        <w:pStyle w:val="Text"/>
        <w:rPr>
          <w:rStyle w:val="Marker"/>
          <w:color w:val="auto"/>
          <w:spacing w:val="-4"/>
        </w:rPr>
      </w:pPr>
      <w:r w:rsidRPr="009F4BE3">
        <w:rPr>
          <w:rStyle w:val="Marker"/>
          <w:color w:val="auto"/>
          <w:spacing w:val="-4"/>
        </w:rPr>
        <w:t>Införandet av forskningsklausulen ska kompletteras med ett förtydligande av rapporteringsskyldigheterna. Enligt den tidigare fastställda 2 § punkt 2.2 i lagen om förbättrad efterlevnad av lagstiftning i sociala nätverk ska även en rapport lämnas om huruvida och i vilken mån personer inom vetenskapsvärlden och forskningssamhället beviljas insyn i utvärderingen av de tillämpade metoderna för automatisk identifiering av innehåll (se förbundsdagens trycksak 19/18792, s. 43). Genom det föreslagna tillägget till 2 § punkt 2.2 i lagen om förbättrad efterlevnad av lagstiftning i sociala nätverk förtydligas att detta även avser frågan om beviljande av åtkomst till leverantörens uppgifter, inbegripet upplysningar som lämnats enligt 5a § i samma lag.</w:t>
      </w:r>
    </w:p>
    <w:p w14:paraId="5F9F9891" w14:textId="5A8F43C7" w:rsidR="00E97B1F" w:rsidRPr="009F4BE3" w:rsidRDefault="00E97B1F" w:rsidP="00132D0E">
      <w:pPr>
        <w:pStyle w:val="Text"/>
        <w:rPr>
          <w:rStyle w:val="Marker"/>
          <w:color w:val="auto"/>
          <w:spacing w:val="-4"/>
        </w:rPr>
      </w:pPr>
      <w:r w:rsidRPr="009F4BE3">
        <w:rPr>
          <w:rStyle w:val="Marker"/>
          <w:color w:val="auto"/>
          <w:spacing w:val="-4"/>
        </w:rPr>
        <w:t xml:space="preserve">5a § ska utvärderas tre år efter dess ikraftträdande. Därigenom ska fastställas om och i vilken mån de avsedda effekterna har uppnåtts. Detta innehåller bland annat fastställanden om huruvida de lämnade uppgifterna har främjat underliggande forskningsändamål. Även bestämmelsens genomförbarhet ska utvärderas, särskilt vid tvist mellan forskare och leverantörer av sociala nätverk angående skyldigheten att lämna upplysningar. I detta sammanhang ska slutsatser dras om huruvida involvering av en medlande instans för att lösa tvister om skyldigheten att lämna upplysningar eller om konkretiseringen av en berättigad begäran om upplysningar förefaller ändamålsenlig och hur en sådan medlande instans skulle kunna vara utformad. Vidare </w:t>
      </w:r>
      <w:r w:rsidRPr="009F4BE3">
        <w:rPr>
          <w:rStyle w:val="Marker"/>
          <w:color w:val="auto"/>
          <w:spacing w:val="-4"/>
        </w:rPr>
        <w:lastRenderedPageBreak/>
        <w:t>ska utvärderingen även kommentera om bestämmelsen om kostnadsersättning i punkt 8 har visat sig fungera.</w:t>
      </w:r>
    </w:p>
    <w:p w14:paraId="2F6A2064" w14:textId="663911F1" w:rsidR="009F08C0" w:rsidRPr="009F4BE3" w:rsidRDefault="009F08C0" w:rsidP="0018171E">
      <w:pPr>
        <w:pStyle w:val="Text"/>
        <w:keepNext/>
        <w:rPr>
          <w:rStyle w:val="Marker"/>
          <w:b/>
          <w:color w:val="auto"/>
          <w:spacing w:val="-4"/>
        </w:rPr>
      </w:pPr>
      <w:r w:rsidRPr="009F4BE3">
        <w:rPr>
          <w:rStyle w:val="Marker"/>
          <w:b/>
          <w:color w:val="auto"/>
          <w:spacing w:val="-4"/>
        </w:rPr>
        <w:t>Om led 2</w:t>
      </w:r>
    </w:p>
    <w:p w14:paraId="7D853F30" w14:textId="43DDA2F0" w:rsidR="00132D0E" w:rsidRPr="009F4BE3" w:rsidRDefault="00132D0E" w:rsidP="00D969A6">
      <w:pPr>
        <w:pStyle w:val="Text"/>
        <w:rPr>
          <w:rStyle w:val="Marker"/>
          <w:color w:val="auto"/>
          <w:spacing w:val="-6"/>
        </w:rPr>
      </w:pPr>
      <w:r w:rsidRPr="009F4BE3">
        <w:rPr>
          <w:rStyle w:val="Marker"/>
          <w:color w:val="auto"/>
          <w:spacing w:val="-6"/>
        </w:rPr>
        <w:t>Bestämmelserna om ikraftträdande i artikel ... ska kompletteras med avseende på de införda ändringarna av lagen om förbättrad efterlevnad av lagstiftning i sociala nätverk.</w:t>
      </w:r>
    </w:p>
    <w:sectPr w:rsidR="00132D0E" w:rsidRPr="009F4BE3" w:rsidSect="00E851FA">
      <w:headerReference w:type="even" r:id="rId8"/>
      <w:headerReference w:type="default" r:id="rId9"/>
      <w:pgSz w:w="11907" w:h="16839"/>
      <w:pgMar w:top="1134" w:right="3883" w:bottom="1417" w:left="121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BDD25" w14:textId="77777777" w:rsidR="005D0EFB" w:rsidRDefault="005D0EFB" w:rsidP="00FF4465">
      <w:pPr>
        <w:spacing w:before="0" w:after="0"/>
      </w:pPr>
      <w:r>
        <w:separator/>
      </w:r>
    </w:p>
  </w:endnote>
  <w:endnote w:type="continuationSeparator" w:id="0">
    <w:p w14:paraId="2E69F933" w14:textId="77777777" w:rsidR="005D0EFB" w:rsidRDefault="005D0EFB"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1392E" w14:textId="77777777" w:rsidR="005D0EFB" w:rsidRDefault="005D0EFB" w:rsidP="00FF4465">
      <w:pPr>
        <w:spacing w:before="0" w:after="0"/>
      </w:pPr>
      <w:r>
        <w:separator/>
      </w:r>
    </w:p>
  </w:footnote>
  <w:footnote w:type="continuationSeparator" w:id="0">
    <w:p w14:paraId="1E12B3E1" w14:textId="77777777" w:rsidR="005D0EFB" w:rsidRDefault="005D0EFB" w:rsidP="00FF4465">
      <w:pPr>
        <w:spacing w:before="0" w:after="0"/>
      </w:pPr>
      <w:r>
        <w:continuationSeparator/>
      </w:r>
    </w:p>
  </w:footnote>
  <w:footnote w:id="1">
    <w:p w14:paraId="5C6D240D" w14:textId="1F2EE70B" w:rsidR="00F87158" w:rsidRDefault="00F87158" w:rsidP="00F87158">
      <w:pPr>
        <w:pStyle w:val="RevisionFunotentext"/>
      </w:pPr>
      <w:r>
        <w:rPr>
          <w:rStyle w:val="FootnoteReference"/>
        </w:rPr>
        <w:t>*</w:t>
      </w:r>
      <w:r>
        <w:rPr>
          <w:rStyle w:val="FootnoteReference"/>
          <w:vertAlign w:val="baseline"/>
        </w:rPr>
        <w:t>)</w:t>
      </w:r>
      <w:r>
        <w:tab/>
        <w:t>Anmäld enligt Europaparlamentets och rådets direktiv (EU) 2015/1535 av den 9 september 2015 om ett informationsförfarande beträffande tekniska föreskrifter och beträffande föreskrifter för informationssamhällets tjänster (EUT L 241, 17.9.2015,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7ACD9" w14:textId="16EB1E5D" w:rsidR="00E97B1F" w:rsidRPr="00E851FA" w:rsidRDefault="00E851FA" w:rsidP="00E851FA">
    <w:pPr>
      <w:pStyle w:val="Header"/>
      <w:framePr w:vSpace="283" w:wrap="notBeside"/>
    </w:pPr>
    <w:r>
      <w:tab/>
    </w:r>
    <w:r>
      <w:t>– </w:t>
    </w:r>
    <w:r>
      <w:fldChar w:fldCharType="begin"/>
    </w:r>
    <w:r>
      <w:instrText xml:space="preserve"> PAGE  \* MERGEFORMAT </w:instrText>
    </w:r>
    <w:r>
      <w:fldChar w:fldCharType="separate"/>
    </w:r>
    <w:r>
      <w:t>2</w:t>
    </w:r>
    <w:r>
      <w:fldChar w:fldCharType="end"/>
    </w:r>
    <w:r>
      <w:t>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1E50E" w14:textId="66737395" w:rsidR="00E97B1F" w:rsidRPr="00E851FA" w:rsidRDefault="00E851FA" w:rsidP="00E851FA">
    <w:pPr>
      <w:pStyle w:val="Header"/>
      <w:framePr w:vSpace="283" w:wrap="notBeside"/>
    </w:pPr>
    <w:r>
      <w:tab/>
    </w:r>
    <w:r>
      <w:t>– </w:t>
    </w:r>
    <w:r>
      <w:fldChar w:fldCharType="begin"/>
    </w:r>
    <w:r>
      <w:instrText xml:space="preserve"> PAGE  \* MERGEFORMAT </w:instrText>
    </w:r>
    <w:r>
      <w:fldChar w:fldCharType="separate"/>
    </w:r>
    <w:r>
      <w:t>2</w:t>
    </w:r>
    <w:r>
      <w:fldChar w:fldCharType="end"/>
    </w:r>
    <w:r>
      <w:t>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2"/>
  </w:num>
  <w:num w:numId="6">
    <w:abstractNumId w:val="16"/>
  </w:num>
  <w:num w:numId="7">
    <w:abstractNumId w:val="11"/>
  </w:num>
  <w:num w:numId="8">
    <w:abstractNumId w:val="2"/>
  </w:num>
  <w:num w:numId="9">
    <w:abstractNumId w:val="0"/>
  </w:num>
  <w:num w:numId="10">
    <w:abstractNumId w:val="15"/>
  </w:num>
  <w:num w:numId="11">
    <w:abstractNumId w:val="10"/>
  </w:num>
  <w:num w:numId="12">
    <w:abstractNumId w:val="5"/>
  </w:num>
  <w:num w:numId="13">
    <w:abstractNumId w:val="4"/>
  </w:num>
  <w:num w:numId="14">
    <w:abstractNumId w:val="9"/>
  </w:num>
  <w:num w:numId="15">
    <w:abstractNumId w:val="14"/>
  </w:num>
  <w:num w:numId="16">
    <w:abstractNumId w:val="6"/>
  </w:num>
  <w:num w:numId="17">
    <w:abstractNumId w:val="8"/>
  </w:num>
  <w:num w:numId="18">
    <w:abstractNumId w:val="1"/>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12"/>
  </w:num>
  <w:num w:numId="24">
    <w:abstractNumId w:val="16"/>
  </w:num>
  <w:num w:numId="25">
    <w:abstractNumId w:val="11"/>
  </w:num>
  <w:num w:numId="26">
    <w:abstractNumId w:val="2"/>
  </w:num>
  <w:num w:numId="27">
    <w:abstractNumId w:val="0"/>
  </w:num>
  <w:num w:numId="28">
    <w:abstractNumId w:val="15"/>
  </w:num>
  <w:num w:numId="29">
    <w:abstractNumId w:val="10"/>
  </w:num>
  <w:num w:numId="30">
    <w:abstractNumId w:val="5"/>
  </w:num>
  <w:num w:numId="31">
    <w:abstractNumId w:val="4"/>
  </w:num>
  <w:num w:numId="32">
    <w:abstractNumId w:val="9"/>
  </w:num>
  <w:num w:numId="33">
    <w:abstractNumId w:val="14"/>
  </w:num>
  <w:num w:numId="34">
    <w:abstractNumId w:val="6"/>
  </w:num>
  <w:num w:numId="35">
    <w:abstractNumId w:val="8"/>
  </w:num>
  <w:num w:numId="36">
    <w:abstractNumId w:val="1"/>
  </w:num>
  <w:num w:numId="3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hyphenationZone w:val="425"/>
  <w:doNotHyphenateCaps/>
  <w:evenAndOddHeaders/>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ehlsHistorie_Befehl01" w:val="Zum ersten Platzhalter im Dokument navigieren [1530ms] [Main] [eNormCommandSeilegx::SEILEGX.Marker.GotoFirstMarkerInDocument]"/>
    <w:docVar w:name="BefehlsHistorie_Befehl02" w:val="Aktualisierung der Strukturanzeige [7093ms] [Main] [eNormCommandLocal::DynamicStructureCheck.UpdateStructure]"/>
    <w:docVar w:name="BefehlsHistorie_BefehlsZähler" w:val="2"/>
    <w:docVar w:name="BefehlsKontext_SpeichernOOXML_Maximum" w:val="809ms"/>
    <w:docVar w:name="BefehlsKontext_SpeichernOOXML_Schnitt" w:val="809ms"/>
    <w:docVar w:name="BT" w:val="True"/>
    <w:docVar w:name="DQCDateTime" w:val="19.10.2020 09:45:55"/>
    <w:docVar w:name="DQCHighlighting" w:val="100"/>
    <w:docVar w:name="DQCPart_Dokument" w:val="0"/>
    <w:docVar w:name="DQCResult_Aenderungsbefehl" w:val="0;0"/>
    <w:docVar w:name="DQCResult_Citations" w:val="0;4"/>
    <w:docVar w:name="DQCResult_EmbeddedObjects" w:val="0;0"/>
    <w:docVar w:name="DQCResult_Marker" w:val="5;0"/>
    <w:docVar w:name="DQCResult_ModifiedCharFormat" w:val="0;0"/>
    <w:docVar w:name="DQCResult_ModifiedMargins" w:val="0;0"/>
    <w:docVar w:name="DQCResult_ModifiedNumbering" w:val="0;0"/>
    <w:docVar w:name="DQCResult_StructureCheck" w:val="0;0"/>
    <w:docVar w:name="DQCResult_SuperfluousWhitespace" w:val="1;0"/>
    <w:docVar w:name="DQCWithWarnings" w:val="1"/>
    <w:docVar w:name="EN_DocFileDateTimeAtOpen" w:val="28.01.2021 13:32:10"/>
    <w:docVar w:name="LW_DocType" w:val="FORM"/>
    <w:docVar w:name="LWCons_Langue" w:val="DE"/>
  </w:docVars>
  <w:rsids>
    <w:rsidRoot w:val="00A1618A"/>
    <w:rsid w:val="000135E0"/>
    <w:rsid w:val="00071DF7"/>
    <w:rsid w:val="00080092"/>
    <w:rsid w:val="000C7EB4"/>
    <w:rsid w:val="000E03DB"/>
    <w:rsid w:val="001128A7"/>
    <w:rsid w:val="001135BC"/>
    <w:rsid w:val="00132D0E"/>
    <w:rsid w:val="00134F62"/>
    <w:rsid w:val="00146FA3"/>
    <w:rsid w:val="00146FE2"/>
    <w:rsid w:val="00154174"/>
    <w:rsid w:val="00173C16"/>
    <w:rsid w:val="0018171E"/>
    <w:rsid w:val="00183A92"/>
    <w:rsid w:val="001A1857"/>
    <w:rsid w:val="001F299B"/>
    <w:rsid w:val="002238CE"/>
    <w:rsid w:val="00226BE8"/>
    <w:rsid w:val="0027342B"/>
    <w:rsid w:val="0029069E"/>
    <w:rsid w:val="002A4508"/>
    <w:rsid w:val="002D5B22"/>
    <w:rsid w:val="00300E10"/>
    <w:rsid w:val="00301E30"/>
    <w:rsid w:val="00303B79"/>
    <w:rsid w:val="00322FED"/>
    <w:rsid w:val="00372E80"/>
    <w:rsid w:val="00375668"/>
    <w:rsid w:val="003B0970"/>
    <w:rsid w:val="003D00E3"/>
    <w:rsid w:val="003E7797"/>
    <w:rsid w:val="004603FB"/>
    <w:rsid w:val="00475F3C"/>
    <w:rsid w:val="0048061A"/>
    <w:rsid w:val="00482E04"/>
    <w:rsid w:val="00483A5C"/>
    <w:rsid w:val="004C2F0E"/>
    <w:rsid w:val="004D73A6"/>
    <w:rsid w:val="004E3669"/>
    <w:rsid w:val="00500832"/>
    <w:rsid w:val="00507548"/>
    <w:rsid w:val="005136D3"/>
    <w:rsid w:val="00522D35"/>
    <w:rsid w:val="0052467D"/>
    <w:rsid w:val="0056127E"/>
    <w:rsid w:val="00564F5C"/>
    <w:rsid w:val="00567E04"/>
    <w:rsid w:val="00575145"/>
    <w:rsid w:val="0059491E"/>
    <w:rsid w:val="005D0EFB"/>
    <w:rsid w:val="005D3CD6"/>
    <w:rsid w:val="0063228E"/>
    <w:rsid w:val="00641EBD"/>
    <w:rsid w:val="00653714"/>
    <w:rsid w:val="0065493F"/>
    <w:rsid w:val="006602F9"/>
    <w:rsid w:val="00671BC4"/>
    <w:rsid w:val="00697ADE"/>
    <w:rsid w:val="006D6868"/>
    <w:rsid w:val="006F4236"/>
    <w:rsid w:val="00732338"/>
    <w:rsid w:val="00740D37"/>
    <w:rsid w:val="007430E4"/>
    <w:rsid w:val="00781CAB"/>
    <w:rsid w:val="00781ED1"/>
    <w:rsid w:val="00792014"/>
    <w:rsid w:val="007C2BBC"/>
    <w:rsid w:val="007D4CD0"/>
    <w:rsid w:val="007E2045"/>
    <w:rsid w:val="007E7C79"/>
    <w:rsid w:val="008135B1"/>
    <w:rsid w:val="0081574B"/>
    <w:rsid w:val="00823118"/>
    <w:rsid w:val="00847B02"/>
    <w:rsid w:val="00885E82"/>
    <w:rsid w:val="008C1218"/>
    <w:rsid w:val="008D2AC5"/>
    <w:rsid w:val="008F1429"/>
    <w:rsid w:val="00917795"/>
    <w:rsid w:val="00917B9B"/>
    <w:rsid w:val="0095048E"/>
    <w:rsid w:val="009642AE"/>
    <w:rsid w:val="0098296B"/>
    <w:rsid w:val="00983E79"/>
    <w:rsid w:val="009A5C22"/>
    <w:rsid w:val="009C0AFB"/>
    <w:rsid w:val="009C727B"/>
    <w:rsid w:val="009F08C0"/>
    <w:rsid w:val="009F4BE3"/>
    <w:rsid w:val="00A02364"/>
    <w:rsid w:val="00A0500F"/>
    <w:rsid w:val="00A135B4"/>
    <w:rsid w:val="00A1618A"/>
    <w:rsid w:val="00A9149E"/>
    <w:rsid w:val="00B07CE3"/>
    <w:rsid w:val="00B43B29"/>
    <w:rsid w:val="00B56BA7"/>
    <w:rsid w:val="00B57167"/>
    <w:rsid w:val="00B71D99"/>
    <w:rsid w:val="00B83323"/>
    <w:rsid w:val="00BA1801"/>
    <w:rsid w:val="00BA4521"/>
    <w:rsid w:val="00C2229D"/>
    <w:rsid w:val="00C43A3B"/>
    <w:rsid w:val="00C46490"/>
    <w:rsid w:val="00C4721A"/>
    <w:rsid w:val="00C547F3"/>
    <w:rsid w:val="00C56313"/>
    <w:rsid w:val="00C8625E"/>
    <w:rsid w:val="00CA5FE0"/>
    <w:rsid w:val="00CC24F9"/>
    <w:rsid w:val="00CC759B"/>
    <w:rsid w:val="00CF5BEA"/>
    <w:rsid w:val="00D22B44"/>
    <w:rsid w:val="00D43956"/>
    <w:rsid w:val="00D63854"/>
    <w:rsid w:val="00D65B30"/>
    <w:rsid w:val="00D72D91"/>
    <w:rsid w:val="00D879BF"/>
    <w:rsid w:val="00D969A6"/>
    <w:rsid w:val="00DA01B2"/>
    <w:rsid w:val="00DC4488"/>
    <w:rsid w:val="00DC478A"/>
    <w:rsid w:val="00DC6F26"/>
    <w:rsid w:val="00DE62FA"/>
    <w:rsid w:val="00E11559"/>
    <w:rsid w:val="00E14F7C"/>
    <w:rsid w:val="00E35B47"/>
    <w:rsid w:val="00E460EC"/>
    <w:rsid w:val="00E50B3B"/>
    <w:rsid w:val="00E558EE"/>
    <w:rsid w:val="00E56784"/>
    <w:rsid w:val="00E5776A"/>
    <w:rsid w:val="00E76696"/>
    <w:rsid w:val="00E76B14"/>
    <w:rsid w:val="00E851FA"/>
    <w:rsid w:val="00E97B1F"/>
    <w:rsid w:val="00EC1208"/>
    <w:rsid w:val="00F40398"/>
    <w:rsid w:val="00F417DD"/>
    <w:rsid w:val="00F43B6A"/>
    <w:rsid w:val="00F601E9"/>
    <w:rsid w:val="00F6471F"/>
    <w:rsid w:val="00F722DA"/>
    <w:rsid w:val="00F87158"/>
    <w:rsid w:val="00FD15D6"/>
    <w:rsid w:val="00FD3793"/>
    <w:rsid w:val="00FE3C75"/>
    <w:rsid w:val="00FE7C6A"/>
    <w:rsid w:val="00FF446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1C7F1C"/>
  <w15:docId w15:val="{D049CA59-B7A5-44F5-B3CB-68B37A6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240" w:lineRule="auto"/>
      <w:jc w:val="both"/>
    </w:pPr>
    <w:rPr>
      <w:rFonts w:ascii="Times New Roman" w:hAnsi="Times New Roman" w:cs="Times New Roman"/>
      <w:sz w:val="21"/>
    </w:rPr>
  </w:style>
  <w:style w:type="paragraph" w:styleId="Heading1">
    <w:name w:val="heading 1"/>
    <w:basedOn w:val="Normal"/>
    <w:next w:val="Text"/>
    <w:link w:val="Heading1Char"/>
    <w:uiPriority w:val="9"/>
    <w:qFormat/>
    <w:rsid w:val="0098296B"/>
    <w:pPr>
      <w:keepNext/>
      <w:spacing w:before="120"/>
      <w:jc w:val="center"/>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98296B"/>
    <w:pPr>
      <w:keepNext/>
      <w:spacing w:before="120"/>
      <w:outlineLvl w:val="1"/>
    </w:pPr>
    <w:rPr>
      <w:rFonts w:eastAsiaTheme="majorEastAsia"/>
      <w:b/>
      <w:bCs/>
      <w:szCs w:val="26"/>
    </w:rPr>
  </w:style>
  <w:style w:type="paragraph" w:styleId="Heading3">
    <w:name w:val="heading 3"/>
    <w:basedOn w:val="Normal"/>
    <w:next w:val="Text"/>
    <w:link w:val="Heading3Char"/>
    <w:uiPriority w:val="9"/>
    <w:semiHidden/>
    <w:unhideWhenUsed/>
    <w:qFormat/>
    <w:rsid w:val="0098296B"/>
    <w:pPr>
      <w:keepNext/>
      <w:spacing w:before="120"/>
      <w:outlineLvl w:val="2"/>
    </w:pPr>
    <w:rPr>
      <w:rFonts w:eastAsiaTheme="majorEastAsia"/>
      <w:b/>
      <w:bCs/>
    </w:rPr>
  </w:style>
  <w:style w:type="paragraph" w:styleId="Heading4">
    <w:name w:val="heading 4"/>
    <w:basedOn w:val="Normal"/>
    <w:next w:val="Text"/>
    <w:link w:val="Heading4Char"/>
    <w:uiPriority w:val="9"/>
    <w:semiHidden/>
    <w:unhideWhenUsed/>
    <w:qFormat/>
    <w:rsid w:val="0098296B"/>
    <w:pPr>
      <w:keepNext/>
      <w:spacing w:before="120"/>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69A6"/>
    <w:rPr>
      <w:sz w:val="16"/>
      <w:szCs w:val="16"/>
    </w:rPr>
  </w:style>
  <w:style w:type="paragraph" w:styleId="CommentText">
    <w:name w:val="annotation text"/>
    <w:basedOn w:val="Normal"/>
    <w:link w:val="CommentTextChar"/>
    <w:uiPriority w:val="99"/>
    <w:unhideWhenUsed/>
    <w:rsid w:val="00D969A6"/>
    <w:rPr>
      <w:sz w:val="20"/>
      <w:szCs w:val="20"/>
    </w:rPr>
  </w:style>
  <w:style w:type="character" w:customStyle="1" w:styleId="CommentTextChar">
    <w:name w:val="Comment Text Char"/>
    <w:basedOn w:val="DefaultParagraphFont"/>
    <w:link w:val="CommentText"/>
    <w:uiPriority w:val="99"/>
    <w:rsid w:val="00D969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69A6"/>
    <w:rPr>
      <w:b/>
      <w:bCs/>
    </w:rPr>
  </w:style>
  <w:style w:type="character" w:customStyle="1" w:styleId="CommentSubjectChar">
    <w:name w:val="Comment Subject Char"/>
    <w:basedOn w:val="CommentTextChar"/>
    <w:link w:val="CommentSubject"/>
    <w:uiPriority w:val="99"/>
    <w:semiHidden/>
    <w:rsid w:val="00D969A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969A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9A6"/>
    <w:rPr>
      <w:rFonts w:ascii="Segoe UI" w:hAnsi="Segoe UI" w:cs="Segoe UI"/>
      <w:sz w:val="18"/>
      <w:szCs w:val="18"/>
    </w:rPr>
  </w:style>
  <w:style w:type="character" w:styleId="Hyperlink">
    <w:name w:val="Hyperlink"/>
    <w:basedOn w:val="DefaultParagraphFont"/>
    <w:uiPriority w:val="99"/>
    <w:unhideWhenUsed/>
    <w:rsid w:val="00F417DD"/>
    <w:rPr>
      <w:color w:val="0000FF" w:themeColor="hyperlink"/>
      <w:u w:val="single"/>
    </w:rPr>
  </w:style>
  <w:style w:type="paragraph" w:styleId="Revision">
    <w:name w:val="Revision"/>
    <w:hidden/>
    <w:uiPriority w:val="99"/>
    <w:semiHidden/>
    <w:rsid w:val="00BA4521"/>
    <w:pPr>
      <w:spacing w:after="0" w:line="240" w:lineRule="auto"/>
    </w:pPr>
    <w:rPr>
      <w:rFonts w:ascii="Times New Roman" w:hAnsi="Times New Roman" w:cs="Times New Roman"/>
      <w:sz w:val="21"/>
    </w:rPr>
  </w:style>
  <w:style w:type="paragraph" w:styleId="Footer">
    <w:name w:val="footer"/>
    <w:basedOn w:val="Normal"/>
    <w:link w:val="FooterChar"/>
    <w:uiPriority w:val="99"/>
    <w:unhideWhenUsed/>
    <w:rsid w:val="0098296B"/>
    <w:pPr>
      <w:tabs>
        <w:tab w:val="center" w:pos="4394"/>
        <w:tab w:val="right" w:pos="8787"/>
      </w:tabs>
      <w:spacing w:before="360" w:after="0"/>
      <w:jc w:val="left"/>
    </w:pPr>
  </w:style>
  <w:style w:type="character" w:customStyle="1" w:styleId="FooterChar">
    <w:name w:val="Footer Char"/>
    <w:basedOn w:val="DefaultParagraphFont"/>
    <w:link w:val="Footer"/>
    <w:uiPriority w:val="99"/>
    <w:rsid w:val="0098296B"/>
    <w:rPr>
      <w:rFonts w:ascii="Times New Roman" w:hAnsi="Times New Roman" w:cs="Times New Roman"/>
      <w:sz w:val="21"/>
      <w:shd w:val="clear" w:color="auto" w:fill="auto"/>
    </w:rPr>
  </w:style>
  <w:style w:type="paragraph" w:styleId="FootnoteText">
    <w:name w:val="footnote text"/>
    <w:basedOn w:val="Normal"/>
    <w:link w:val="FootnoteTextChar"/>
    <w:uiPriority w:val="99"/>
    <w:semiHidden/>
    <w:unhideWhenUsed/>
    <w:rsid w:val="0098296B"/>
    <w:pPr>
      <w:spacing w:before="0" w:after="0"/>
      <w:ind w:left="720" w:hanging="720"/>
    </w:pPr>
    <w:rPr>
      <w:sz w:val="16"/>
      <w:szCs w:val="20"/>
    </w:rPr>
  </w:style>
  <w:style w:type="character" w:customStyle="1" w:styleId="FootnoteTextChar">
    <w:name w:val="Footnote Text Char"/>
    <w:basedOn w:val="DefaultParagraphFont"/>
    <w:link w:val="Footnote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Normal"/>
    <w:rsid w:val="0098296B"/>
    <w:pPr>
      <w:numPr>
        <w:numId w:val="21"/>
      </w:numPr>
      <w:tabs>
        <w:tab w:val="left" w:pos="0"/>
      </w:tabs>
    </w:pPr>
  </w:style>
  <w:style w:type="paragraph" w:customStyle="1" w:styleId="ListeFolgeabsatzStufe1">
    <w:name w:val="Liste Folgeabsatz (Stufe 1)"/>
    <w:basedOn w:val="Normal"/>
    <w:rsid w:val="0098296B"/>
    <w:pPr>
      <w:numPr>
        <w:ilvl w:val="1"/>
        <w:numId w:val="21"/>
      </w:numPr>
    </w:pPr>
  </w:style>
  <w:style w:type="paragraph" w:customStyle="1" w:styleId="ListeStufe2">
    <w:name w:val="Liste (Stufe 2)"/>
    <w:basedOn w:val="Normal"/>
    <w:rsid w:val="0098296B"/>
    <w:pPr>
      <w:numPr>
        <w:ilvl w:val="2"/>
        <w:numId w:val="21"/>
      </w:numPr>
    </w:pPr>
  </w:style>
  <w:style w:type="paragraph" w:customStyle="1" w:styleId="ListeFolgeabsatzStufe2">
    <w:name w:val="Liste Folgeabsatz (Stufe 2)"/>
    <w:basedOn w:val="Normal"/>
    <w:rsid w:val="0098296B"/>
    <w:pPr>
      <w:numPr>
        <w:ilvl w:val="3"/>
        <w:numId w:val="21"/>
      </w:numPr>
    </w:pPr>
  </w:style>
  <w:style w:type="paragraph" w:customStyle="1" w:styleId="ListeStufe3">
    <w:name w:val="Liste (Stufe 3)"/>
    <w:basedOn w:val="Normal"/>
    <w:rsid w:val="0098296B"/>
    <w:pPr>
      <w:numPr>
        <w:ilvl w:val="4"/>
        <w:numId w:val="21"/>
      </w:numPr>
    </w:pPr>
  </w:style>
  <w:style w:type="paragraph" w:customStyle="1" w:styleId="ListeFolgeabsatzStufe3">
    <w:name w:val="Liste Folgeabsatz (Stufe 3)"/>
    <w:basedOn w:val="Normal"/>
    <w:rsid w:val="0098296B"/>
    <w:pPr>
      <w:numPr>
        <w:ilvl w:val="5"/>
        <w:numId w:val="21"/>
      </w:numPr>
    </w:pPr>
  </w:style>
  <w:style w:type="paragraph" w:customStyle="1" w:styleId="ListeStufe4">
    <w:name w:val="Liste (Stufe 4)"/>
    <w:basedOn w:val="Normal"/>
    <w:rsid w:val="0098296B"/>
    <w:pPr>
      <w:numPr>
        <w:ilvl w:val="6"/>
        <w:numId w:val="21"/>
      </w:numPr>
    </w:pPr>
  </w:style>
  <w:style w:type="paragraph" w:customStyle="1" w:styleId="ListeFolgeabsatzStufe4">
    <w:name w:val="Liste Folgeabsatz (Stufe 4)"/>
    <w:basedOn w:val="Normal"/>
    <w:rsid w:val="0098296B"/>
    <w:pPr>
      <w:numPr>
        <w:ilvl w:val="7"/>
        <w:numId w:val="21"/>
      </w:numPr>
    </w:pPr>
  </w:style>
  <w:style w:type="paragraph" w:customStyle="1" w:styleId="ListeStufe1manuell">
    <w:name w:val="Liste (Stufe 1) (manuell)"/>
    <w:basedOn w:val="Normal"/>
    <w:rsid w:val="0098296B"/>
    <w:pPr>
      <w:tabs>
        <w:tab w:val="left" w:pos="425"/>
      </w:tabs>
      <w:ind w:left="425" w:hanging="425"/>
    </w:pPr>
  </w:style>
  <w:style w:type="paragraph" w:customStyle="1" w:styleId="ListeStufe2manuell">
    <w:name w:val="Liste (Stufe 2) (manuell)"/>
    <w:basedOn w:val="Normal"/>
    <w:rsid w:val="0098296B"/>
    <w:pPr>
      <w:tabs>
        <w:tab w:val="left" w:pos="850"/>
      </w:tabs>
      <w:ind w:left="850" w:hanging="425"/>
    </w:pPr>
  </w:style>
  <w:style w:type="paragraph" w:customStyle="1" w:styleId="ListeStufe3manuell">
    <w:name w:val="Liste (Stufe 3) (manuell)"/>
    <w:basedOn w:val="Normal"/>
    <w:rsid w:val="0098296B"/>
    <w:pPr>
      <w:tabs>
        <w:tab w:val="left" w:pos="1276"/>
      </w:tabs>
      <w:ind w:left="1276" w:hanging="425"/>
    </w:pPr>
  </w:style>
  <w:style w:type="paragraph" w:customStyle="1" w:styleId="ListeStufe4manuell">
    <w:name w:val="Liste (Stufe 4) (manuell)"/>
    <w:basedOn w:val="Normal"/>
    <w:next w:val="ListeStufe1manuell"/>
    <w:rsid w:val="0098296B"/>
    <w:pPr>
      <w:tabs>
        <w:tab w:val="left" w:pos="1984"/>
      </w:tabs>
      <w:ind w:left="1984" w:hanging="709"/>
    </w:pPr>
  </w:style>
  <w:style w:type="paragraph" w:customStyle="1" w:styleId="AufzhlungStufe1">
    <w:name w:val="Aufzählung (Stufe 1)"/>
    <w:basedOn w:val="Normal"/>
    <w:rsid w:val="0098296B"/>
    <w:pPr>
      <w:numPr>
        <w:numId w:val="22"/>
      </w:numPr>
      <w:tabs>
        <w:tab w:val="left" w:pos="0"/>
      </w:tabs>
    </w:pPr>
  </w:style>
  <w:style w:type="paragraph" w:customStyle="1" w:styleId="AufzhlungFolgeabsatzStufe1">
    <w:name w:val="Aufzählung Folgeabsatz (Stufe 1)"/>
    <w:basedOn w:val="Normal"/>
    <w:rsid w:val="0098296B"/>
    <w:pPr>
      <w:tabs>
        <w:tab w:val="left" w:pos="425"/>
      </w:tabs>
      <w:ind w:left="425"/>
    </w:pPr>
  </w:style>
  <w:style w:type="paragraph" w:customStyle="1" w:styleId="AufzhlungStufe2">
    <w:name w:val="Aufzählung (Stufe 2)"/>
    <w:basedOn w:val="Normal"/>
    <w:rsid w:val="0098296B"/>
    <w:pPr>
      <w:numPr>
        <w:numId w:val="23"/>
      </w:numPr>
      <w:tabs>
        <w:tab w:val="left" w:pos="425"/>
      </w:tabs>
    </w:pPr>
  </w:style>
  <w:style w:type="paragraph" w:customStyle="1" w:styleId="AufzhlungFolgeabsatzStufe2">
    <w:name w:val="Aufzählung Folgeabsatz (Stufe 2)"/>
    <w:basedOn w:val="Normal"/>
    <w:rsid w:val="0098296B"/>
    <w:pPr>
      <w:tabs>
        <w:tab w:val="left" w:pos="794"/>
      </w:tabs>
      <w:ind w:left="850"/>
    </w:pPr>
  </w:style>
  <w:style w:type="paragraph" w:customStyle="1" w:styleId="AufzhlungStufe3">
    <w:name w:val="Aufzählung (Stufe 3)"/>
    <w:basedOn w:val="Normal"/>
    <w:rsid w:val="0098296B"/>
    <w:pPr>
      <w:numPr>
        <w:numId w:val="24"/>
      </w:numPr>
      <w:tabs>
        <w:tab w:val="left" w:pos="850"/>
      </w:tabs>
    </w:pPr>
  </w:style>
  <w:style w:type="paragraph" w:customStyle="1" w:styleId="AufzhlungFolgeabsatzStufe3">
    <w:name w:val="Aufzählung Folgeabsatz (Stufe 3)"/>
    <w:basedOn w:val="Normal"/>
    <w:rsid w:val="0098296B"/>
    <w:pPr>
      <w:tabs>
        <w:tab w:val="left" w:pos="1276"/>
      </w:tabs>
      <w:ind w:left="1276"/>
    </w:pPr>
  </w:style>
  <w:style w:type="paragraph" w:customStyle="1" w:styleId="AufzhlungStufe4">
    <w:name w:val="Aufzählung (Stufe 4)"/>
    <w:basedOn w:val="Normal"/>
    <w:rsid w:val="0098296B"/>
    <w:pPr>
      <w:numPr>
        <w:numId w:val="25"/>
      </w:numPr>
      <w:tabs>
        <w:tab w:val="left" w:pos="1276"/>
      </w:tabs>
    </w:pPr>
  </w:style>
  <w:style w:type="paragraph" w:customStyle="1" w:styleId="AufzhlungFolgeabsatzStufe4">
    <w:name w:val="Aufzählung Folgeabsatz (Stufe 4)"/>
    <w:basedOn w:val="Normal"/>
    <w:rsid w:val="0098296B"/>
    <w:pPr>
      <w:tabs>
        <w:tab w:val="left" w:pos="1701"/>
      </w:tabs>
      <w:ind w:left="1701"/>
    </w:pPr>
  </w:style>
  <w:style w:type="paragraph" w:customStyle="1" w:styleId="AufzhlungStufe5">
    <w:name w:val="Aufzählung (Stufe 5)"/>
    <w:basedOn w:val="Normal"/>
    <w:rsid w:val="0098296B"/>
    <w:pPr>
      <w:numPr>
        <w:numId w:val="26"/>
      </w:numPr>
      <w:tabs>
        <w:tab w:val="left" w:pos="1701"/>
      </w:tabs>
    </w:pPr>
  </w:style>
  <w:style w:type="paragraph" w:customStyle="1" w:styleId="AufzhlungFolgeabsatzStufe5">
    <w:name w:val="Aufzählung Folgeabsatz (Stufe 5)"/>
    <w:basedOn w:val="Normal"/>
    <w:rsid w:val="0098296B"/>
    <w:pPr>
      <w:tabs>
        <w:tab w:val="left" w:pos="2126"/>
      </w:tabs>
      <w:ind w:left="2126"/>
    </w:pPr>
  </w:style>
  <w:style w:type="paragraph" w:customStyle="1" w:styleId="Formel">
    <w:name w:val="Formel"/>
    <w:basedOn w:val="Normal"/>
    <w:rsid w:val="0098296B"/>
    <w:pPr>
      <w:spacing w:before="240" w:after="240"/>
      <w:jc w:val="center"/>
    </w:pPr>
  </w:style>
  <w:style w:type="paragraph" w:customStyle="1" w:styleId="Grafik">
    <w:name w:val="Grafik"/>
    <w:basedOn w:val="Normal"/>
    <w:rsid w:val="0098296B"/>
    <w:pPr>
      <w:spacing w:before="240" w:after="240"/>
      <w:jc w:val="center"/>
    </w:pPr>
  </w:style>
  <w:style w:type="paragraph" w:customStyle="1" w:styleId="Text">
    <w:name w:val="Text"/>
    <w:basedOn w:val="Normal"/>
    <w:rsid w:val="0098296B"/>
  </w:style>
  <w:style w:type="paragraph" w:customStyle="1" w:styleId="TabelleTitel">
    <w:name w:val="Tabelle Titel"/>
    <w:basedOn w:val="Normal"/>
    <w:rsid w:val="0098296B"/>
    <w:pPr>
      <w:spacing w:before="240"/>
      <w:jc w:val="center"/>
    </w:pPr>
  </w:style>
  <w:style w:type="paragraph" w:customStyle="1" w:styleId="Tabelleberschrift">
    <w:name w:val="Tabelle Überschrift"/>
    <w:basedOn w:val="Normal"/>
    <w:next w:val="TabelleText"/>
    <w:rsid w:val="0098296B"/>
    <w:rPr>
      <w:b/>
      <w:sz w:val="16"/>
    </w:rPr>
  </w:style>
  <w:style w:type="paragraph" w:customStyle="1" w:styleId="TabelleText">
    <w:name w:val="Tabelle Text"/>
    <w:basedOn w:val="Normal"/>
    <w:rsid w:val="0098296B"/>
    <w:rPr>
      <w:sz w:val="16"/>
    </w:rPr>
  </w:style>
  <w:style w:type="paragraph" w:customStyle="1" w:styleId="TabelleAufzhlung">
    <w:name w:val="Tabelle Aufzählung"/>
    <w:basedOn w:val="Normal"/>
    <w:rsid w:val="0098296B"/>
    <w:pPr>
      <w:numPr>
        <w:numId w:val="27"/>
      </w:numPr>
    </w:pPr>
    <w:rPr>
      <w:sz w:val="16"/>
    </w:rPr>
  </w:style>
  <w:style w:type="paragraph" w:customStyle="1" w:styleId="TabelleListe">
    <w:name w:val="Tabelle Liste"/>
    <w:basedOn w:val="Normal"/>
    <w:rsid w:val="0098296B"/>
    <w:pPr>
      <w:numPr>
        <w:numId w:val="28"/>
      </w:numPr>
    </w:pPr>
    <w:rPr>
      <w:sz w:val="16"/>
    </w:rPr>
  </w:style>
  <w:style w:type="character" w:customStyle="1" w:styleId="Binnenverweis">
    <w:name w:val="Binnenverweis"/>
    <w:basedOn w:val="DefaultParagraphFont"/>
    <w:rsid w:val="0098296B"/>
    <w:rPr>
      <w:noProof/>
      <w:u w:val="none"/>
      <w:shd w:val="clear" w:color="auto" w:fill="E0E0E0"/>
    </w:rPr>
  </w:style>
  <w:style w:type="character" w:customStyle="1" w:styleId="Einzelverweisziel">
    <w:name w:val="Einzelverweisziel"/>
    <w:basedOn w:val="DefaultParagraphFont"/>
    <w:rsid w:val="0098296B"/>
    <w:rPr>
      <w:shd w:val="clear" w:color="auto" w:fill="F3F3F3"/>
    </w:rPr>
  </w:style>
  <w:style w:type="character" w:customStyle="1" w:styleId="Verweis">
    <w:name w:val="Verweis"/>
    <w:basedOn w:val="DefaultParagraphFont"/>
    <w:rsid w:val="0098296B"/>
    <w:rPr>
      <w:color w:val="000080"/>
      <w:shd w:val="clear" w:color="auto" w:fill="auto"/>
    </w:rPr>
  </w:style>
  <w:style w:type="character" w:customStyle="1" w:styleId="VerweisBezugsstelle">
    <w:name w:val="Verweis Bezugsstelle"/>
    <w:basedOn w:val="DefaultParagraphFont"/>
    <w:rsid w:val="0098296B"/>
    <w:rPr>
      <w:color w:val="000080"/>
      <w:shd w:val="clear" w:color="auto" w:fill="auto"/>
    </w:rPr>
  </w:style>
  <w:style w:type="paragraph" w:styleId="Header">
    <w:name w:val="header"/>
    <w:basedOn w:val="Normal"/>
    <w:link w:val="HeaderChar"/>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HeaderChar">
    <w:name w:val="Header Char"/>
    <w:basedOn w:val="DefaultParagraphFont"/>
    <w:link w:val="Header"/>
    <w:uiPriority w:val="99"/>
    <w:rsid w:val="0098296B"/>
    <w:rPr>
      <w:rFonts w:ascii="Times New Roman" w:hAnsi="Times New Roman" w:cs="Times New Roman"/>
      <w:sz w:val="21"/>
      <w:shd w:val="clear" w:color="auto" w:fill="auto"/>
    </w:rPr>
  </w:style>
  <w:style w:type="character" w:styleId="FootnoteReference">
    <w:name w:val="footnote reference"/>
    <w:basedOn w:val="DefaultParagraphFont"/>
    <w:uiPriority w:val="99"/>
    <w:unhideWhenUsed/>
    <w:rsid w:val="0098296B"/>
    <w:rPr>
      <w:shd w:val="clear" w:color="auto" w:fill="auto"/>
      <w:vertAlign w:val="superscript"/>
    </w:rPr>
  </w:style>
  <w:style w:type="character" w:customStyle="1" w:styleId="Marker">
    <w:name w:val="Marker"/>
    <w:basedOn w:val="DefaultParagraphFont"/>
    <w:rsid w:val="0098296B"/>
    <w:rPr>
      <w:color w:val="0000FF"/>
      <w:shd w:val="clear" w:color="auto" w:fill="auto"/>
    </w:rPr>
  </w:style>
  <w:style w:type="character" w:customStyle="1" w:styleId="Marker1">
    <w:name w:val="Marker1"/>
    <w:basedOn w:val="DefaultParagraphFont"/>
    <w:rsid w:val="0098296B"/>
    <w:rPr>
      <w:color w:val="008000"/>
      <w:shd w:val="clear" w:color="auto" w:fill="auto"/>
    </w:rPr>
  </w:style>
  <w:style w:type="character" w:customStyle="1" w:styleId="Marker2">
    <w:name w:val="Marker2"/>
    <w:basedOn w:val="DefaultParagraphFont"/>
    <w:rsid w:val="0098296B"/>
    <w:rPr>
      <w:color w:val="FF0000"/>
      <w:shd w:val="clear" w:color="auto" w:fill="auto"/>
    </w:rPr>
  </w:style>
  <w:style w:type="paragraph" w:customStyle="1" w:styleId="Hinweistext">
    <w:name w:val="Hinweistext"/>
    <w:basedOn w:val="Normal"/>
    <w:next w:val="Text"/>
    <w:rsid w:val="0098296B"/>
    <w:rPr>
      <w:color w:val="008000"/>
    </w:rPr>
  </w:style>
  <w:style w:type="character" w:customStyle="1" w:styleId="Heading1Char">
    <w:name w:val="Heading 1 Char"/>
    <w:basedOn w:val="DefaultParagraphFont"/>
    <w:link w:val="Heading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Heading2Char">
    <w:name w:val="Heading 2 Char"/>
    <w:basedOn w:val="DefaultParagraphFont"/>
    <w:link w:val="Heading2"/>
    <w:uiPriority w:val="9"/>
    <w:semiHidden/>
    <w:rsid w:val="0098296B"/>
    <w:rPr>
      <w:rFonts w:ascii="Times New Roman" w:eastAsiaTheme="majorEastAsia" w:hAnsi="Times New Roman" w:cs="Times New Roman"/>
      <w:b/>
      <w:bCs/>
      <w:sz w:val="21"/>
      <w:szCs w:val="26"/>
      <w:shd w:val="clear" w:color="auto" w:fill="auto"/>
    </w:rPr>
  </w:style>
  <w:style w:type="character" w:customStyle="1" w:styleId="Heading3Char">
    <w:name w:val="Heading 3 Char"/>
    <w:basedOn w:val="DefaultParagraphFont"/>
    <w:link w:val="Heading3"/>
    <w:uiPriority w:val="9"/>
    <w:semiHidden/>
    <w:rsid w:val="0098296B"/>
    <w:rPr>
      <w:rFonts w:ascii="Times New Roman" w:eastAsiaTheme="majorEastAsia" w:hAnsi="Times New Roman" w:cs="Times New Roman"/>
      <w:b/>
      <w:bCs/>
      <w:sz w:val="21"/>
      <w:shd w:val="clear" w:color="auto" w:fill="auto"/>
    </w:rPr>
  </w:style>
  <w:style w:type="character" w:customStyle="1" w:styleId="Heading4Char">
    <w:name w:val="Heading 4 Char"/>
    <w:basedOn w:val="DefaultParagraphFont"/>
    <w:link w:val="Heading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Normal"/>
    <w:rsid w:val="0098296B"/>
    <w:pPr>
      <w:numPr>
        <w:ilvl w:val="2"/>
        <w:numId w:val="29"/>
      </w:numPr>
    </w:pPr>
    <w:rPr>
      <w:color w:val="800000"/>
    </w:rPr>
  </w:style>
  <w:style w:type="paragraph" w:customStyle="1" w:styleId="RevisionJuristischerAbsatzmanuell">
    <w:name w:val="Revision Juristischer Absatz (manuell)"/>
    <w:basedOn w:val="Normal"/>
    <w:rsid w:val="0098296B"/>
    <w:pPr>
      <w:tabs>
        <w:tab w:val="left" w:pos="850"/>
      </w:tabs>
      <w:ind w:firstLine="425"/>
    </w:pPr>
    <w:rPr>
      <w:color w:val="800000"/>
    </w:rPr>
  </w:style>
  <w:style w:type="paragraph" w:customStyle="1" w:styleId="RevisionJuristischerAbsatzFolgeabsatz">
    <w:name w:val="Revision Juristischer Absatz Folgeabsatz"/>
    <w:basedOn w:val="Normal"/>
    <w:rsid w:val="0098296B"/>
    <w:rPr>
      <w:color w:val="800000"/>
    </w:rPr>
  </w:style>
  <w:style w:type="paragraph" w:customStyle="1" w:styleId="RevisionNummerierungStufe1manuell">
    <w:name w:val="Revision Nummerierung (Stufe 1) (manuell)"/>
    <w:basedOn w:val="Normal"/>
    <w:rsid w:val="0098296B"/>
    <w:pPr>
      <w:tabs>
        <w:tab w:val="left" w:pos="425"/>
      </w:tabs>
      <w:ind w:left="425" w:hanging="425"/>
    </w:pPr>
    <w:rPr>
      <w:color w:val="800000"/>
    </w:rPr>
  </w:style>
  <w:style w:type="paragraph" w:customStyle="1" w:styleId="RevisionNummerierungFolgeabsatzStufe1">
    <w:name w:val="Revision Nummerierung Folgeabsatz (Stufe 1)"/>
    <w:basedOn w:val="Normal"/>
    <w:rsid w:val="0098296B"/>
    <w:pPr>
      <w:ind w:left="425"/>
    </w:pPr>
    <w:rPr>
      <w:color w:val="800000"/>
    </w:rPr>
  </w:style>
  <w:style w:type="paragraph" w:customStyle="1" w:styleId="RevisionNummerierungStufe2manuell">
    <w:name w:val="Revision Nummerierung (Stufe 2) (manuell)"/>
    <w:basedOn w:val="Normal"/>
    <w:rsid w:val="0098296B"/>
    <w:pPr>
      <w:tabs>
        <w:tab w:val="left" w:pos="850"/>
      </w:tabs>
      <w:ind w:left="850" w:hanging="425"/>
    </w:pPr>
    <w:rPr>
      <w:color w:val="800000"/>
    </w:rPr>
  </w:style>
  <w:style w:type="paragraph" w:customStyle="1" w:styleId="RevisionNummerierungFolgeabsatzStufe2">
    <w:name w:val="Revision Nummerierung Folgeabsatz (Stufe 2)"/>
    <w:basedOn w:val="Normal"/>
    <w:rsid w:val="0098296B"/>
    <w:pPr>
      <w:ind w:left="850"/>
    </w:pPr>
    <w:rPr>
      <w:color w:val="800000"/>
    </w:rPr>
  </w:style>
  <w:style w:type="paragraph" w:customStyle="1" w:styleId="RevisionNummerierungStufe3manuell">
    <w:name w:val="Revision Nummerierung (Stufe 3) (manuell)"/>
    <w:basedOn w:val="Normal"/>
    <w:rsid w:val="0098296B"/>
    <w:pPr>
      <w:tabs>
        <w:tab w:val="left" w:pos="1276"/>
      </w:tabs>
      <w:ind w:left="1276" w:hanging="425"/>
    </w:pPr>
    <w:rPr>
      <w:color w:val="800000"/>
    </w:rPr>
  </w:style>
  <w:style w:type="paragraph" w:customStyle="1" w:styleId="RevisionNummerierungFolgeabsatzStufe3">
    <w:name w:val="Revision Nummerierung Folgeabsatz (Stufe 3)"/>
    <w:basedOn w:val="Normal"/>
    <w:rsid w:val="0098296B"/>
    <w:pPr>
      <w:ind w:left="1276"/>
    </w:pPr>
    <w:rPr>
      <w:color w:val="800000"/>
    </w:rPr>
  </w:style>
  <w:style w:type="paragraph" w:customStyle="1" w:styleId="RevisionNummerierungStufe4manuell">
    <w:name w:val="Revision Nummerierung (Stufe 4) (manuell)"/>
    <w:basedOn w:val="Normal"/>
    <w:rsid w:val="0098296B"/>
    <w:pPr>
      <w:tabs>
        <w:tab w:val="left" w:pos="1701"/>
      </w:tabs>
      <w:ind w:left="1984" w:hanging="709"/>
    </w:pPr>
    <w:rPr>
      <w:color w:val="800000"/>
    </w:rPr>
  </w:style>
  <w:style w:type="paragraph" w:customStyle="1" w:styleId="RevisionNummerierungFolgeabsatzStufe4">
    <w:name w:val="Revision Nummerierung Folgeabsatz (Stufe 4)"/>
    <w:basedOn w:val="Normal"/>
    <w:rsid w:val="0098296B"/>
    <w:pPr>
      <w:ind w:left="1984"/>
    </w:pPr>
    <w:rPr>
      <w:color w:val="800000"/>
    </w:rPr>
  </w:style>
  <w:style w:type="paragraph" w:customStyle="1" w:styleId="RevisionNummerierungStufe1">
    <w:name w:val="Revision Nummerierung (Stufe 1)"/>
    <w:basedOn w:val="Normal"/>
    <w:rsid w:val="0098296B"/>
    <w:pPr>
      <w:numPr>
        <w:ilvl w:val="3"/>
        <w:numId w:val="29"/>
      </w:numPr>
    </w:pPr>
    <w:rPr>
      <w:color w:val="800000"/>
    </w:rPr>
  </w:style>
  <w:style w:type="paragraph" w:customStyle="1" w:styleId="RevisionNummerierungStufe2">
    <w:name w:val="Revision Nummerierung (Stufe 2)"/>
    <w:basedOn w:val="Normal"/>
    <w:rsid w:val="0098296B"/>
    <w:pPr>
      <w:numPr>
        <w:ilvl w:val="4"/>
        <w:numId w:val="29"/>
      </w:numPr>
    </w:pPr>
    <w:rPr>
      <w:color w:val="800000"/>
    </w:rPr>
  </w:style>
  <w:style w:type="paragraph" w:customStyle="1" w:styleId="RevisionNummerierungStufe3">
    <w:name w:val="Revision Nummerierung (Stufe 3)"/>
    <w:basedOn w:val="Normal"/>
    <w:rsid w:val="0098296B"/>
    <w:pPr>
      <w:numPr>
        <w:ilvl w:val="5"/>
        <w:numId w:val="29"/>
      </w:numPr>
    </w:pPr>
    <w:rPr>
      <w:color w:val="800000"/>
    </w:rPr>
  </w:style>
  <w:style w:type="paragraph" w:customStyle="1" w:styleId="RevisionNummerierungStufe4">
    <w:name w:val="Revision Nummerierung (Stufe 4)"/>
    <w:basedOn w:val="Normal"/>
    <w:rsid w:val="0098296B"/>
    <w:pPr>
      <w:numPr>
        <w:ilvl w:val="6"/>
        <w:numId w:val="29"/>
      </w:numPr>
    </w:pPr>
    <w:rPr>
      <w:color w:val="800000"/>
    </w:rPr>
  </w:style>
  <w:style w:type="character" w:customStyle="1" w:styleId="RevisionText">
    <w:name w:val="Revision Text"/>
    <w:basedOn w:val="DefaultParagraphFont"/>
    <w:rsid w:val="0098296B"/>
    <w:rPr>
      <w:color w:val="800000"/>
      <w:shd w:val="clear" w:color="auto" w:fill="auto"/>
    </w:rPr>
  </w:style>
  <w:style w:type="paragraph" w:customStyle="1" w:styleId="RevisionParagraphBezeichner">
    <w:name w:val="Revision Paragraph Bezeichner"/>
    <w:basedOn w:val="Normal"/>
    <w:next w:val="RevisionParagraphberschrift"/>
    <w:rsid w:val="0098296B"/>
    <w:pPr>
      <w:keepNext/>
      <w:numPr>
        <w:ilvl w:val="1"/>
        <w:numId w:val="29"/>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98296B"/>
    <w:pPr>
      <w:keepNext/>
      <w:spacing w:before="480"/>
      <w:jc w:val="center"/>
    </w:pPr>
    <w:rPr>
      <w:color w:val="800000"/>
    </w:rPr>
  </w:style>
  <w:style w:type="paragraph" w:customStyle="1" w:styleId="RevisionParagraphberschrift">
    <w:name w:val="Revision Paragraph Überschrift"/>
    <w:basedOn w:val="Normal"/>
    <w:next w:val="RevisionJuristischerAbsatz"/>
    <w:rsid w:val="0098296B"/>
    <w:pPr>
      <w:keepNext/>
      <w:jc w:val="center"/>
    </w:pPr>
    <w:rPr>
      <w:color w:val="800000"/>
    </w:rPr>
  </w:style>
  <w:style w:type="paragraph" w:customStyle="1" w:styleId="RevisionBuchBezeichner">
    <w:name w:val="Revision Buch Bezeichner"/>
    <w:basedOn w:val="Normal"/>
    <w:next w:val="RevisionBuchberschrift"/>
    <w:rsid w:val="0098296B"/>
    <w:pPr>
      <w:keepNext/>
      <w:spacing w:before="480"/>
      <w:jc w:val="center"/>
    </w:pPr>
    <w:rPr>
      <w:color w:val="800000"/>
      <w:sz w:val="24"/>
    </w:rPr>
  </w:style>
  <w:style w:type="paragraph" w:customStyle="1" w:styleId="RevisionBuchberschrift">
    <w:name w:val="Revision Buch Überschrift"/>
    <w:basedOn w:val="Normal"/>
    <w:next w:val="RevisionParagraphBezeichner"/>
    <w:rsid w:val="0098296B"/>
    <w:pPr>
      <w:keepNext/>
      <w:spacing w:after="240"/>
      <w:jc w:val="center"/>
    </w:pPr>
    <w:rPr>
      <w:color w:val="800000"/>
      <w:sz w:val="24"/>
    </w:rPr>
  </w:style>
  <w:style w:type="paragraph" w:customStyle="1" w:styleId="RevisionTeilBezeichner">
    <w:name w:val="Revision Teil Bezeichner"/>
    <w:basedOn w:val="Normal"/>
    <w:next w:val="RevisionTeilberschrift"/>
    <w:rsid w:val="0098296B"/>
    <w:pPr>
      <w:keepNext/>
      <w:spacing w:before="480"/>
      <w:jc w:val="center"/>
    </w:pPr>
    <w:rPr>
      <w:color w:val="800000"/>
      <w:sz w:val="24"/>
    </w:rPr>
  </w:style>
  <w:style w:type="paragraph" w:customStyle="1" w:styleId="RevisionTeilberschrift">
    <w:name w:val="Revision Teil Überschrift"/>
    <w:basedOn w:val="Normal"/>
    <w:next w:val="RevisionParagraphBezeichner"/>
    <w:rsid w:val="0098296B"/>
    <w:pPr>
      <w:keepNext/>
      <w:spacing w:after="240"/>
      <w:jc w:val="center"/>
    </w:pPr>
    <w:rPr>
      <w:color w:val="800000"/>
      <w:sz w:val="24"/>
    </w:rPr>
  </w:style>
  <w:style w:type="paragraph" w:customStyle="1" w:styleId="RevisionKapitelBezeichner">
    <w:name w:val="Revision Kapitel Bezeichner"/>
    <w:basedOn w:val="Normal"/>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Normal"/>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Normal"/>
    <w:next w:val="RevisionAbschnittberschrift"/>
    <w:rsid w:val="0098296B"/>
    <w:pPr>
      <w:keepNext/>
      <w:spacing w:before="480"/>
      <w:jc w:val="center"/>
    </w:pPr>
    <w:rPr>
      <w:color w:val="800000"/>
    </w:rPr>
  </w:style>
  <w:style w:type="paragraph" w:customStyle="1" w:styleId="RevisionAbschnittberschrift">
    <w:name w:val="Revision Abschnitt Überschrift"/>
    <w:basedOn w:val="Normal"/>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98296B"/>
    <w:pPr>
      <w:keepNext/>
      <w:spacing w:after="240"/>
      <w:jc w:val="center"/>
    </w:pPr>
    <w:rPr>
      <w:color w:val="800000"/>
    </w:rPr>
  </w:style>
  <w:style w:type="paragraph" w:customStyle="1" w:styleId="RevisionTitelBezeichner">
    <w:name w:val="Revision Titel Bezeichner"/>
    <w:basedOn w:val="Normal"/>
    <w:next w:val="RevisionTitelberschrift"/>
    <w:rsid w:val="0098296B"/>
    <w:pPr>
      <w:keepNext/>
      <w:spacing w:before="480"/>
      <w:jc w:val="center"/>
    </w:pPr>
    <w:rPr>
      <w:color w:val="800000"/>
    </w:rPr>
  </w:style>
  <w:style w:type="paragraph" w:customStyle="1" w:styleId="RevisionTitelberschrift">
    <w:name w:val="Revision Titel Überschrift"/>
    <w:basedOn w:val="Normal"/>
    <w:next w:val="RevisionParagraphBezeichner"/>
    <w:rsid w:val="0098296B"/>
    <w:pPr>
      <w:keepNext/>
      <w:spacing w:after="240"/>
      <w:jc w:val="center"/>
    </w:pPr>
    <w:rPr>
      <w:color w:val="800000"/>
    </w:rPr>
  </w:style>
  <w:style w:type="paragraph" w:customStyle="1" w:styleId="RevisionUntertitelBezeichner">
    <w:name w:val="Revision Untertitel Bezeichner"/>
    <w:basedOn w:val="Normal"/>
    <w:next w:val="RevisionUntertitelberschrift"/>
    <w:rsid w:val="0098296B"/>
    <w:pPr>
      <w:keepNext/>
      <w:spacing w:before="480"/>
      <w:jc w:val="center"/>
    </w:pPr>
    <w:rPr>
      <w:color w:val="800000"/>
    </w:rPr>
  </w:style>
  <w:style w:type="paragraph" w:customStyle="1" w:styleId="RevisionUntertitelberschrift">
    <w:name w:val="Revision Untertitel Überschrift"/>
    <w:basedOn w:val="Normal"/>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Normal"/>
    <w:next w:val="RevisionArtikelberschrift"/>
    <w:rsid w:val="0098296B"/>
    <w:pPr>
      <w:keepNext/>
      <w:numPr>
        <w:numId w:val="29"/>
      </w:numPr>
      <w:spacing w:before="480" w:after="240"/>
      <w:jc w:val="center"/>
    </w:pPr>
    <w:rPr>
      <w:color w:val="800000"/>
      <w:sz w:val="22"/>
    </w:rPr>
  </w:style>
  <w:style w:type="paragraph" w:customStyle="1" w:styleId="RevisionArtikelberschrift">
    <w:name w:val="Revision Artikel Überschrift"/>
    <w:basedOn w:val="Normal"/>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Normal"/>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Normal"/>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Normal"/>
    <w:rsid w:val="0098296B"/>
    <w:pPr>
      <w:ind w:firstLine="425"/>
    </w:pPr>
    <w:rPr>
      <w:color w:val="800000"/>
    </w:rPr>
  </w:style>
  <w:style w:type="paragraph" w:customStyle="1" w:styleId="RevisionEingangsformelAufzhlungStammdokument">
    <w:name w:val="Revision Eingangsformel Aufzählung (Stammdokument)"/>
    <w:basedOn w:val="Normal"/>
    <w:rsid w:val="0098296B"/>
    <w:pPr>
      <w:numPr>
        <w:numId w:val="36"/>
      </w:numPr>
    </w:pPr>
    <w:rPr>
      <w:color w:val="800000"/>
    </w:rPr>
  </w:style>
  <w:style w:type="paragraph" w:customStyle="1" w:styleId="RevisionVerzeichnisTitelStammdokument">
    <w:name w:val="Revision Verzeichnis Titel (Stammdokument)"/>
    <w:basedOn w:val="Normal"/>
    <w:next w:val="RevisionVerzeichnis2"/>
    <w:rsid w:val="0098296B"/>
    <w:pPr>
      <w:spacing w:before="180"/>
      <w:jc w:val="center"/>
    </w:pPr>
    <w:rPr>
      <w:color w:val="800000"/>
    </w:rPr>
  </w:style>
  <w:style w:type="paragraph" w:customStyle="1" w:styleId="RevisionVerzeichnis1">
    <w:name w:val="Revision Verzeichnis 1"/>
    <w:basedOn w:val="Normal"/>
    <w:rsid w:val="0098296B"/>
    <w:pPr>
      <w:tabs>
        <w:tab w:val="left" w:pos="1134"/>
      </w:tabs>
      <w:ind w:left="1134" w:hanging="1134"/>
    </w:pPr>
    <w:rPr>
      <w:color w:val="800000"/>
    </w:rPr>
  </w:style>
  <w:style w:type="paragraph" w:customStyle="1" w:styleId="RevisionVerzeichnis2">
    <w:name w:val="Revision Verzeichnis 2"/>
    <w:basedOn w:val="Normal"/>
    <w:rsid w:val="0098296B"/>
    <w:pPr>
      <w:keepNext/>
      <w:spacing w:before="240" w:line="360" w:lineRule="auto"/>
      <w:jc w:val="center"/>
    </w:pPr>
    <w:rPr>
      <w:color w:val="800000"/>
    </w:rPr>
  </w:style>
  <w:style w:type="paragraph" w:customStyle="1" w:styleId="RevisionVerzeichnis3">
    <w:name w:val="Revision Verzeichnis 3"/>
    <w:basedOn w:val="Normal"/>
    <w:rsid w:val="0098296B"/>
    <w:pPr>
      <w:keepNext/>
      <w:spacing w:before="240" w:line="360" w:lineRule="auto"/>
      <w:jc w:val="center"/>
    </w:pPr>
    <w:rPr>
      <w:color w:val="800000"/>
    </w:rPr>
  </w:style>
  <w:style w:type="paragraph" w:customStyle="1" w:styleId="RevisionVerzeichnis4">
    <w:name w:val="Revision Verzeichnis 4"/>
    <w:basedOn w:val="Normal"/>
    <w:rsid w:val="0098296B"/>
    <w:pPr>
      <w:keepNext/>
      <w:spacing w:before="240" w:line="360" w:lineRule="auto"/>
      <w:jc w:val="center"/>
    </w:pPr>
    <w:rPr>
      <w:color w:val="800000"/>
    </w:rPr>
  </w:style>
  <w:style w:type="paragraph" w:customStyle="1" w:styleId="RevisionVerzeichnis5">
    <w:name w:val="Revision Verzeichnis 5"/>
    <w:basedOn w:val="Normal"/>
    <w:rsid w:val="0098296B"/>
    <w:pPr>
      <w:keepNext/>
      <w:spacing w:before="240" w:line="360" w:lineRule="auto"/>
      <w:jc w:val="center"/>
    </w:pPr>
    <w:rPr>
      <w:color w:val="800000"/>
    </w:rPr>
  </w:style>
  <w:style w:type="paragraph" w:customStyle="1" w:styleId="RevisionVerzeichnis6">
    <w:name w:val="Revision Verzeichnis 6"/>
    <w:basedOn w:val="Normal"/>
    <w:rsid w:val="0098296B"/>
    <w:pPr>
      <w:keepNext/>
      <w:spacing w:before="240" w:line="360" w:lineRule="auto"/>
      <w:jc w:val="center"/>
    </w:pPr>
    <w:rPr>
      <w:color w:val="800000"/>
    </w:rPr>
  </w:style>
  <w:style w:type="paragraph" w:customStyle="1" w:styleId="RevisionVerzeichnis7">
    <w:name w:val="Revision Verzeichnis 7"/>
    <w:basedOn w:val="Normal"/>
    <w:rsid w:val="0098296B"/>
    <w:pPr>
      <w:keepNext/>
      <w:spacing w:before="240" w:line="360" w:lineRule="auto"/>
      <w:jc w:val="center"/>
    </w:pPr>
    <w:rPr>
      <w:color w:val="800000"/>
    </w:rPr>
  </w:style>
  <w:style w:type="paragraph" w:customStyle="1" w:styleId="RevisionVerzeichnis8">
    <w:name w:val="Revision Verzeichnis 8"/>
    <w:basedOn w:val="Normal"/>
    <w:rsid w:val="0098296B"/>
    <w:pPr>
      <w:keepNext/>
      <w:spacing w:before="240" w:line="360" w:lineRule="auto"/>
      <w:jc w:val="center"/>
    </w:pPr>
    <w:rPr>
      <w:color w:val="800000"/>
    </w:rPr>
  </w:style>
  <w:style w:type="paragraph" w:customStyle="1" w:styleId="RevisionVerzeichnis9">
    <w:name w:val="Revision Verzeichnis 9"/>
    <w:basedOn w:val="Normal"/>
    <w:rsid w:val="0098296B"/>
    <w:pPr>
      <w:tabs>
        <w:tab w:val="left" w:pos="709"/>
      </w:tabs>
      <w:ind w:left="709" w:hanging="709"/>
    </w:pPr>
    <w:rPr>
      <w:color w:val="800000"/>
    </w:rPr>
  </w:style>
  <w:style w:type="paragraph" w:customStyle="1" w:styleId="RevisionAnlageBezeichner">
    <w:name w:val="Revision Anlage Bezeichner"/>
    <w:basedOn w:val="Normal"/>
    <w:next w:val="RevisionAnlageVerweis"/>
    <w:rsid w:val="0098296B"/>
    <w:pPr>
      <w:spacing w:before="240"/>
      <w:jc w:val="right"/>
    </w:pPr>
    <w:rPr>
      <w:color w:val="800000"/>
      <w:sz w:val="24"/>
    </w:rPr>
  </w:style>
  <w:style w:type="paragraph" w:customStyle="1" w:styleId="RevisionAnlageberschrift">
    <w:name w:val="Revision Anlage Überschrift"/>
    <w:basedOn w:val="Normal"/>
    <w:next w:val="RevisionAnlageText"/>
    <w:rsid w:val="0098296B"/>
    <w:pPr>
      <w:jc w:val="center"/>
    </w:pPr>
    <w:rPr>
      <w:color w:val="800000"/>
      <w:sz w:val="24"/>
    </w:rPr>
  </w:style>
  <w:style w:type="paragraph" w:customStyle="1" w:styleId="RevisionAnlageVerzeichnisTitel">
    <w:name w:val="Revision Anlage Verzeichnis Titel"/>
    <w:basedOn w:val="Normal"/>
    <w:next w:val="RevisionAnlageVerzeichnis1"/>
    <w:rsid w:val="0098296B"/>
    <w:pPr>
      <w:jc w:val="center"/>
    </w:pPr>
    <w:rPr>
      <w:color w:val="800000"/>
      <w:sz w:val="24"/>
    </w:rPr>
  </w:style>
  <w:style w:type="paragraph" w:customStyle="1" w:styleId="RevisionAnlageVerzeichnis1">
    <w:name w:val="Revision Anlage Verzeichnis 1"/>
    <w:basedOn w:val="Normal"/>
    <w:rsid w:val="0098296B"/>
    <w:pPr>
      <w:jc w:val="center"/>
    </w:pPr>
    <w:rPr>
      <w:color w:val="800000"/>
      <w:sz w:val="22"/>
    </w:rPr>
  </w:style>
  <w:style w:type="paragraph" w:customStyle="1" w:styleId="RevisionAnlageVerzeichnis2">
    <w:name w:val="Revision Anlage Verzeichnis 2"/>
    <w:basedOn w:val="Normal"/>
    <w:rsid w:val="0098296B"/>
    <w:pPr>
      <w:jc w:val="center"/>
    </w:pPr>
    <w:rPr>
      <w:color w:val="800000"/>
      <w:sz w:val="22"/>
    </w:rPr>
  </w:style>
  <w:style w:type="paragraph" w:customStyle="1" w:styleId="RevisionAnlageVerzeichnis3">
    <w:name w:val="Revision Anlage Verzeichnis 3"/>
    <w:basedOn w:val="Normal"/>
    <w:rsid w:val="0098296B"/>
    <w:pPr>
      <w:jc w:val="center"/>
    </w:pPr>
    <w:rPr>
      <w:color w:val="800000"/>
    </w:rPr>
  </w:style>
  <w:style w:type="paragraph" w:customStyle="1" w:styleId="RevisionAnlageVerzeichnis4">
    <w:name w:val="Revision Anlage Verzeichnis 4"/>
    <w:basedOn w:val="Normal"/>
    <w:rsid w:val="0098296B"/>
    <w:pPr>
      <w:jc w:val="center"/>
    </w:pPr>
    <w:rPr>
      <w:color w:val="800000"/>
    </w:rPr>
  </w:style>
  <w:style w:type="paragraph" w:customStyle="1" w:styleId="Revisionberschrift1">
    <w:name w:val="Revision Überschrift 1"/>
    <w:basedOn w:val="Normal"/>
    <w:next w:val="RevisionAnlageText"/>
    <w:rsid w:val="0098296B"/>
    <w:pPr>
      <w:keepNext/>
      <w:spacing w:before="240"/>
    </w:pPr>
    <w:rPr>
      <w:color w:val="800000"/>
    </w:rPr>
  </w:style>
  <w:style w:type="paragraph" w:customStyle="1" w:styleId="Revisionberschrift2">
    <w:name w:val="Revision Überschrift 2"/>
    <w:basedOn w:val="Normal"/>
    <w:next w:val="RevisionAnlageText"/>
    <w:rsid w:val="0098296B"/>
    <w:pPr>
      <w:keepNext/>
      <w:spacing w:before="240"/>
    </w:pPr>
    <w:rPr>
      <w:color w:val="800000"/>
    </w:rPr>
  </w:style>
  <w:style w:type="paragraph" w:customStyle="1" w:styleId="Revisionberschrift3">
    <w:name w:val="Revision Überschrift 3"/>
    <w:basedOn w:val="Normal"/>
    <w:next w:val="RevisionAnlageText"/>
    <w:rsid w:val="0098296B"/>
    <w:pPr>
      <w:keepNext/>
      <w:spacing w:before="240"/>
    </w:pPr>
    <w:rPr>
      <w:color w:val="800000"/>
    </w:rPr>
  </w:style>
  <w:style w:type="paragraph" w:customStyle="1" w:styleId="Revisionberschrift4">
    <w:name w:val="Revision Überschrift 4"/>
    <w:basedOn w:val="Normal"/>
    <w:next w:val="RevisionAnlageText"/>
    <w:rsid w:val="0098296B"/>
    <w:pPr>
      <w:keepNext/>
      <w:spacing w:before="240"/>
    </w:pPr>
    <w:rPr>
      <w:color w:val="800000"/>
    </w:rPr>
  </w:style>
  <w:style w:type="paragraph" w:customStyle="1" w:styleId="RevisionAnlageText">
    <w:name w:val="Revision Anlage Text"/>
    <w:basedOn w:val="Normal"/>
    <w:rsid w:val="0098296B"/>
    <w:rPr>
      <w:color w:val="800000"/>
    </w:rPr>
  </w:style>
  <w:style w:type="paragraph" w:customStyle="1" w:styleId="RevisionListeStufe1">
    <w:name w:val="Revision Liste (Stufe 1)"/>
    <w:basedOn w:val="Normal"/>
    <w:rsid w:val="0098296B"/>
    <w:pPr>
      <w:numPr>
        <w:numId w:val="30"/>
      </w:numPr>
      <w:tabs>
        <w:tab w:val="left" w:pos="0"/>
      </w:tabs>
    </w:pPr>
    <w:rPr>
      <w:color w:val="800000"/>
    </w:rPr>
  </w:style>
  <w:style w:type="paragraph" w:customStyle="1" w:styleId="RevisionListeStufe1manuell">
    <w:name w:val="Revision Liste (Stufe 1) (manuell)"/>
    <w:basedOn w:val="Normal"/>
    <w:rsid w:val="0098296B"/>
    <w:pPr>
      <w:tabs>
        <w:tab w:val="left" w:pos="425"/>
      </w:tabs>
      <w:ind w:left="425" w:hanging="425"/>
    </w:pPr>
    <w:rPr>
      <w:color w:val="800000"/>
    </w:rPr>
  </w:style>
  <w:style w:type="paragraph" w:customStyle="1" w:styleId="RevisionListeFolgeabsatzStufe1">
    <w:name w:val="Revision Liste Folgeabsatz (Stufe 1)"/>
    <w:basedOn w:val="Normal"/>
    <w:rsid w:val="0098296B"/>
    <w:pPr>
      <w:numPr>
        <w:ilvl w:val="1"/>
        <w:numId w:val="30"/>
      </w:numPr>
    </w:pPr>
    <w:rPr>
      <w:color w:val="800000"/>
    </w:rPr>
  </w:style>
  <w:style w:type="paragraph" w:customStyle="1" w:styleId="RevisionListeStufe2">
    <w:name w:val="Revision Liste (Stufe 2)"/>
    <w:basedOn w:val="Normal"/>
    <w:rsid w:val="0098296B"/>
    <w:pPr>
      <w:numPr>
        <w:ilvl w:val="2"/>
        <w:numId w:val="30"/>
      </w:numPr>
    </w:pPr>
    <w:rPr>
      <w:color w:val="800000"/>
    </w:rPr>
  </w:style>
  <w:style w:type="paragraph" w:customStyle="1" w:styleId="RevisionListeStufe2manuell">
    <w:name w:val="Revision Liste (Stufe 2) (manuell)"/>
    <w:basedOn w:val="Normal"/>
    <w:rsid w:val="0098296B"/>
    <w:pPr>
      <w:tabs>
        <w:tab w:val="left" w:pos="850"/>
      </w:tabs>
      <w:ind w:left="850" w:hanging="425"/>
    </w:pPr>
    <w:rPr>
      <w:color w:val="800000"/>
    </w:rPr>
  </w:style>
  <w:style w:type="paragraph" w:customStyle="1" w:styleId="RevisionListeFolgeabsatzStufe2">
    <w:name w:val="Revision Liste Folgeabsatz (Stufe 2)"/>
    <w:basedOn w:val="Normal"/>
    <w:rsid w:val="0098296B"/>
    <w:pPr>
      <w:numPr>
        <w:ilvl w:val="3"/>
        <w:numId w:val="30"/>
      </w:numPr>
    </w:pPr>
    <w:rPr>
      <w:color w:val="800000"/>
    </w:rPr>
  </w:style>
  <w:style w:type="paragraph" w:customStyle="1" w:styleId="RevisionListeStufe3">
    <w:name w:val="Revision Liste (Stufe 3)"/>
    <w:basedOn w:val="Normal"/>
    <w:rsid w:val="0098296B"/>
    <w:pPr>
      <w:numPr>
        <w:ilvl w:val="4"/>
        <w:numId w:val="30"/>
      </w:numPr>
    </w:pPr>
    <w:rPr>
      <w:color w:val="800000"/>
    </w:rPr>
  </w:style>
  <w:style w:type="paragraph" w:customStyle="1" w:styleId="RevisionListeStufe3manuell">
    <w:name w:val="Revision Liste (Stufe 3) (manuell)"/>
    <w:basedOn w:val="Normal"/>
    <w:rsid w:val="0098296B"/>
    <w:pPr>
      <w:tabs>
        <w:tab w:val="left" w:pos="1276"/>
      </w:tabs>
      <w:ind w:left="1276" w:hanging="425"/>
    </w:pPr>
    <w:rPr>
      <w:color w:val="800000"/>
    </w:rPr>
  </w:style>
  <w:style w:type="paragraph" w:customStyle="1" w:styleId="RevisionListeFolgeabsatzStufe3">
    <w:name w:val="Revision Liste Folgeabsatz (Stufe 3)"/>
    <w:basedOn w:val="Normal"/>
    <w:rsid w:val="0098296B"/>
    <w:pPr>
      <w:numPr>
        <w:ilvl w:val="5"/>
        <w:numId w:val="30"/>
      </w:numPr>
    </w:pPr>
    <w:rPr>
      <w:color w:val="800000"/>
    </w:rPr>
  </w:style>
  <w:style w:type="paragraph" w:customStyle="1" w:styleId="RevisionListeStufe4">
    <w:name w:val="Revision Liste (Stufe 4)"/>
    <w:basedOn w:val="Normal"/>
    <w:rsid w:val="0098296B"/>
    <w:pPr>
      <w:numPr>
        <w:ilvl w:val="6"/>
        <w:numId w:val="30"/>
      </w:numPr>
    </w:pPr>
    <w:rPr>
      <w:color w:val="800000"/>
    </w:rPr>
  </w:style>
  <w:style w:type="paragraph" w:customStyle="1" w:styleId="RevisionListeStufe4manuell">
    <w:name w:val="Revision Liste (Stufe 4) (manuell)"/>
    <w:basedOn w:val="Normal"/>
    <w:rsid w:val="0098296B"/>
    <w:pPr>
      <w:tabs>
        <w:tab w:val="left" w:pos="1984"/>
      </w:tabs>
      <w:ind w:left="1984" w:hanging="709"/>
    </w:pPr>
    <w:rPr>
      <w:color w:val="800000"/>
    </w:rPr>
  </w:style>
  <w:style w:type="paragraph" w:customStyle="1" w:styleId="RevisionListeFolgeabsatzStufe4">
    <w:name w:val="Revision Liste Folgeabsatz (Stufe 4)"/>
    <w:basedOn w:val="Normal"/>
    <w:rsid w:val="0098296B"/>
    <w:pPr>
      <w:numPr>
        <w:ilvl w:val="7"/>
        <w:numId w:val="30"/>
      </w:numPr>
    </w:pPr>
    <w:rPr>
      <w:color w:val="800000"/>
    </w:rPr>
  </w:style>
  <w:style w:type="paragraph" w:customStyle="1" w:styleId="RevisionAufzhlungStufe1">
    <w:name w:val="Revision Aufzählung (Stufe 1)"/>
    <w:basedOn w:val="Normal"/>
    <w:rsid w:val="0098296B"/>
    <w:pPr>
      <w:numPr>
        <w:numId w:val="31"/>
      </w:numPr>
      <w:tabs>
        <w:tab w:val="left" w:pos="0"/>
      </w:tabs>
    </w:pPr>
    <w:rPr>
      <w:color w:val="800000"/>
    </w:rPr>
  </w:style>
  <w:style w:type="paragraph" w:customStyle="1" w:styleId="RevisionAufzhlungFolgeabsatzStufe1">
    <w:name w:val="Revision Aufzählung Folgeabsatz (Stufe 1)"/>
    <w:basedOn w:val="Normal"/>
    <w:rsid w:val="0098296B"/>
    <w:pPr>
      <w:tabs>
        <w:tab w:val="left" w:pos="425"/>
      </w:tabs>
      <w:ind w:left="425"/>
    </w:pPr>
    <w:rPr>
      <w:color w:val="800000"/>
    </w:rPr>
  </w:style>
  <w:style w:type="paragraph" w:customStyle="1" w:styleId="RevisionAufzhlungStufe2">
    <w:name w:val="Revision Aufzählung (Stufe 2)"/>
    <w:basedOn w:val="Normal"/>
    <w:rsid w:val="0098296B"/>
    <w:pPr>
      <w:numPr>
        <w:numId w:val="32"/>
      </w:numPr>
      <w:tabs>
        <w:tab w:val="left" w:pos="425"/>
      </w:tabs>
    </w:pPr>
    <w:rPr>
      <w:color w:val="800000"/>
    </w:rPr>
  </w:style>
  <w:style w:type="paragraph" w:customStyle="1" w:styleId="RevisionAufzhlungFolgeabsatzStufe2">
    <w:name w:val="Revision Aufzählung Folgeabsatz (Stufe 2)"/>
    <w:basedOn w:val="Normal"/>
    <w:rsid w:val="0098296B"/>
    <w:pPr>
      <w:tabs>
        <w:tab w:val="left" w:pos="794"/>
      </w:tabs>
      <w:ind w:left="850"/>
    </w:pPr>
    <w:rPr>
      <w:color w:val="800000"/>
    </w:rPr>
  </w:style>
  <w:style w:type="paragraph" w:customStyle="1" w:styleId="RevisionAufzhlungStufe3">
    <w:name w:val="Revision Aufzählung (Stufe 3)"/>
    <w:basedOn w:val="Normal"/>
    <w:rsid w:val="0098296B"/>
    <w:pPr>
      <w:numPr>
        <w:numId w:val="33"/>
      </w:numPr>
      <w:tabs>
        <w:tab w:val="left" w:pos="850"/>
      </w:tabs>
    </w:pPr>
    <w:rPr>
      <w:color w:val="800000"/>
    </w:rPr>
  </w:style>
  <w:style w:type="paragraph" w:customStyle="1" w:styleId="RevisionAufzhlungFolgeabsatzStufe3">
    <w:name w:val="Revision Aufzählung Folgeabsatz (Stufe 3)"/>
    <w:basedOn w:val="Normal"/>
    <w:rsid w:val="0098296B"/>
    <w:pPr>
      <w:tabs>
        <w:tab w:val="left" w:pos="1276"/>
      </w:tabs>
      <w:ind w:left="1276"/>
    </w:pPr>
    <w:rPr>
      <w:color w:val="800000"/>
    </w:rPr>
  </w:style>
  <w:style w:type="paragraph" w:customStyle="1" w:styleId="RevisionAufzhlungStufe4">
    <w:name w:val="Revision Aufzählung (Stufe 4)"/>
    <w:basedOn w:val="Normal"/>
    <w:rsid w:val="0098296B"/>
    <w:pPr>
      <w:numPr>
        <w:numId w:val="34"/>
      </w:numPr>
      <w:tabs>
        <w:tab w:val="left" w:pos="1276"/>
      </w:tabs>
    </w:pPr>
    <w:rPr>
      <w:color w:val="800000"/>
    </w:rPr>
  </w:style>
  <w:style w:type="paragraph" w:customStyle="1" w:styleId="RevisionAufzhlungFolgeabsatzStufe4">
    <w:name w:val="Revision Aufzählung Folgeabsatz (Stufe 4)"/>
    <w:basedOn w:val="Normal"/>
    <w:rsid w:val="0098296B"/>
    <w:pPr>
      <w:tabs>
        <w:tab w:val="left" w:pos="1701"/>
      </w:tabs>
      <w:ind w:left="1701"/>
    </w:pPr>
    <w:rPr>
      <w:color w:val="800000"/>
    </w:rPr>
  </w:style>
  <w:style w:type="paragraph" w:customStyle="1" w:styleId="RevisionAufzhlungStufe5">
    <w:name w:val="Revision Aufzählung (Stufe 5)"/>
    <w:basedOn w:val="Normal"/>
    <w:rsid w:val="0098296B"/>
    <w:pPr>
      <w:numPr>
        <w:numId w:val="35"/>
      </w:numPr>
      <w:tabs>
        <w:tab w:val="left" w:pos="1701"/>
      </w:tabs>
    </w:pPr>
    <w:rPr>
      <w:color w:val="800000"/>
    </w:rPr>
  </w:style>
  <w:style w:type="paragraph" w:customStyle="1" w:styleId="RevisionAufzhlungFolgeabsatzStufe5">
    <w:name w:val="Revision Aufzählung Folgeabsatz (Stufe 5)"/>
    <w:basedOn w:val="Normal"/>
    <w:rsid w:val="0098296B"/>
    <w:pPr>
      <w:tabs>
        <w:tab w:val="left" w:pos="2126"/>
      </w:tabs>
      <w:ind w:left="2126"/>
    </w:pPr>
    <w:rPr>
      <w:color w:val="800000"/>
    </w:rPr>
  </w:style>
  <w:style w:type="paragraph" w:customStyle="1" w:styleId="RevisionFunotentext">
    <w:name w:val="Revision Fußnotentext"/>
    <w:basedOn w:val="FootnoteText"/>
    <w:rsid w:val="0098296B"/>
    <w:rPr>
      <w:color w:val="800000"/>
    </w:rPr>
  </w:style>
  <w:style w:type="paragraph" w:customStyle="1" w:styleId="RevisionFormel">
    <w:name w:val="Revision Formel"/>
    <w:basedOn w:val="Normal"/>
    <w:rsid w:val="0098296B"/>
    <w:pPr>
      <w:spacing w:before="240" w:after="240"/>
      <w:jc w:val="center"/>
    </w:pPr>
    <w:rPr>
      <w:color w:val="800000"/>
    </w:rPr>
  </w:style>
  <w:style w:type="paragraph" w:customStyle="1" w:styleId="RevisionGrafik">
    <w:name w:val="Revision Grafik"/>
    <w:basedOn w:val="Normal"/>
    <w:rsid w:val="0098296B"/>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98296B"/>
    <w:pPr>
      <w:spacing w:before="180"/>
      <w:jc w:val="center"/>
    </w:pPr>
    <w:rPr>
      <w:color w:val="800000"/>
    </w:rPr>
  </w:style>
  <w:style w:type="paragraph" w:customStyle="1" w:styleId="RevisionAnlageVerweis">
    <w:name w:val="Revision Anlage Verweis"/>
    <w:basedOn w:val="Normal"/>
    <w:next w:val="RevisionAnlageberschrift"/>
    <w:rsid w:val="0098296B"/>
    <w:pPr>
      <w:spacing w:before="0"/>
      <w:jc w:val="right"/>
    </w:pPr>
    <w:rPr>
      <w:color w:val="800000"/>
    </w:rPr>
  </w:style>
  <w:style w:type="paragraph" w:customStyle="1" w:styleId="EmpfehlungTextnummeriert">
    <w:name w:val="Empfehlung Text (nummeriert)"/>
    <w:basedOn w:val="Normal"/>
    <w:rsid w:val="0098296B"/>
    <w:pPr>
      <w:numPr>
        <w:numId w:val="37"/>
      </w:numPr>
    </w:pPr>
  </w:style>
  <w:style w:type="paragraph" w:customStyle="1" w:styleId="EmpfehlungTextnichtnummeriert">
    <w:name w:val="Empfehlung Text (nicht nummeriert)"/>
    <w:basedOn w:val="Normal"/>
    <w:next w:val="EmpfehlungNummerierungStufe1"/>
    <w:rsid w:val="0098296B"/>
  </w:style>
  <w:style w:type="paragraph" w:customStyle="1" w:styleId="EmpfehlungNummerierungStufe1">
    <w:name w:val="Empfehlung Nummerierung (Stufe 1)"/>
    <w:basedOn w:val="Normal"/>
    <w:rsid w:val="0098296B"/>
    <w:pPr>
      <w:numPr>
        <w:ilvl w:val="1"/>
        <w:numId w:val="37"/>
      </w:numPr>
      <w:outlineLvl w:val="2"/>
    </w:pPr>
  </w:style>
  <w:style w:type="paragraph" w:customStyle="1" w:styleId="EmpfehlungNummerierungFolgeabsatzStufe1">
    <w:name w:val="Empfehlung Nummerierung Folgeabsatz (Stufe 1)"/>
    <w:basedOn w:val="Normal"/>
    <w:rsid w:val="0098296B"/>
    <w:pPr>
      <w:tabs>
        <w:tab w:val="left" w:pos="425"/>
      </w:tabs>
      <w:ind w:left="425"/>
    </w:pPr>
  </w:style>
  <w:style w:type="paragraph" w:customStyle="1" w:styleId="EmpfehlungNummerierungStufe2">
    <w:name w:val="Empfehlung Nummerierung (Stufe 2)"/>
    <w:basedOn w:val="Normal"/>
    <w:rsid w:val="0098296B"/>
    <w:pPr>
      <w:numPr>
        <w:ilvl w:val="2"/>
        <w:numId w:val="37"/>
      </w:numPr>
      <w:outlineLvl w:val="3"/>
    </w:pPr>
  </w:style>
  <w:style w:type="paragraph" w:customStyle="1" w:styleId="EmpfehlungNummerierungFolgeabsatzStufe2">
    <w:name w:val="Empfehlung Nummerierung Folgeabsatz (Stufe 2)"/>
    <w:basedOn w:val="Normal"/>
    <w:rsid w:val="0098296B"/>
    <w:pPr>
      <w:tabs>
        <w:tab w:val="left" w:pos="850"/>
      </w:tabs>
      <w:ind w:left="850"/>
    </w:pPr>
  </w:style>
  <w:style w:type="paragraph" w:customStyle="1" w:styleId="EmpfehlungNummerierungStufe3">
    <w:name w:val="Empfehlung Nummerierung (Stufe 3)"/>
    <w:basedOn w:val="Normal"/>
    <w:rsid w:val="0098296B"/>
    <w:pPr>
      <w:numPr>
        <w:ilvl w:val="3"/>
        <w:numId w:val="37"/>
      </w:numPr>
    </w:pPr>
  </w:style>
  <w:style w:type="paragraph" w:customStyle="1" w:styleId="EmpfehlungNummerierungFolgeabsatzStufe3">
    <w:name w:val="Empfehlung Nummerierung Folgeabsatz (Stufe 3)"/>
    <w:basedOn w:val="Normal"/>
    <w:rsid w:val="0098296B"/>
    <w:pPr>
      <w:tabs>
        <w:tab w:val="left" w:pos="1276"/>
      </w:tabs>
      <w:ind w:left="1276"/>
    </w:pPr>
  </w:style>
  <w:style w:type="paragraph" w:customStyle="1" w:styleId="EmpfehlungNummerierungStufe4">
    <w:name w:val="Empfehlung Nummerierung (Stufe 4)"/>
    <w:basedOn w:val="Normal"/>
    <w:rsid w:val="0098296B"/>
    <w:pPr>
      <w:numPr>
        <w:ilvl w:val="4"/>
        <w:numId w:val="37"/>
      </w:numPr>
    </w:pPr>
  </w:style>
  <w:style w:type="paragraph" w:customStyle="1" w:styleId="EmpfehlungNummerierungFolgeabsatzStufe4">
    <w:name w:val="Empfehlung Nummerierung Folgeabsatz (Stufe 4)"/>
    <w:basedOn w:val="Normal"/>
    <w:rsid w:val="0098296B"/>
    <w:pPr>
      <w:tabs>
        <w:tab w:val="left" w:pos="1984"/>
      </w:tabs>
      <w:ind w:left="1984"/>
    </w:pPr>
  </w:style>
  <w:style w:type="paragraph" w:customStyle="1" w:styleId="EinzelbegrndungTitel">
    <w:name w:val="Einzelbegründung Titel"/>
    <w:basedOn w:val="Normal"/>
    <w:next w:val="Text"/>
    <w:rsid w:val="0098296B"/>
    <w:pPr>
      <w:keepNext/>
      <w:spacing w:before="120" w:after="100"/>
    </w:pPr>
    <w:rPr>
      <w:rFonts w:ascii="Arial" w:hAnsi="Arial" w:cs="Arial"/>
      <w:b/>
    </w:rPr>
  </w:style>
  <w:style w:type="paragraph" w:customStyle="1" w:styleId="BegrndungTitel">
    <w:name w:val="Begründung Titel"/>
    <w:basedOn w:val="Normal"/>
    <w:next w:val="Text"/>
    <w:rsid w:val="0098296B"/>
    <w:pPr>
      <w:spacing w:before="900" w:after="612"/>
      <w:ind w:right="-2665"/>
      <w:outlineLvl w:val="0"/>
    </w:pPr>
    <w:rPr>
      <w:rFonts w:ascii="Arial" w:hAnsi="Arial" w:cs="Arial"/>
      <w:b/>
      <w:sz w:val="24"/>
    </w:rPr>
  </w:style>
  <w:style w:type="paragraph" w:styleId="PlainText">
    <w:name w:val="Plain Text"/>
    <w:basedOn w:val="Normal"/>
    <w:link w:val="PlainTextChar"/>
    <w:uiPriority w:val="99"/>
    <w:semiHidden/>
    <w:unhideWhenUsed/>
    <w:rsid w:val="00FD15D6"/>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FD15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940328">
      <w:bodyDiv w:val="1"/>
      <w:marLeft w:val="0"/>
      <w:marRight w:val="0"/>
      <w:marTop w:val="0"/>
      <w:marBottom w:val="0"/>
      <w:divBdr>
        <w:top w:val="none" w:sz="0" w:space="0" w:color="auto"/>
        <w:left w:val="none" w:sz="0" w:space="0" w:color="auto"/>
        <w:bottom w:val="none" w:sz="0" w:space="0" w:color="auto"/>
        <w:right w:val="none" w:sz="0" w:space="0" w:color="auto"/>
      </w:divBdr>
    </w:div>
    <w:div w:id="1445731276">
      <w:bodyDiv w:val="1"/>
      <w:marLeft w:val="0"/>
      <w:marRight w:val="0"/>
      <w:marTop w:val="0"/>
      <w:marBottom w:val="0"/>
      <w:divBdr>
        <w:top w:val="none" w:sz="0" w:space="0" w:color="auto"/>
        <w:left w:val="none" w:sz="0" w:space="0" w:color="auto"/>
        <w:bottom w:val="none" w:sz="0" w:space="0" w:color="auto"/>
        <w:right w:val="none" w:sz="0" w:space="0" w:color="auto"/>
      </w:divBdr>
    </w:div>
    <w:div w:id="14999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41119-2A56-46B7-9B1E-59FE604F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FORM.dotm</Template>
  <TotalTime>3</TotalTime>
  <Pages>7</Pages>
  <Words>2861</Words>
  <Characters>16308</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Holznagel, Daniel</dc:creator>
  <cp:keywords/>
  <dc:description/>
  <cp:lastModifiedBy>Diana STOICA</cp:lastModifiedBy>
  <cp:revision>4</cp:revision>
  <cp:lastPrinted>2020-12-08T16:22:00Z</cp:lastPrinted>
  <dcterms:created xsi:type="dcterms:W3CDTF">2021-01-28T12:34:00Z</dcterms:created>
  <dcterms:modified xsi:type="dcterms:W3CDTF">2021-02-11T12:01:00Z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FORM</vt:lpwstr>
  </property>
  <property fmtid="{D5CDD505-2E9C-101B-9397-08002B2CF9AE}" pid="3" name="Classification">
    <vt:lpwstr> </vt:lpwstr>
  </property>
  <property fmtid="{D5CDD505-2E9C-101B-9397-08002B2CF9AE}" pid="4" name="Version">
    <vt:lpwstr>4.1.4.0</vt:lpwstr>
  </property>
  <property fmtid="{D5CDD505-2E9C-101B-9397-08002B2CF9AE}" pid="5" name="Created using">
    <vt:lpwstr>LW 5.4, Build 20200526</vt:lpwstr>
  </property>
  <property fmtid="{D5CDD505-2E9C-101B-9397-08002B2CF9AE}" pid="6" name="Last edited using">
    <vt:lpwstr>LW 5.4, Build 20200526</vt:lpwstr>
  </property>
  <property fmtid="{D5CDD505-2E9C-101B-9397-08002B2CF9AE}" pid="7" name="eNorm-Version Erstellung">
    <vt:lpwstr>4.1.5, Bundesregierung, [20200526]</vt:lpwstr>
  </property>
  <property fmtid="{D5CDD505-2E9C-101B-9397-08002B2CF9AE}" pid="8" name="eNorm-Version letzte Bearbeitung">
    <vt:lpwstr>4.1.5 Bundesregierung [20200526]</vt:lpwstr>
  </property>
  <property fmtid="{D5CDD505-2E9C-101B-9397-08002B2CF9AE}" pid="9" name="eNorm-Version vorherige Bearbeitung">
    <vt:lpwstr>4.1.5 Bundesregierung [20200526]</vt:lpwstr>
  </property>
  <property fmtid="{D5CDD505-2E9C-101B-9397-08002B2CF9AE}" pid="10" name="DQP-Ergebnis für Version 4">
    <vt:lpwstr>6 Fehler, 4 Warnungen</vt:lpwstr>
  </property>
  <property fmtid="{D5CDD505-2E9C-101B-9397-08002B2CF9AE}" pid="11" name="eNorm-Version letzte DQP">
    <vt:lpwstr>4.1.5, Bundesregierung, [20200526]</vt:lpwstr>
  </property>
</Properties>
</file>