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sz w:val="20"/>
          <w:rFonts w:ascii="Courier New" w:eastAsia="Times New Roman"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0346 F-- LV-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 xml:space="preserve">FRANCIJAS REPUBLIKA</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 xml:space="preserve">Ekoloģiskas un solidāras pārkārtošanas ministrija</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 xml:space="preserve">[Datums] Dekrēts Nr. [numurs]</w:t>
      </w:r>
    </w:p>
    <w:p w:rsidR="000908EA" w:rsidRPr="00327313" w:rsidRDefault="00014AE2" w:rsidP="000908EA">
      <w:pPr>
        <w:spacing w:after="0" w:line="240" w:lineRule="auto"/>
        <w:jc w:val="center"/>
        <w:rPr>
          <w:b/>
          <w:sz w:val="24"/>
          <w:szCs w:val="24"/>
          <w:rFonts w:ascii="Liberration sans" w:hAnsi="Liberration sans" w:hint="eastAsia"/>
        </w:rPr>
      </w:pPr>
      <w:r>
        <w:rPr>
          <w:b/>
          <w:sz w:val="24"/>
          <w:szCs w:val="24"/>
          <w:rFonts w:ascii="Liberration sans" w:hAnsi="Liberration sans"/>
        </w:rPr>
        <w:t xml:space="preserve">par konkrētu vienreizlietojamo plastmasas izstrādājumu aizliegumu</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sz w:val="24"/>
          <w:szCs w:val="24"/>
          <w:rFonts w:ascii="Liberration sans" w:hAnsi="Liberration sans" w:hint="eastAsia"/>
        </w:rPr>
      </w:pPr>
      <w:r>
        <w:rPr>
          <w:sz w:val="24"/>
          <w:szCs w:val="24"/>
          <w:i/>
          <w:iCs/>
          <w:rFonts w:ascii="Liberration sans" w:hAnsi="Liberration sans"/>
        </w:rPr>
        <w:t xml:space="preserve">NOR</w:t>
      </w:r>
      <w:r>
        <w:rPr>
          <w:sz w:val="24"/>
          <w:szCs w:val="24"/>
          <w:rFonts w:ascii="Liberration sans" w:hAnsi="Liberration sans"/>
        </w:rPr>
        <w:t xml:space="preserve">:</w:t>
      </w:r>
      <w:r>
        <w:rPr>
          <w:sz w:val="24"/>
          <w:szCs w:val="24"/>
          <w:rFonts w:ascii="Liberration sans" w:hAnsi="Liberration sans"/>
        </w:rPr>
        <w:t xml:space="preserve"> </w:t>
      </w:r>
      <w:r>
        <w:rPr>
          <w:sz w:val="24"/>
          <w:szCs w:val="24"/>
          <w:rFonts w:ascii="Liberration sans" w:hAnsi="Liberration sans"/>
        </w:rPr>
        <w:t xml:space="preserve">[..]</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Mērķauditorija</w:t>
      </w:r>
      <w:r>
        <w:rPr>
          <w:i/>
          <w:sz w:val="24"/>
          <w:szCs w:val="24"/>
          <w:b/>
          <w:bCs/>
          <w:rFonts w:ascii="Liberration sans" w:hAnsi="Liberration sans"/>
        </w:rPr>
        <w:t xml:space="preserve">:</w:t>
      </w:r>
      <w:r>
        <w:rPr>
          <w:i/>
          <w:sz w:val="24"/>
          <w:szCs w:val="24"/>
          <w:rFonts w:ascii="Liberration sans" w:hAnsi="Liberration sans"/>
        </w:rPr>
        <w:t xml:space="preserve"> fiziskas vai juridiskas personas, kas savas saimnieciskās darbības ietvaros par maksu vai bez maksas piegādā, izmanto, izplata vai nodrošina konkrētus vienreizlietojamus plastmasas izstrādājumus.</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Priekšmets</w:t>
      </w:r>
      <w:r>
        <w:rPr>
          <w:i/>
          <w:sz w:val="24"/>
          <w:szCs w:val="24"/>
          <w:i/>
          <w:iCs/>
          <w:b/>
          <w:bCs/>
          <w:rFonts w:ascii="Liberration sans" w:hAnsi="Liberration sans"/>
        </w:rPr>
        <w:t xml:space="preserve">:</w:t>
      </w:r>
      <w:r>
        <w:rPr>
          <w:i/>
          <w:sz w:val="24"/>
          <w:szCs w:val="24"/>
          <w:rFonts w:ascii="Liberration sans" w:hAnsi="Liberration sans"/>
        </w:rPr>
        <w:t xml:space="preserve"> nosacījumi, saskaņā ar kuriem piemērojams aizliegums nodrošināt konkrētus vienreizlietojamus plastmasas izstrādājumus.</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i/>
          <w:sz w:val="24"/>
          <w:szCs w:val="24"/>
          <w:b/>
          <w:rFonts w:ascii="Liberration sans" w:hAnsi="Liberration sans"/>
        </w:rPr>
        <w:t xml:space="preserve">Stāšanās spēkā:</w:t>
      </w:r>
      <w:r>
        <w:rPr>
          <w:i/>
          <w:sz w:val="24"/>
          <w:szCs w:val="24"/>
          <w:rFonts w:ascii="Liberration sans" w:hAnsi="Liberration sans"/>
        </w:rPr>
        <w:t xml:space="preserve"> </w:t>
      </w:r>
      <w:r>
        <w:rPr>
          <w:i/>
          <w:sz w:val="24"/>
          <w:szCs w:val="24"/>
          <w:rFonts w:ascii="Liberration sans" w:hAnsi="Liberration sans"/>
        </w:rPr>
        <w:t xml:space="preserve">šā dekrēta noteikumi stājas spēkā 2020. gada 1. janvārī, izņemot 3. panta noteikumus, kuru stāšanās spēkā ir paredzēta 2021. gada 3. jūlijā.</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Piezīme:</w:t>
      </w:r>
      <w:r>
        <w:rPr>
          <w:i/>
          <w:sz w:val="24"/>
          <w:szCs w:val="24"/>
          <w:rFonts w:ascii="Liberration sans" w:hAnsi="Liberration sans"/>
        </w:rPr>
        <w:t xml:space="preserve"> dekrēts paredz to Vides kodeksa noteikumu piemērošanas nosacījumus, kuru mērķis ir no 2020. gada 1. janvāra aizliegt konkrētu vienreizlietojamo plastmasas izstrādājumu nodrošināšanu.</w:t>
      </w:r>
      <w:r>
        <w:rPr>
          <w:i/>
          <w:sz w:val="24"/>
          <w:szCs w:val="24"/>
          <w:rFonts w:ascii="Liberration sans" w:hAnsi="Liberration sans"/>
        </w:rPr>
        <w:t xml:space="preserve"> </w:t>
      </w:r>
      <w:r>
        <w:rPr>
          <w:i/>
          <w:sz w:val="24"/>
          <w:szCs w:val="24"/>
          <w:rFonts w:ascii="Liberration sans" w:hAnsi="Liberration sans"/>
        </w:rPr>
        <w:t xml:space="preserve">Tas precizē kārtību, kādā piemēro Vides kodeksa L.541-10-5. panta III punktu.</w:t>
      </w:r>
      <w:r>
        <w:rPr>
          <w:i/>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i/>
          <w:sz w:val="24"/>
          <w:szCs w:val="24"/>
          <w:b/>
          <w:rFonts w:ascii="Liberration sans" w:hAnsi="Liberration sans"/>
        </w:rPr>
        <w:t xml:space="preserve">Atsauces:</w:t>
      </w:r>
      <w:r>
        <w:rPr>
          <w:i/>
          <w:sz w:val="24"/>
          <w:szCs w:val="24"/>
          <w:rFonts w:ascii="Liberration sans" w:hAnsi="Liberration sans"/>
        </w:rPr>
        <w:t xml:space="preserve"> dekrēts ir pieņemts, lai piemērotu Vides kodeksa L.541-10-5. panta III punkta pirmo daļu, kas ieviesta ar 73. pantu 2015. gada 17. augusta Likumā Nr. 2015-992 par enerģētiskās sistēmas pārveidi ar mērķi sekmēt videi draudzīgu izaugsmi un grozīta ar 28. pantu 2018. gada 30. oktobra Likumā Nr. 2018-938 par tirdzniecības attiecību līdzsvarošanu lauksaimniecības un pārtikas nozarē un veselīgu, ilgtspējīgu un visiem pieejamu pārtiku.</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b/>
          <w:sz w:val="24"/>
          <w:szCs w:val="24"/>
          <w:rFonts w:ascii="Liberration sans" w:hAnsi="Liberration sans" w:hint="eastAsia"/>
        </w:rPr>
      </w:pPr>
      <w:r>
        <w:rPr>
          <w:b/>
          <w:sz w:val="24"/>
          <w:szCs w:val="24"/>
          <w:rFonts w:ascii="Liberration sans" w:hAnsi="Liberration sans"/>
        </w:rPr>
        <w:t xml:space="preserve">Premjerministrs,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pamatojoties uz ekoloģiskas un solidāras pārkārtošanas ministres un ekonomikas un finanšu ministra ziņojumu;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Eiropas Parlamenta un Padomes 1994. gada 20. decembra Direktīvu 94/62/EK par iepakojumu un izlietoto iepakojumu, kas grozīta ar Eiropas Parlamenta un Padomes 2004. gada 11. februāra Direktīvu 2004/12/EK;</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Eiropas Parlamenta un Padomes 2015. gada 9. septembra Direktīvu (ES) 2015/1535, ar ko nosaka informācijas sniegšanas kārtību tehnisko noteikumu un Informācijas sabiedrības pakalpojumu noteikumu jomā;</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Eiropas Parlamenta un Padomes Direktīvu (ES) 2019/904 par konkrētu plastmasas izstrādājumu ietekmes uz vidi samazināšanu;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Padomes Direktīvu 90/385/EEK par dalībvalstu tiesību aktu tuvināšanu attiecībā uz aktīvām implantējamām medicīnas ierīcēm;</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Padomes Direktīvu 93/42/EEK par medicīnas ierīcēm;</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sz w:val="24"/>
          <w:szCs w:val="24"/>
          <w:rFonts w:ascii="Liberration sans" w:hAnsi="Liberration sans"/>
        </w:rPr>
      </w:pPr>
      <w:r>
        <w:rPr>
          <w:sz w:val="24"/>
          <w:szCs w:val="24"/>
          <w:rFonts w:ascii="Liberration sans" w:hAnsi="Liberration sans"/>
        </w:rPr>
        <w:t xml:space="preserve">ņemot vērā Vides kodeksu, jo īpaši tā L.541-10-5. panta III punktu, kas ieviests ar 73. pantu 2015. gada 17. augusta Likumā Nr. 2015-992 par enerģētiskās sistēmas pārveidi ar mērķi sekmēt videi draudzīgu izaugsmi un grozīts ar 28. pantu 2018. gada 30. oktobra Likumā Nr. 2018-938 par tirdzniecības attiecību līdzsvarošanu lauksaimniecības un pārtikas nozarē un veselīgu, ilgtspējīgu un visiem pieejamu pārtiku;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apsvērumus, kas iesniegti sabiedriskās apspriešanas laikā no 2019. gada [datums] līdz 2019. gada [datums] saskaņā ar Vides kodeksa L.123-19-1. pantu;</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ņemot vērā Paziņojumu Nr. [numurs], kas nosūtīts Eiropas Komisijai [datums],</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izdod šādu dekrētu.</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1. pants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sz w:val="24"/>
          <w:szCs w:val="24"/>
          <w:rFonts w:ascii="Liberration sans" w:hAnsi="Liberration sans" w:hint="eastAsia"/>
        </w:rPr>
      </w:pPr>
      <w:r>
        <w:rPr>
          <w:sz w:val="24"/>
          <w:szCs w:val="24"/>
          <w:rFonts w:ascii="Liberration sans" w:hAnsi="Liberration sans"/>
        </w:rPr>
        <w:t xml:space="preserve">Vides kodeksa normatīvās daļas V sējuma IV sadaļas III nodaļas 21. iedaļas 1. apakšiedaļu aizstāj ar šādiem noteikumiem:</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 apakšiedaļa.</w:t>
      </w:r>
      <w:r>
        <w:rPr>
          <w:sz w:val="24"/>
          <w:szCs w:val="24"/>
          <w:rFonts w:ascii="Liberration sans" w:hAnsi="Liberration sans"/>
        </w:rPr>
        <w:t xml:space="preserve"> </w:t>
      </w:r>
      <w:r>
        <w:rPr>
          <w:sz w:val="24"/>
          <w:szCs w:val="24"/>
          <w:rFonts w:ascii="Liberration sans" w:hAnsi="Liberration sans"/>
        </w:rPr>
        <w:t xml:space="preserve">Vispārīgi noteikumi</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D.543-294. pants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Piemērojot L.541-10-5. panta III punktu un šo iedaļu, izmanto šādas definīcijas:</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1) “plastmasa” ir materiāls, kas sastāv no polimēra, kā tas definēts Eiropas Parlamenta un Padomes 2006. gada 18. decembra Regulas (EK) Nr. 1907/2006 3. panta 5. punktā, kuram var būt pievienotas piedevas vai citas vielas, un kas spēj funkcionēt kā gatavo izstrādājumu galvenā strukturālā sastāvdaļa, izņemot ķīmiski nemodificētus dabiskos polimērus;</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2) “vienreizlietojams plastmasas izstrādājums” ir izstrādājums, kas pilnībā vai daļēji izgatavots no plastmasas un kas nav izstrādāts, izveidots vai laists tirgū kā tāds, kurš savā kalpošanas laikā tiek vairākkārt nogādāts vai apgrozīts, proti, nodots atpakaļ ražotājam atkārtotai uzpildīšanai, vai kas nav izstrādāts, izveidots vai laists tirgū atkārtotai izmantošanai tādam pašam mērķim, kādam tas sākotnēji izstrādāts;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3) “ražotājs” ir jebkura fiziska vai juridiska persona, kas profesionālā statusā, neatkarīgi no izmantotā tirdzniecības paņēmiena, tostarp slēdzot distances līgumus, ražo, uzpilda, pārdod vai importē vienreizlietojamus plastmasas izstrādājumus vai uzpildītus vienreizlietojamus plastmasas izstrādājumus;</w:t>
      </w:r>
      <w:r>
        <w:rPr>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4) “nodrošināšana” ir izstrādājuma, kas paredzēts izplatīšanai, patēriņam vai izmantošanai Francijas teritorijā, piegādāšana par maksu vai bez maksas komercdarbības ietvaros;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5) “laišana tirgū” ir pirmreizēja nodrošināšana Francijas teritorijā;</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6) “iepakojums” ir izstrādājumi, uz kuriem attiecas grozītā Eiropas Parlamenta un Padomes 1994. gada 20. decembra Direktīva 94/62/EK par iepakojumu un izlietoto iepakojumu;</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7) “glāzes un glāzītes” ir glāzes un glāzītes, kas izgatavotas tikai no plastmasas;</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8) “galdā liekamie vienreizlietojamie virtuves šķīvji” ir šķīvji, kas izgatavoti tikai no plastmasas;</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9) “galda piederumi” ir dakšas, naži, karotes un irbulīši, kas minēti Direktīvas (ES) 2019/904 pielikuma B daļā, izņemot tos, ko izmanto ieslodzījuma vietās, veselības aprūpes iestādēs un gaisa, dzelzceļa un jūras pārvadājumu transportlīdzekļos;</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10) “ēdiena paplātes, saldējuma trauciņi, salātu trauki un kārbas” ir Direktīvas (ES) 2019/904 pielikuma A daļā minētā pārtikas tara, kas izgatavota tikai no plastmasas un ko izmanto, lai tajā ievietotu ēdienu, kurš paredzēts tūlītējam patēriņam vai nu uz vietas, vai līdzņemšanai un kuru parasti patērē no iepakojuma trauka, un kurš ir gatavs patērēšanai bez tālākas sagatavošanas, piemēram, cepšanas, vārīšanas vai sildīšanas;</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11) “salmiņi” ir salmiņi, kas tiek nodrošināti lietošanas vietā vai pārdoti galapatērētājam pa vienam vai partijās, izņemot tos, uz kuriem attiecas Direktīva 90/385/EEK vai Direktīva 93/42/EEK;</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12) “glāžu vāciņi” ir glāžu vai glāzīšu vāciņi, kas pieder pie dzērienu glāžu vāciņiem Direktīvas (ES) 2019/904 pielikuma A daļas nozīmē;</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13) “mājās kompostējami izstrādājumi” ir izstrādājumi, kas atbilst apstiprinātā Francijas standarta prasībām attiecībā uz mājās kompostējamas plastmasas specifikācijām, kā arī izstrādājumi, kas ir likumīgi ražoti vai laisti tirgū Eiropas Savienības dalībvalstī vai Turcijā vai ir likumīgi ražoti Eiropas Ekonomikas zonas dibināšanas līguma dalībvalstī, kura nodrošina līdzvērtīgas garantijas;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14) “bioloģiskas izcelsmes materiāls” ir jebkurš bioloģiskas izcelsmes materiāls, izņemot materiālus, kas ietilpst ģeoloģiskajos veidojumos, un fosilus materiālus;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sz w:val="24"/>
          <w:szCs w:val="24"/>
          <w:rFonts w:ascii="Liberration sans" w:hAnsi="Liberration sans" w:hint="eastAsia"/>
        </w:rPr>
      </w:pPr>
      <w:r>
        <w:rPr>
          <w:sz w:val="24"/>
          <w:szCs w:val="24"/>
          <w:rFonts w:ascii="Liberration sans" w:hAnsi="Liberration sans"/>
        </w:rPr>
        <w:t xml:space="preserve">15) “bioloģiskas izcelsmes materiālu saturs” ir procentuālā daļa, ko izsaka kā kopējā oglekļa frakciju bioloģiskas izcelsmes materiālos, kuri ir glāzes, glāzītes vai šķīvja sastāvā; to nosaka saskaņā ar aprēķina metodi, kas ir norādīta Francijas standartā par bioloģiskas izcelsmes oglekļa satura noteikšanu plastmasā vai jebkurā citā spēkā esošā starptautiskā standartā, kurš paredz līdzvērtīgas garantijas.”</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2. pants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Vides kodeksa normatīvās daļas V sējuma IV sadaļas III nodaļas 21. iedaļas 2. apakšiedaļu groza šādi:</w:t>
      </w:r>
      <w:r>
        <w:rPr>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 2. apakšiedaļas virsrakstu aizstāj ar šādu:</w:t>
      </w:r>
      <w:r>
        <w:rPr>
          <w:sz w:val="24"/>
          <w:szCs w:val="24"/>
          <w:rFonts w:ascii="Liberration sans" w:hAnsi="Liberration sans"/>
        </w:rPr>
        <w:t xml:space="preserve"> </w:t>
      </w:r>
      <w:r>
        <w:rPr>
          <w:sz w:val="24"/>
          <w:szCs w:val="24"/>
          <w:rFonts w:ascii="Liberration sans" w:hAnsi="Liberration sans"/>
        </w:rPr>
        <w:t xml:space="preserve">“Vienreizlietojamie plastmasas izstrādājumi”;</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2) D.543-295. pantu aizstāj ar šādu tekstu: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sz w:val="24"/>
          <w:szCs w:val="24"/>
          <w:rFonts w:ascii="Liberration sans" w:hAnsi="Liberration sans"/>
        </w:rPr>
        <w:t xml:space="preserve">“L.541-10-5. panta III punkta pirmajā daļā minētie izstrādājumi, kuru nodrošināšana tiek pārtraukta, ir vienreizlietojamie plastmasas izstrādājumi, izņemot iepakojumu.”;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3) D.543-296. pantu aizstāj ar šādu tekstu:</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“L.541-10-5. panta III punkta pirmajā daļā minētajos izstrādājumos bioloģiskas izcelsmes materiālu minimālais saturs no 2020. gada 1. janvāra ir 50 % un no 2025. gada 1. janvāra — 60 %.”</w:t>
      </w:r>
      <w:r>
        <w:rPr>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3. pants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sz w:val="24"/>
          <w:szCs w:val="24"/>
          <w:rFonts w:ascii="Liberration sans" w:hAnsi="Liberration sans" w:hint="eastAsia"/>
        </w:rPr>
      </w:pPr>
      <w:r>
        <w:rPr>
          <w:sz w:val="24"/>
          <w:szCs w:val="24"/>
          <w:rFonts w:ascii="Liberration sans" w:hAnsi="Liberration sans"/>
        </w:rPr>
        <w:t xml:space="preserve">1. D.543-294. pantu groza šādi:</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a) 7. punktā pievieno šādu tekstu:</w:t>
      </w:r>
      <w:r>
        <w:rPr>
          <w:sz w:val="24"/>
          <w:szCs w:val="24"/>
          <w:rFonts w:ascii="Liberration sans" w:hAnsi="Liberration sans"/>
        </w:rPr>
        <w:t xml:space="preserve"> </w:t>
      </w:r>
      <w:r>
        <w:rPr>
          <w:sz w:val="24"/>
          <w:szCs w:val="24"/>
          <w:rFonts w:ascii="Liberration sans" w:hAnsi="Liberration sans"/>
        </w:rPr>
        <w:t xml:space="preserve">“un daļēji sastāv no plastmasas, kuras saturs ir augstāks par maksimālo saturu, kas noteikts ar rīkojumu, ar ko nosaka maksimāli pieļaujamo plastmasas saturu un paredz nosacījumus, saskaņā ar kuriem plastmasas saturs pakāpeniski jāsamazina.”;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b) 8. punktā vārdus</w:t>
      </w:r>
      <w:r>
        <w:rPr>
          <w:sz w:val="24"/>
          <w:szCs w:val="24"/>
          <w:rFonts w:ascii="Liberration sans" w:hAnsi="Liberration sans"/>
        </w:rPr>
        <w:t xml:space="preserve"> </w:t>
      </w:r>
      <w:r>
        <w:rPr>
          <w:sz w:val="24"/>
          <w:szCs w:val="24"/>
          <w:rFonts w:ascii="Liberration sans" w:hAnsi="Liberration sans"/>
        </w:rPr>
        <w:t xml:space="preserve">“kas izgatavoti tikai no plastmasas” aizstāj ar vārdiem</w:t>
      </w:r>
      <w:r>
        <w:rPr>
          <w:sz w:val="24"/>
          <w:szCs w:val="24"/>
          <w:rFonts w:ascii="Liberration sans" w:hAnsi="Liberration sans"/>
        </w:rPr>
        <w:t xml:space="preserve"> </w:t>
      </w:r>
      <w:r>
        <w:rPr>
          <w:sz w:val="24"/>
          <w:szCs w:val="24"/>
          <w:rFonts w:ascii="Liberration sans" w:hAnsi="Liberration sans"/>
        </w:rPr>
        <w:t xml:space="preserve">“tostarp ar plastmasas plēvi, kas minēta Direktīvas (ES) 2019/904 pielikuma B daļā”;</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c) 9. punktā svītro vārdus</w:t>
      </w:r>
      <w:r>
        <w:rPr>
          <w:sz w:val="24"/>
          <w:szCs w:val="24"/>
          <w:rFonts w:ascii="Liberration sans" w:hAnsi="Liberration sans"/>
        </w:rPr>
        <w:t xml:space="preserve"> </w:t>
      </w:r>
      <w:r>
        <w:rPr>
          <w:sz w:val="24"/>
          <w:szCs w:val="24"/>
          <w:rFonts w:ascii="Liberration sans" w:hAnsi="Liberration sans"/>
        </w:rPr>
        <w:t xml:space="preserve">“izņemot tos, ko izmanto ieslodzījuma vietās, veselības aprūpes iestādēs un gaisa, dzelzceļa un jūras pārvadājumu transportlīdzekļos”;</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d) 11. punktā vārdus</w:t>
      </w:r>
      <w:r>
        <w:rPr>
          <w:sz w:val="24"/>
          <w:szCs w:val="24"/>
          <w:rFonts w:ascii="Liberration sans" w:hAnsi="Liberration sans"/>
        </w:rPr>
        <w:t xml:space="preserve"> </w:t>
      </w:r>
      <w:r>
        <w:rPr>
          <w:sz w:val="24"/>
          <w:szCs w:val="24"/>
          <w:rFonts w:ascii="Liberration sans" w:hAnsi="Liberration sans"/>
        </w:rPr>
        <w:t xml:space="preserve">“kas tiek nodrošināti lietošanas vietā vai pārdoti galapatērētājam pa vienam vai partijās” aizstāj ar vārdiem</w:t>
      </w:r>
      <w:r>
        <w:rPr>
          <w:sz w:val="24"/>
          <w:szCs w:val="24"/>
          <w:rFonts w:ascii="Liberration sans" w:hAnsi="Liberration sans"/>
        </w:rPr>
        <w:t xml:space="preserve"> </w:t>
      </w:r>
      <w:r>
        <w:rPr>
          <w:sz w:val="24"/>
          <w:szCs w:val="24"/>
          <w:rFonts w:ascii="Liberration sans" w:hAnsi="Liberration sans"/>
        </w:rPr>
        <w:t xml:space="preserve">“kas minēti Direktīvas (ES) 2019/904 pielikuma B daļā”.</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2. D.543-295. pantā vārdu</w:t>
      </w:r>
      <w:r>
        <w:rPr>
          <w:sz w:val="24"/>
          <w:szCs w:val="24"/>
          <w:rFonts w:ascii="Liberration sans" w:hAnsi="Liberration sans"/>
        </w:rPr>
        <w:t xml:space="preserve"> </w:t>
      </w:r>
      <w:r>
        <w:rPr>
          <w:sz w:val="24"/>
          <w:szCs w:val="24"/>
          <w:rFonts w:ascii="Liberration sans" w:hAnsi="Liberration sans"/>
        </w:rPr>
        <w:t xml:space="preserve">“izņemot” aizstāj ar vārdu “ieskaitot”.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3. D.543-296. pantā pievieno šādu teikumu: “Tomēr tajā pašā daļā minētais atbrīvojums neattiecas uz galdā liekamiem vienreizlietojamiem virtuves šķīvjiem, salmiņiem, galda piederumiem un dzērienu maisāmkociņiem.”</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4. pants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Šā dekrēta noteikumi stājas spēkā 2020. gada 1. janvārī, izņemot 3. panta noteikumus, kuri stājas spēkā 2021. gada 3. jūlijā.</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b/>
          <w:sz w:val="24"/>
          <w:szCs w:val="24"/>
          <w:rFonts w:ascii="Liberration sans" w:hAnsi="Liberration sans"/>
        </w:rPr>
        <w:t xml:space="preserve">5. pants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sz w:val="24"/>
          <w:szCs w:val="24"/>
          <w:rFonts w:ascii="Liberration sans" w:hAnsi="Liberration sans"/>
        </w:rPr>
        <w:t xml:space="preserve">Par šā dekrēta izpildi katrs savā jomā atbild ekoloģiskas un solidāras pārkārtošanas ministre un ekonomikas un finanšu ministrs, un to publicē </w:t>
      </w:r>
      <w:r>
        <w:rPr>
          <w:sz w:val="24"/>
          <w:szCs w:val="24"/>
          <w:i/>
          <w:iCs/>
          <w:rFonts w:ascii="Liberration sans" w:hAnsi="Liberration sans"/>
        </w:rPr>
        <w:t xml:space="preserve">Journal officiel de la République française</w:t>
      </w:r>
      <w:r>
        <w:rPr>
          <w:sz w:val="24"/>
          <w:szCs w:val="24"/>
          <w:rFonts w:ascii="Liberration sans" w:hAnsi="Liberration sans"/>
        </w:rPr>
        <w:t xml:space="preserve"> [Francijas Republikas oficiālajā vēstnesī].</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宋体"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宋体"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1797-D16A-4497-9DB7-82C323C8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1521</Words>
  <Characters>8672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Liu, Lei</cp:lastModifiedBy>
  <cp:revision>4</cp:revision>
  <cp:lastPrinted>2019-07-18T11:34:00Z</cp:lastPrinted>
  <dcterms:created xsi:type="dcterms:W3CDTF">2019-07-18T13:11:00Z</dcterms:created>
  <dcterms:modified xsi:type="dcterms:W3CDTF">2019-07-18T14:28:00Z</dcterms:modified>
</cp:coreProperties>
</file>