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8A4" w:rsidRPr="00C928F9" w:rsidRDefault="001B58A4" w:rsidP="001B58A4">
      <w:pPr>
        <w:autoSpaceDE w:val="0"/>
        <w:autoSpaceDN w:val="0"/>
        <w:adjustRightInd w:val="0"/>
        <w:spacing w:line="360" w:lineRule="auto"/>
        <w:jc w:val="center"/>
        <w:rPr>
          <w:rFonts w:ascii="Courier New" w:eastAsia="Times New Roman" w:hAnsi="Courier New" w:cs="Courier New"/>
          <w:sz w:val="20"/>
        </w:rPr>
      </w:pPr>
      <w:bookmarkStart w:id="0" w:name="_GoBack"/>
      <w:bookmarkEnd w:id="0"/>
      <w:r>
        <w:rPr>
          <w:rFonts w:ascii="Courier New" w:hAnsi="Courier New"/>
          <w:sz w:val="20"/>
        </w:rPr>
        <w:t>1. ------IND- 2019 0346 F-- SK- ------ 20190725 --- --- PROJET</w:t>
      </w: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014AE2" w:rsidRPr="00327313" w:rsidTr="00014AE2">
        <w:trPr>
          <w:cantSplit/>
        </w:trPr>
        <w:tc>
          <w:tcPr>
            <w:tcW w:w="3982" w:type="dxa"/>
            <w:gridSpan w:val="3"/>
            <w:hideMark/>
          </w:tcPr>
          <w:p w:rsidR="00014AE2" w:rsidRPr="00327313" w:rsidRDefault="00014AE2">
            <w:pPr>
              <w:pStyle w:val="SNREPUBLIQUE"/>
            </w:pPr>
            <w:r>
              <w:t>FRANCÚZSKA REPUBLIKA</w:t>
            </w:r>
          </w:p>
        </w:tc>
      </w:tr>
      <w:tr w:rsidR="00014AE2" w:rsidRPr="00327313" w:rsidTr="00014AE2">
        <w:trPr>
          <w:cantSplit/>
          <w:trHeight w:hRule="exact" w:val="113"/>
        </w:trPr>
        <w:tc>
          <w:tcPr>
            <w:tcW w:w="1527" w:type="dxa"/>
          </w:tcPr>
          <w:p w:rsidR="00014AE2" w:rsidRPr="00327313" w:rsidRDefault="00014AE2">
            <w:pPr>
              <w:snapToGrid w:val="0"/>
              <w:rPr>
                <w:rFonts w:cs="Tahoma"/>
              </w:rPr>
            </w:pPr>
          </w:p>
        </w:tc>
        <w:tc>
          <w:tcPr>
            <w:tcW w:w="968" w:type="dxa"/>
            <w:tcBorders>
              <w:top w:val="nil"/>
              <w:left w:val="nil"/>
              <w:bottom w:val="single" w:sz="2" w:space="0" w:color="000000"/>
              <w:right w:val="nil"/>
            </w:tcBorders>
          </w:tcPr>
          <w:p w:rsidR="00014AE2" w:rsidRPr="00327313" w:rsidRDefault="00014AE2">
            <w:pPr>
              <w:snapToGrid w:val="0"/>
              <w:rPr>
                <w:rFonts w:cs="Tahoma"/>
              </w:rPr>
            </w:pPr>
          </w:p>
        </w:tc>
        <w:tc>
          <w:tcPr>
            <w:tcW w:w="1487" w:type="dxa"/>
          </w:tcPr>
          <w:p w:rsidR="00014AE2" w:rsidRPr="00327313" w:rsidRDefault="00014AE2">
            <w:pPr>
              <w:snapToGrid w:val="0"/>
              <w:rPr>
                <w:rFonts w:cs="Tahoma"/>
              </w:rPr>
            </w:pPr>
          </w:p>
        </w:tc>
      </w:tr>
      <w:tr w:rsidR="00014AE2" w:rsidRPr="00327313" w:rsidTr="00014AE2">
        <w:trPr>
          <w:cantSplit/>
        </w:trPr>
        <w:tc>
          <w:tcPr>
            <w:tcW w:w="3982" w:type="dxa"/>
            <w:gridSpan w:val="3"/>
            <w:hideMark/>
          </w:tcPr>
          <w:p w:rsidR="00014AE2" w:rsidRPr="00327313" w:rsidRDefault="00014AE2">
            <w:pPr>
              <w:pStyle w:val="SNTimbre"/>
            </w:pPr>
            <w:r>
              <w:t>Ministerstvo pre ekologickú a solidárnu transformáciu</w:t>
            </w: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Borders>
              <w:top w:val="nil"/>
              <w:left w:val="nil"/>
              <w:bottom w:val="single" w:sz="2" w:space="0" w:color="000000"/>
              <w:right w:val="nil"/>
            </w:tcBorders>
          </w:tcPr>
          <w:p w:rsidR="00014AE2" w:rsidRPr="00327313" w:rsidRDefault="00014AE2">
            <w:pPr>
              <w:snapToGrid w:val="0"/>
            </w:pPr>
          </w:p>
        </w:tc>
        <w:tc>
          <w:tcPr>
            <w:tcW w:w="1487" w:type="dxa"/>
          </w:tcPr>
          <w:p w:rsidR="00014AE2" w:rsidRPr="00327313" w:rsidRDefault="00014AE2">
            <w:pPr>
              <w:snapToGrid w:val="0"/>
            </w:pPr>
          </w:p>
        </w:tc>
      </w:tr>
      <w:tr w:rsidR="00014AE2" w:rsidRPr="00327313" w:rsidTr="00014AE2">
        <w:trPr>
          <w:cantSplit/>
          <w:trHeight w:hRule="exact" w:val="227"/>
        </w:trPr>
        <w:tc>
          <w:tcPr>
            <w:tcW w:w="1527" w:type="dxa"/>
          </w:tcPr>
          <w:p w:rsidR="00014AE2" w:rsidRPr="00327313" w:rsidRDefault="00014AE2">
            <w:pPr>
              <w:snapToGrid w:val="0"/>
            </w:pPr>
          </w:p>
        </w:tc>
        <w:tc>
          <w:tcPr>
            <w:tcW w:w="968" w:type="dxa"/>
          </w:tcPr>
          <w:p w:rsidR="00014AE2" w:rsidRPr="00327313" w:rsidRDefault="00014AE2">
            <w:pPr>
              <w:snapToGrid w:val="0"/>
            </w:pPr>
          </w:p>
        </w:tc>
        <w:tc>
          <w:tcPr>
            <w:tcW w:w="1487" w:type="dxa"/>
          </w:tcPr>
          <w:p w:rsidR="00014AE2" w:rsidRPr="00327313" w:rsidRDefault="00014AE2">
            <w:pPr>
              <w:snapToGrid w:val="0"/>
            </w:pPr>
          </w:p>
        </w:tc>
      </w:tr>
    </w:tbl>
    <w:p w:rsidR="000908EA" w:rsidRPr="00327313" w:rsidRDefault="000908EA">
      <w:pPr>
        <w:rPr>
          <w:rFonts w:ascii="Liberration sans" w:hAnsi="Liberration sans" w:hint="eastAsia"/>
          <w:sz w:val="24"/>
          <w:szCs w:val="24"/>
        </w:rPr>
      </w:pPr>
    </w:p>
    <w:p w:rsidR="00014AE2" w:rsidRPr="00327313" w:rsidRDefault="00014AE2" w:rsidP="00014AE2">
      <w:pPr>
        <w:pStyle w:val="SNNature"/>
      </w:pPr>
      <w:r>
        <w:t>Dekrét č.                          z</w:t>
      </w:r>
    </w:p>
    <w:p w:rsidR="000908EA" w:rsidRPr="00327313" w:rsidRDefault="00014AE2" w:rsidP="000908EA">
      <w:pPr>
        <w:spacing w:after="0" w:line="240" w:lineRule="auto"/>
        <w:jc w:val="center"/>
        <w:rPr>
          <w:rFonts w:ascii="Liberration sans" w:hAnsi="Liberration sans" w:hint="eastAsia"/>
          <w:b/>
          <w:sz w:val="24"/>
          <w:szCs w:val="24"/>
        </w:rPr>
      </w:pPr>
      <w:r>
        <w:rPr>
          <w:rFonts w:ascii="Liberration sans" w:hAnsi="Liberration sans"/>
          <w:b/>
          <w:sz w:val="24"/>
          <w:szCs w:val="24"/>
        </w:rPr>
        <w:t>o zákaze určitých jednorazových plastových výrobkov</w:t>
      </w:r>
    </w:p>
    <w:p w:rsidR="000908EA" w:rsidRPr="00327313" w:rsidRDefault="000908EA" w:rsidP="000908EA">
      <w:pPr>
        <w:spacing w:after="0" w:line="240" w:lineRule="auto"/>
        <w:jc w:val="center"/>
        <w:rPr>
          <w:rFonts w:ascii="Liberration sans" w:hAnsi="Liberration sans" w:hint="eastAsia"/>
          <w:sz w:val="24"/>
          <w:szCs w:val="24"/>
        </w:rPr>
      </w:pPr>
    </w:p>
    <w:p w:rsidR="00014AE2" w:rsidRPr="00327313" w:rsidRDefault="00014AE2" w:rsidP="000908EA">
      <w:pPr>
        <w:spacing w:after="0" w:line="240" w:lineRule="auto"/>
        <w:jc w:val="center"/>
        <w:rPr>
          <w:rFonts w:ascii="Liberration sans" w:hAnsi="Liberration sans" w:hint="eastAsia"/>
          <w:sz w:val="24"/>
          <w:szCs w:val="24"/>
        </w:rPr>
      </w:pPr>
    </w:p>
    <w:p w:rsidR="000908EA" w:rsidRPr="00327313" w:rsidRDefault="000908EA" w:rsidP="000908EA">
      <w:pPr>
        <w:spacing w:after="0" w:line="240" w:lineRule="auto"/>
        <w:jc w:val="center"/>
        <w:rPr>
          <w:rFonts w:ascii="Liberration sans" w:hAnsi="Liberration sans" w:hint="eastAsia"/>
          <w:sz w:val="24"/>
          <w:szCs w:val="24"/>
        </w:rPr>
      </w:pPr>
      <w:r>
        <w:rPr>
          <w:rFonts w:ascii="Liberration sans" w:hAnsi="Liberration sans"/>
          <w:sz w:val="24"/>
          <w:szCs w:val="24"/>
        </w:rPr>
        <w:t>NOR: […]</w:t>
      </w:r>
    </w:p>
    <w:p w:rsidR="000908EA" w:rsidRPr="00327313" w:rsidRDefault="000908EA" w:rsidP="000908EA">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Dotknutá verejnosť</w:t>
      </w:r>
      <w:r>
        <w:rPr>
          <w:rFonts w:ascii="Liberration sans" w:hAnsi="Liberration sans"/>
          <w:i/>
          <w:sz w:val="24"/>
          <w:szCs w:val="24"/>
        </w:rPr>
        <w:t>: fyzické alebo právnické osoby, ktoré pre potreby svojho podnikania dodávajú, používajú, distribuujú, alebo sprístupňujú, za odplatu či bezodplatne, určité jednorazové plastové výrobky.</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Predmet:</w:t>
      </w:r>
      <w:r>
        <w:rPr>
          <w:rFonts w:ascii="Liberration sans" w:hAnsi="Liberration sans"/>
          <w:i/>
          <w:sz w:val="24"/>
          <w:szCs w:val="24"/>
        </w:rPr>
        <w:t xml:space="preserve"> podmienky uplatňovania zákazu sprístupnenia určitých jednorazových plastových výrobkov.</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Dátum nadobudnutia účinnosti:</w:t>
      </w:r>
      <w:r>
        <w:rPr>
          <w:rFonts w:ascii="Liberration sans" w:hAnsi="Liberration sans"/>
          <w:i/>
          <w:sz w:val="24"/>
          <w:szCs w:val="24"/>
        </w:rPr>
        <w:t xml:space="preserve"> Ustanovenia tohto dekrétu nadobudnú účinnosť 1. januára 2020 s výnimkou ustanovení článku 3, ktorých nadobudnutie účinnosti je stanovené na 3. júla 2021.</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rPr>
          <w:rFonts w:ascii="Liberration sans" w:hAnsi="Liberration sans" w:hint="eastAsia"/>
          <w:i/>
          <w:sz w:val="24"/>
          <w:szCs w:val="24"/>
        </w:rPr>
      </w:pPr>
      <w:r>
        <w:rPr>
          <w:rFonts w:ascii="Liberration sans" w:hAnsi="Liberration sans"/>
          <w:b/>
          <w:i/>
          <w:sz w:val="24"/>
          <w:szCs w:val="24"/>
        </w:rPr>
        <w:t>Poznámka:</w:t>
      </w:r>
      <w:r>
        <w:rPr>
          <w:rFonts w:ascii="Liberration sans" w:hAnsi="Liberration sans"/>
          <w:i/>
          <w:sz w:val="24"/>
          <w:szCs w:val="24"/>
        </w:rPr>
        <w:t xml:space="preserve"> V návrhu dekrétu sa vymedzujú podmienky uplatňovania právnych ustanovení zákona o životnom prostredí, ktorými sa od 1. januára 2020 zakazuje sprístupnenie určitých jednorazových plastových výrobkov. Z tohto dôvodu sa v ňom spresňujú podmienky uplatňovania odseku III článku L. 541-10-5 zákona o životnom prostredí. </w:t>
      </w:r>
    </w:p>
    <w:p w:rsidR="00937C42" w:rsidRPr="00327313" w:rsidRDefault="00937C42" w:rsidP="00937C42">
      <w:pPr>
        <w:spacing w:after="0" w:line="240" w:lineRule="auto"/>
        <w:jc w:val="both"/>
        <w:rPr>
          <w:rFonts w:ascii="Liberration sans" w:hAnsi="Liberration sans" w:hint="eastAsia"/>
          <w:b/>
          <w:i/>
          <w:sz w:val="24"/>
          <w:szCs w:val="24"/>
        </w:rPr>
      </w:pPr>
    </w:p>
    <w:p w:rsidR="00937C42" w:rsidRPr="00327313" w:rsidRDefault="00937C42" w:rsidP="00937C42">
      <w:pPr>
        <w:spacing w:after="0" w:line="240" w:lineRule="auto"/>
        <w:jc w:val="both"/>
      </w:pPr>
      <w:r>
        <w:rPr>
          <w:rFonts w:ascii="Liberration sans" w:hAnsi="Liberration sans"/>
          <w:b/>
          <w:i/>
          <w:sz w:val="24"/>
          <w:szCs w:val="24"/>
        </w:rPr>
        <w:t>Referencie:</w:t>
      </w:r>
      <w:r>
        <w:rPr>
          <w:rFonts w:ascii="Liberration sans" w:hAnsi="Liberration sans"/>
          <w:i/>
          <w:sz w:val="24"/>
          <w:szCs w:val="24"/>
        </w:rPr>
        <w:t xml:space="preserve"> týmto dekrétom sa uplatňuje prvý pododsek odseku III článku L. 541-10-5 zákona o životnom prostredí zavedeného článkom 73 zákona č. 2015-992 zo 17. augusta 2015 o energetickom prechode k ekologickému rastu a zmeneného článkom 28 zákona 2018-938 z 30. októbra 2018 o rovnováhe obchodných vzťahov v poľnohospodárskom a potravinárskom odvetví a zdravom, trvalo udržateľnom a dostupnom stravovaní pre všetkých.</w:t>
      </w: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p>
    <w:p w:rsidR="00937C42" w:rsidRPr="00327313" w:rsidRDefault="00937C42" w:rsidP="00937C42">
      <w:pPr>
        <w:spacing w:after="0" w:line="240" w:lineRule="auto"/>
        <w:jc w:val="both"/>
        <w:rPr>
          <w:rFonts w:ascii="Liberration sans" w:hAnsi="Liberration sans" w:hint="eastAsia"/>
          <w:b/>
          <w:sz w:val="24"/>
          <w:szCs w:val="24"/>
        </w:rPr>
      </w:pPr>
      <w:r>
        <w:rPr>
          <w:rFonts w:ascii="Liberration sans" w:hAnsi="Liberration sans"/>
          <w:b/>
          <w:sz w:val="24"/>
          <w:szCs w:val="24"/>
        </w:rPr>
        <w:t>Predseda vlády,</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na základe správy ministerky pre ekologickú a solidárnu transformáciu a ministra hospodárstva a financií,</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lastRenderedPageBreak/>
        <w:t>so zreteľom na smernicu Európskeho parlamentu a Rady 94/62/ES z 20. decembra 1994 o obaloch a odpadoch z obalov, zmenenú najmä smernicou Európskeho parlamentu a Rady 2004/12/ES z 11. februára 2004,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so zreteľom na smernicu Európskeho parlamentu a Rady (EÚ) 2015/1535 z 9. septembra 2015, ktorou sa stanovuje postup pri poskytovaní informácií v oblasti technických predpisov a pravidiel vzťahujúcich sa na služby informačnej spoločnosti,</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so zreteľom na smernicu Európskeho parlamentu a Rady 2019/904 o znižovaní vplyvu určitých plastových výrobkov na životné prostredie,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so zreteľom na smernicu 90/385/EHS o aproximácii právnych predpisov členských štátov o aktívnych implantovateľných zdravotníckych pomôckach,</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so zreteľom na smernicu 93/42/EHS o zdravotníckych pomôckach,</w:t>
      </w:r>
    </w:p>
    <w:p w:rsidR="00937C42" w:rsidRPr="00327313" w:rsidRDefault="00937C42" w:rsidP="00937C42">
      <w:pPr>
        <w:spacing w:after="0" w:line="240" w:lineRule="auto"/>
        <w:jc w:val="both"/>
        <w:rPr>
          <w:rFonts w:ascii="Liberration sans" w:hAnsi="Liberration sans" w:hint="eastAsia"/>
          <w:sz w:val="24"/>
          <w:szCs w:val="24"/>
        </w:rPr>
      </w:pPr>
    </w:p>
    <w:p w:rsidR="00937C42" w:rsidRPr="001B58A4"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so zreteľom na zákon o životnom prostredí, najmä na odsek III článku L. 541-10-5 zákona o životnom prostredí zavedeného článkom 73 zákona č. 2015-992 zo 17. augusta 2015 o energetickom prechode k ekologickému rastu a zmeneného článkom 28 zákona 2018-938 z 30. októbra 2018 o rovnováhe obchodných vzťahov v poľnohospodárskom a potravinárskom odvetví a zdravom, trvalo udržateľnom a dostupnom stravovaní pre všetkých,</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so zreteľom na pozorovania zistené počas verejnej konzultácie, ktorá prebiehala od XX xxx 2019 do XX xxx 2019 podľa článku L. 123-19-1 zákona o životnom prostredí,</w:t>
      </w:r>
    </w:p>
    <w:p w:rsidR="00327313" w:rsidRPr="00327313" w:rsidRDefault="00327313"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so zreteľom na oznámenie č. ... adresované Európskej komisii dňa……..,</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vydáva tento dekrét:</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Článok 1</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Pododdiel 1 oddielu 21 kapitoly III hlavy IV knihy V predpisovej časti zákona o životnom prostredí sa nahrádza nasledujúcimi ustanoveniami:</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„Pododdiel 1: Všeobecné ustanovenia</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„Článok D543-294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„Na vykonanie odseku III článku L. 541-10-5 tohto oddielu sa vymedzujú tieto pojmy:</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„1. „plast“: materiál, ktorý sa skladá z polyméru v zmysle vymedzenia v článku 3 bode 5 nariadenia Európskeho parlamentu a Rady (ES) č. 1907/2006 z 18. decembra 2006, do ktorého mohli byť pridané prísady alebo iné látky a ktorý môže tvoriť hlavnú štruktúrnu zložku konečných výrobkov, s výnimkou prírodných polymérov, ktoré neboli chemicky modifikované,</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„2. „jednorazový plastový výrobok“: výrobok, ktorý je vyrobený úplne alebo čiastočne z plastu a ktorý nie je koncipovaný, navrhnutý alebo uvedený na trh s tým účelom, aby počas svojej životnosti absolvoval niekoľko cyklov alebo rotácií tým, že sa vráti výrobcovi na opätovné naplnenie, alebo ktorý nie je koncipovaný, navrhnutý alebo uvedený na trh, aby bol opätovne použitý na ten istý účel, na ktorý bol koncipovaný,</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pStyle w:val="Standard"/>
        <w:jc w:val="both"/>
        <w:rPr>
          <w:rFonts w:ascii="Liberration sans" w:hAnsi="Liberration sans" w:hint="eastAsia"/>
        </w:rPr>
      </w:pPr>
      <w:r>
        <w:rPr>
          <w:rFonts w:ascii="Liberration sans" w:hAnsi="Liberration sans"/>
        </w:rPr>
        <w:t xml:space="preserve">„3. „výrobca“: každá fyzická alebo právnická osoba, ktorá bez ohľadu na použitú techniku predaja vrátane prostredníctvom zmlúv uzavretých na diaľku profesionálne vyrába, plní, predáva alebo dováža jednorazové plastové výrobky, plnené jednorazové plastové výrobky,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„4. „sprístupnenie“: každá dodávka výrobku určeného na distribúciu, spotrebu alebo používanie na vnútroštátnom území v priebehu obchodnej činnosti, či už odplatne alebo bezodplatne,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„5. „uvedenie na trh“: prvé sprístupnenie výrobku na trhu vnútroštátneho územia,</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„6. „obaly“: výrobky uvedené v zmenenej smernici Európskeho parlamentu a Rady 94/62/ES z 20. decembra 1994 o obaloch a odpadoch z obalov,</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„7. „tégliky a poháriky“: tégliky a poháriky, ktoré sú celé skladajú z plastu,</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Standard"/>
        <w:jc w:val="both"/>
        <w:rPr>
          <w:rFonts w:ascii="Liberration sans" w:hAnsi="Liberration sans" w:hint="eastAsia"/>
        </w:rPr>
      </w:pPr>
      <w:r>
        <w:rPr>
          <w:rFonts w:ascii="Liberration sans" w:hAnsi="Liberration sans"/>
        </w:rPr>
        <w:t>„8. „jednorazové kuchynské taniere“: taniere, ktoré sa celé skladajú z plastu,</w:t>
      </w:r>
    </w:p>
    <w:p w:rsidR="00937C42" w:rsidRPr="00327313" w:rsidRDefault="00937C42" w:rsidP="00937C42">
      <w:pPr>
        <w:pStyle w:val="Standard"/>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„9. „príbory“: vidličky, nože, lyžice a paličky na jedenie uvedené v časti B prílohy k smernici (EÚ) 2019/904 okrem tých, ktoré sa používajú vo väzenských zariadeniach, zdravotníckych zariadeniach a v leteckej, železničnej a námornej doprave,</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„10. „podnosy na jedlo, misky na zmrzlinu, šalátové misy a škatule“: nádoby na potraviny uvedené v časti A prílohy k smernici (EÚ) 2019/904, ktoré sa celé skladajú z plastu a ktoré sa používajú na potraviny, ktoré sú určené na priamu konzumáciu buď na mieste predaja, alebo na inom mieste, ako je miesto predaja (tzv. take-away), spravidla konzumované priamo z tejto nádoby a hotové na konzumáciu bez akejkoľvek ďalšej prípravy, napríklad varenia alebo zohrievania,</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„11. „slamky“: slamky sprístupnené na mieste použitia alebo predávané spotrebiteľovi jednotlivo alebo v baleniach, ak nepatria do rozsahu pôsobnosti smernice 90/385/EHS alebo 93/42/EHS,</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pStyle w:val="Textbody"/>
        <w:spacing w:after="0" w:line="240" w:lineRule="auto"/>
        <w:jc w:val="both"/>
        <w:rPr>
          <w:rFonts w:ascii="Liberration sans" w:hAnsi="Liberration sans" w:hint="eastAsia"/>
        </w:rPr>
      </w:pPr>
      <w:r>
        <w:rPr>
          <w:rFonts w:ascii="Liberration sans" w:hAnsi="Liberration sans"/>
        </w:rPr>
        <w:t>„12. „viečka na poháre“: viečka na poháre alebo na tégliky, ktoré patria medzi viečka na poháre na nápoje v zmysle časti A prílohy k smernici (EÚ) 2019/904.</w:t>
      </w:r>
    </w:p>
    <w:p w:rsidR="00937C42" w:rsidRPr="00327313" w:rsidRDefault="00937C42" w:rsidP="00937C42">
      <w:pPr>
        <w:pStyle w:val="Textbody"/>
        <w:spacing w:after="0" w:line="240" w:lineRule="auto"/>
        <w:jc w:val="both"/>
        <w:rPr>
          <w:rFonts w:ascii="Liberration sans" w:hAnsi="Liberration sans" w:hint="eastAsia"/>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„13. „výrobky kompostovateľné v rámci domáceho kompostovania“: výrobky, ktoré spĺňajú požiadavky homologizovanej francúzskej normy o špecifikáciách plastov vhodných na domáce kompostovanie, ako aj výrobky, ktoré sa v súlade s právnymi predpismi vyrábajú a predávajú v členskom štáte Európskej únie alebo v Turecku alebo v štáte, ktorý je zmluvnou stranou Dohody o Európskom hospodárskom priestore, a ktorá poskytuje rovnocenné záruky,</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„14. „7. „biologický materiál“: akýkoľvek materiál biologického pôvodu, okrem materiálov, ktoré sú súčasťou geologických alebo fosilizovaných formácií,</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rPr>
          <w:rFonts w:ascii="Liberration sans" w:hAnsi="Liberration sans" w:hint="eastAsia"/>
          <w:sz w:val="24"/>
          <w:szCs w:val="24"/>
        </w:rPr>
      </w:pPr>
      <w:r>
        <w:rPr>
          <w:rFonts w:ascii="Liberration sans" w:hAnsi="Liberration sans"/>
          <w:sz w:val="24"/>
          <w:szCs w:val="24"/>
        </w:rPr>
        <w:t>„15. „obsah biologického materiálu“: percentuálny podiel biologického materiálu, ktorý je súčasťou téglika, pohára alebo taniera, vyjadrený ako podiel celkového uhlíka určený na základe metodiky výpočtu stanovenej platnou francúzskou alebo akoukoľvek inou medzinárodnou normou týkajúcou sa určovania obsahu uhlíka biologického pôvodu v plastoch, ktorá poskytuje rovnocenné záruky.</w:t>
      </w:r>
    </w:p>
    <w:p w:rsidR="00937C42" w:rsidRPr="00327313" w:rsidRDefault="00937C42" w:rsidP="00937C42">
      <w:pPr>
        <w:spacing w:after="0" w:line="240" w:lineRule="auto"/>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Článok 2</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Pododdiel 2 oddielu 21 kapitoly III hlavy IV knihy V predpisovej časti zákona o životnom prostredí sa mení takto: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1. Nadpis pododdielu 2 sa mení takto: „Jednorazové plastové výrobky“,</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Článok D. 543-295 sa nahrádza týmto ustanovením:</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„Výrobky uvedené v prvom pododseku odseku III článku L541-10-5, v prípade ktorých sa ukončuje sprístupnenie, sú jednorazové plastové výrobky s výnimkou obalov.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Článok D. 543-296 sa nahrádza týmto ustanovením:</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 xml:space="preserve">„Minimálny obsah biologického materiálu vo výrobkoch uvedený v prvom pododseku odseku III článku L. 541-10-5 je 50 % od 1. januára 2020a 60 % od 1. januára 2025. </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Článok 3</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both"/>
        <w:rPr>
          <w:rFonts w:ascii="Liberration sans" w:hAnsi="Liberration sans" w:hint="eastAsia"/>
          <w:sz w:val="24"/>
          <w:szCs w:val="24"/>
        </w:rPr>
      </w:pPr>
      <w:r>
        <w:rPr>
          <w:rFonts w:ascii="Liberration sans" w:hAnsi="Liberration sans"/>
          <w:sz w:val="24"/>
          <w:szCs w:val="24"/>
        </w:rPr>
        <w:t>1. Článok D. 543-294 sa mení takto:</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a) bod 7 sa dopĺňa týmito slovami: „a ktoré sa čiastočne skladajú z plastov, ktorých obsah je vyšší ako maximálny obsah stanovený na základe výnosu, ktorým sa stanovuje maximálny povolený obsah plastu a podmienky, za ktorých sa obsah plastu postupne znižuje“,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b) v bode 8 sa slová: „skladajú celé z plastu“ nahrádza slovami: „vrátane plastovej fólie, uvedené v časti B prílohy k smernici (EÚ)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c) v bode 9 sa slová: „okrem tých, ktoré sa používajú vo väzenských zariadeniach, zdravotníckych zariadeniach a v leteckej, železničnej a námornej doprave“ vypúšťajú,</w:t>
      </w:r>
    </w:p>
    <w:p w:rsidR="00871194" w:rsidRPr="00327313" w:rsidRDefault="00871194"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d) v bode 11 sa slová: „sprístupnené na mieste použitia alebo predávané koncovému spotrebiteľovi jednotlivo alebo v baleniach“ nahrádzajú slovami: „ktoré sú uvedené v časti B prílohy k smernici (EÚ) 2019/904“,</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2. V článku R. 543-295 sa slová: „s výnimkou“ nahrádzajú slovami „vrátane“,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3. Článok D. 543-296 sa dopĺňa o vetu: „Výnimka uvedená v tomto odseku sa však nevzťahuje na jednorazové taniere na stolovanie, slamky, príbory a miešadlá na nápoje.“.</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rPr>
          <w:rFonts w:ascii="Liberration sans" w:hAnsi="Liberration sans" w:hint="eastAsia"/>
          <w:b/>
          <w:sz w:val="24"/>
          <w:szCs w:val="24"/>
        </w:rPr>
      </w:pPr>
      <w:r>
        <w:rPr>
          <w:rFonts w:ascii="Liberration sans" w:hAnsi="Liberration sans"/>
          <w:b/>
          <w:sz w:val="24"/>
          <w:szCs w:val="24"/>
        </w:rPr>
        <w:t>Článok 4</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rPr>
          <w:rFonts w:ascii="Liberration sans" w:hAnsi="Liberration sans" w:hint="eastAsia"/>
          <w:sz w:val="24"/>
          <w:szCs w:val="24"/>
        </w:rPr>
      </w:pPr>
      <w:r>
        <w:rPr>
          <w:rFonts w:ascii="Liberration sans" w:hAnsi="Liberration sans"/>
          <w:sz w:val="24"/>
          <w:szCs w:val="24"/>
        </w:rPr>
        <w:t>Ustanovenia tohto dekrétu nadobudnú účinnosť 1. januára 2020 s výnimkou ustanovení článku 3, ktoré nadobudnú účinnosť 3. júla 2021.</w:t>
      </w:r>
    </w:p>
    <w:p w:rsidR="00937C42" w:rsidRPr="00327313" w:rsidRDefault="00937C42" w:rsidP="00937C42">
      <w:pPr>
        <w:spacing w:after="0" w:line="240" w:lineRule="auto"/>
        <w:jc w:val="both"/>
        <w:rPr>
          <w:rFonts w:ascii="Liberration sans" w:hAnsi="Liberration sans" w:hint="eastAsia"/>
          <w:sz w:val="24"/>
          <w:szCs w:val="24"/>
        </w:rPr>
      </w:pPr>
    </w:p>
    <w:p w:rsidR="00937C42" w:rsidRPr="00327313" w:rsidRDefault="00937C42" w:rsidP="00327313">
      <w:pPr>
        <w:keepNext/>
        <w:spacing w:after="0" w:line="240" w:lineRule="auto"/>
        <w:jc w:val="center"/>
      </w:pPr>
      <w:r>
        <w:rPr>
          <w:rFonts w:ascii="Liberration sans" w:hAnsi="Liberration sans"/>
          <w:b/>
          <w:sz w:val="24"/>
          <w:szCs w:val="24"/>
        </w:rPr>
        <w:lastRenderedPageBreak/>
        <w:t>Článok 5</w:t>
      </w:r>
    </w:p>
    <w:p w:rsidR="00937C42" w:rsidRPr="00327313" w:rsidRDefault="00937C42" w:rsidP="00327313">
      <w:pPr>
        <w:keepNext/>
        <w:spacing w:after="0" w:line="240" w:lineRule="auto"/>
        <w:jc w:val="both"/>
        <w:rPr>
          <w:rFonts w:ascii="Liberration sans" w:hAnsi="Liberration sans" w:hint="eastAsia"/>
          <w:sz w:val="24"/>
          <w:szCs w:val="24"/>
        </w:rPr>
      </w:pPr>
    </w:p>
    <w:p w:rsidR="00937C42" w:rsidRPr="00327313" w:rsidRDefault="00937C42" w:rsidP="00937C42">
      <w:pPr>
        <w:spacing w:after="0" w:line="240" w:lineRule="auto"/>
        <w:jc w:val="both"/>
      </w:pPr>
      <w:r>
        <w:rPr>
          <w:rFonts w:ascii="Liberration sans" w:hAnsi="Liberration sans"/>
          <w:sz w:val="24"/>
          <w:szCs w:val="24"/>
        </w:rPr>
        <w:t>Vykonaním tohto dekrétu, ktorý bude uverejnený v Úradnom vestníku Francúzskej republiky, sú poverení ministerka pre ekologickú a solidárnu transformáciu a minister hospodárstva a financií, každý v rozsahu svojich právomocí.</w:t>
      </w:r>
    </w:p>
    <w:sectPr w:rsidR="00937C42" w:rsidRPr="0032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CB7" w:rsidRDefault="00D53CB7" w:rsidP="00355C58">
      <w:pPr>
        <w:spacing w:after="0" w:line="240" w:lineRule="auto"/>
      </w:pPr>
      <w:r>
        <w:separator/>
      </w:r>
    </w:p>
  </w:endnote>
  <w:endnote w:type="continuationSeparator" w:id="0">
    <w:p w:rsidR="00D53CB7" w:rsidRDefault="00D53CB7" w:rsidP="0035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ration sans">
    <w:altName w:val="Times New Roman"/>
    <w:panose1 w:val="00000000000000000000"/>
    <w:charset w:val="00"/>
    <w:family w:val="roman"/>
    <w:notTrueType/>
    <w:pitch w:val="default"/>
  </w:font>
  <w:font w:name="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CB7" w:rsidRDefault="00D53CB7" w:rsidP="00355C58">
      <w:pPr>
        <w:spacing w:after="0" w:line="240" w:lineRule="auto"/>
      </w:pPr>
      <w:r>
        <w:separator/>
      </w:r>
    </w:p>
  </w:footnote>
  <w:footnote w:type="continuationSeparator" w:id="0">
    <w:p w:rsidR="00D53CB7" w:rsidRDefault="00D53CB7" w:rsidP="00355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60D2F"/>
    <w:multiLevelType w:val="hybridMultilevel"/>
    <w:tmpl w:val="FCCCEA0C"/>
    <w:lvl w:ilvl="0" w:tplc="299A5088">
      <w:numFmt w:val="bullet"/>
      <w:lvlText w:val=""/>
      <w:lvlJc w:val="left"/>
      <w:pPr>
        <w:ind w:left="720" w:hanging="360"/>
      </w:pPr>
      <w:rPr>
        <w:rFonts w:ascii="Wingdings" w:eastAsia="SimSun"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A03EB0"/>
    <w:multiLevelType w:val="hybridMultilevel"/>
    <w:tmpl w:val="0504C6D6"/>
    <w:lvl w:ilvl="0" w:tplc="9752B930">
      <w:numFmt w:val="bullet"/>
      <w:lvlText w:val="-"/>
      <w:lvlJc w:val="left"/>
      <w:pPr>
        <w:ind w:left="720" w:hanging="360"/>
      </w:pPr>
      <w:rPr>
        <w:rFonts w:ascii="Calibri" w:eastAsia="SimSu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7C"/>
    <w:rsid w:val="000034CE"/>
    <w:rsid w:val="00014AE2"/>
    <w:rsid w:val="000908EA"/>
    <w:rsid w:val="00095C42"/>
    <w:rsid w:val="000A4358"/>
    <w:rsid w:val="000A71A7"/>
    <w:rsid w:val="000A74FC"/>
    <w:rsid w:val="000C2C7D"/>
    <w:rsid w:val="000C5590"/>
    <w:rsid w:val="000D38CC"/>
    <w:rsid w:val="000E510C"/>
    <w:rsid w:val="000E6D47"/>
    <w:rsid w:val="00107C4C"/>
    <w:rsid w:val="00117537"/>
    <w:rsid w:val="00140C25"/>
    <w:rsid w:val="00145A91"/>
    <w:rsid w:val="00152938"/>
    <w:rsid w:val="001539EE"/>
    <w:rsid w:val="00171A56"/>
    <w:rsid w:val="00176A43"/>
    <w:rsid w:val="00183772"/>
    <w:rsid w:val="001935D0"/>
    <w:rsid w:val="00197758"/>
    <w:rsid w:val="001B58A4"/>
    <w:rsid w:val="001C5EE0"/>
    <w:rsid w:val="001F0EB2"/>
    <w:rsid w:val="001F321D"/>
    <w:rsid w:val="0021491A"/>
    <w:rsid w:val="002176A8"/>
    <w:rsid w:val="00235ACE"/>
    <w:rsid w:val="00245165"/>
    <w:rsid w:val="002704EC"/>
    <w:rsid w:val="002823C2"/>
    <w:rsid w:val="00294E66"/>
    <w:rsid w:val="002A04FA"/>
    <w:rsid w:val="002E14B9"/>
    <w:rsid w:val="002F4D67"/>
    <w:rsid w:val="003079E2"/>
    <w:rsid w:val="003110E1"/>
    <w:rsid w:val="00327313"/>
    <w:rsid w:val="003530E0"/>
    <w:rsid w:val="00355C58"/>
    <w:rsid w:val="003A648D"/>
    <w:rsid w:val="003B1EE4"/>
    <w:rsid w:val="003D24A8"/>
    <w:rsid w:val="003D3901"/>
    <w:rsid w:val="00402905"/>
    <w:rsid w:val="00412915"/>
    <w:rsid w:val="00476578"/>
    <w:rsid w:val="004B0DD8"/>
    <w:rsid w:val="004D3369"/>
    <w:rsid w:val="004D7B39"/>
    <w:rsid w:val="004E2DE5"/>
    <w:rsid w:val="004F406D"/>
    <w:rsid w:val="00516150"/>
    <w:rsid w:val="00534878"/>
    <w:rsid w:val="0054118A"/>
    <w:rsid w:val="0059549B"/>
    <w:rsid w:val="005975A6"/>
    <w:rsid w:val="005A5A15"/>
    <w:rsid w:val="005C3E2A"/>
    <w:rsid w:val="005D0A00"/>
    <w:rsid w:val="005E7BDD"/>
    <w:rsid w:val="00604D57"/>
    <w:rsid w:val="00632766"/>
    <w:rsid w:val="00634F76"/>
    <w:rsid w:val="00637FDA"/>
    <w:rsid w:val="00655108"/>
    <w:rsid w:val="00656B7A"/>
    <w:rsid w:val="00660CB0"/>
    <w:rsid w:val="00666348"/>
    <w:rsid w:val="0067136E"/>
    <w:rsid w:val="006B771D"/>
    <w:rsid w:val="006E7E18"/>
    <w:rsid w:val="00737913"/>
    <w:rsid w:val="0074751B"/>
    <w:rsid w:val="00750D0E"/>
    <w:rsid w:val="007600B0"/>
    <w:rsid w:val="00766F7B"/>
    <w:rsid w:val="007B1C42"/>
    <w:rsid w:val="007C1DD8"/>
    <w:rsid w:val="007E0D02"/>
    <w:rsid w:val="007E4CF9"/>
    <w:rsid w:val="008103E8"/>
    <w:rsid w:val="008535D2"/>
    <w:rsid w:val="00856957"/>
    <w:rsid w:val="00871194"/>
    <w:rsid w:val="00872317"/>
    <w:rsid w:val="0087410E"/>
    <w:rsid w:val="00884E62"/>
    <w:rsid w:val="00885F03"/>
    <w:rsid w:val="00890BC7"/>
    <w:rsid w:val="008977EB"/>
    <w:rsid w:val="008D57F4"/>
    <w:rsid w:val="008E2A98"/>
    <w:rsid w:val="008F1A81"/>
    <w:rsid w:val="008F4803"/>
    <w:rsid w:val="00904CD0"/>
    <w:rsid w:val="0091508B"/>
    <w:rsid w:val="00922E93"/>
    <w:rsid w:val="00937C42"/>
    <w:rsid w:val="00952D52"/>
    <w:rsid w:val="009723CD"/>
    <w:rsid w:val="009755BA"/>
    <w:rsid w:val="00976B5A"/>
    <w:rsid w:val="00981E8D"/>
    <w:rsid w:val="0098664F"/>
    <w:rsid w:val="009C7757"/>
    <w:rsid w:val="00A33E3F"/>
    <w:rsid w:val="00A3572E"/>
    <w:rsid w:val="00A45866"/>
    <w:rsid w:val="00A504A7"/>
    <w:rsid w:val="00A74F0E"/>
    <w:rsid w:val="00A94106"/>
    <w:rsid w:val="00AA35FD"/>
    <w:rsid w:val="00AB4782"/>
    <w:rsid w:val="00AC3120"/>
    <w:rsid w:val="00B11E59"/>
    <w:rsid w:val="00B37EA4"/>
    <w:rsid w:val="00B56188"/>
    <w:rsid w:val="00B72FBC"/>
    <w:rsid w:val="00B73D96"/>
    <w:rsid w:val="00B91C12"/>
    <w:rsid w:val="00BA3DF3"/>
    <w:rsid w:val="00BB0346"/>
    <w:rsid w:val="00BC58BE"/>
    <w:rsid w:val="00BD1C8C"/>
    <w:rsid w:val="00C14870"/>
    <w:rsid w:val="00C348D9"/>
    <w:rsid w:val="00C34E8E"/>
    <w:rsid w:val="00C65590"/>
    <w:rsid w:val="00C7318C"/>
    <w:rsid w:val="00C90548"/>
    <w:rsid w:val="00CD4161"/>
    <w:rsid w:val="00CD56F8"/>
    <w:rsid w:val="00CD7DC7"/>
    <w:rsid w:val="00D10692"/>
    <w:rsid w:val="00D17424"/>
    <w:rsid w:val="00D23E40"/>
    <w:rsid w:val="00D408EE"/>
    <w:rsid w:val="00D41E43"/>
    <w:rsid w:val="00D47265"/>
    <w:rsid w:val="00D53CB7"/>
    <w:rsid w:val="00D54F7D"/>
    <w:rsid w:val="00D839E7"/>
    <w:rsid w:val="00D90215"/>
    <w:rsid w:val="00D93AEB"/>
    <w:rsid w:val="00DA0056"/>
    <w:rsid w:val="00DB068F"/>
    <w:rsid w:val="00DB1A3B"/>
    <w:rsid w:val="00DC53A6"/>
    <w:rsid w:val="00DC7B3C"/>
    <w:rsid w:val="00DE3DD2"/>
    <w:rsid w:val="00DF54D1"/>
    <w:rsid w:val="00DF6173"/>
    <w:rsid w:val="00E011FF"/>
    <w:rsid w:val="00E07C8D"/>
    <w:rsid w:val="00E10012"/>
    <w:rsid w:val="00E17C22"/>
    <w:rsid w:val="00E404A0"/>
    <w:rsid w:val="00E70A86"/>
    <w:rsid w:val="00EA1B64"/>
    <w:rsid w:val="00EB62CC"/>
    <w:rsid w:val="00EF5285"/>
    <w:rsid w:val="00F03131"/>
    <w:rsid w:val="00F275E8"/>
    <w:rsid w:val="00F35D11"/>
    <w:rsid w:val="00F6615F"/>
    <w:rsid w:val="00F96C6A"/>
    <w:rsid w:val="00FA6AA9"/>
    <w:rsid w:val="00FB5B7C"/>
    <w:rsid w:val="00FD0D5D"/>
    <w:rsid w:val="00FE45B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A962A6-E787-499B-93BA-4368914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FB5B7C"/>
    <w:pPr>
      <w:suppressAutoHyphens/>
      <w:spacing w:after="0" w:line="240" w:lineRule="auto"/>
      <w:textAlignment w:val="baseline"/>
    </w:pPr>
    <w:rPr>
      <w:rFonts w:ascii="Liberation Serif" w:hAnsi="Liberation Serif" w:cs="Mangal"/>
      <w:kern w:val="1"/>
      <w:sz w:val="24"/>
      <w:szCs w:val="24"/>
      <w:lang w:eastAsia="zh-CN" w:bidi="hi-IN"/>
    </w:rPr>
  </w:style>
  <w:style w:type="paragraph" w:customStyle="1" w:styleId="Textbody">
    <w:name w:val="Text body"/>
    <w:basedOn w:val="Standard"/>
    <w:qFormat/>
    <w:rsid w:val="00FB5B7C"/>
    <w:pPr>
      <w:spacing w:after="140" w:line="288" w:lineRule="auto"/>
    </w:pPr>
  </w:style>
  <w:style w:type="character" w:styleId="CommentReference">
    <w:name w:val="annotation reference"/>
    <w:basedOn w:val="DefaultParagraphFont"/>
    <w:uiPriority w:val="99"/>
    <w:semiHidden/>
    <w:unhideWhenUsed/>
    <w:rsid w:val="008103E8"/>
    <w:rPr>
      <w:sz w:val="16"/>
      <w:szCs w:val="16"/>
    </w:rPr>
  </w:style>
  <w:style w:type="paragraph" w:styleId="CommentText">
    <w:name w:val="annotation text"/>
    <w:basedOn w:val="Normal"/>
    <w:link w:val="CommentTextChar"/>
    <w:uiPriority w:val="99"/>
    <w:semiHidden/>
    <w:unhideWhenUsed/>
    <w:rsid w:val="008103E8"/>
    <w:pPr>
      <w:spacing w:line="240" w:lineRule="auto"/>
    </w:pPr>
    <w:rPr>
      <w:sz w:val="20"/>
      <w:szCs w:val="20"/>
    </w:rPr>
  </w:style>
  <w:style w:type="character" w:customStyle="1" w:styleId="CommentTextChar">
    <w:name w:val="Comment Text Char"/>
    <w:basedOn w:val="DefaultParagraphFont"/>
    <w:link w:val="CommentText"/>
    <w:uiPriority w:val="99"/>
    <w:semiHidden/>
    <w:rsid w:val="008103E8"/>
    <w:rPr>
      <w:sz w:val="20"/>
      <w:szCs w:val="20"/>
    </w:rPr>
  </w:style>
  <w:style w:type="paragraph" w:styleId="CommentSubject">
    <w:name w:val="annotation subject"/>
    <w:basedOn w:val="CommentText"/>
    <w:next w:val="CommentText"/>
    <w:link w:val="CommentSubjectChar"/>
    <w:uiPriority w:val="99"/>
    <w:semiHidden/>
    <w:unhideWhenUsed/>
    <w:rsid w:val="008103E8"/>
    <w:rPr>
      <w:b/>
      <w:bCs/>
    </w:rPr>
  </w:style>
  <w:style w:type="character" w:customStyle="1" w:styleId="CommentSubjectChar">
    <w:name w:val="Comment Subject Char"/>
    <w:basedOn w:val="CommentTextChar"/>
    <w:link w:val="CommentSubject"/>
    <w:uiPriority w:val="99"/>
    <w:semiHidden/>
    <w:rsid w:val="008103E8"/>
    <w:rPr>
      <w:b/>
      <w:bCs/>
      <w:sz w:val="20"/>
      <w:szCs w:val="20"/>
    </w:rPr>
  </w:style>
  <w:style w:type="paragraph" w:styleId="BalloonText">
    <w:name w:val="Balloon Text"/>
    <w:basedOn w:val="Normal"/>
    <w:link w:val="BalloonTextChar"/>
    <w:uiPriority w:val="99"/>
    <w:semiHidden/>
    <w:unhideWhenUsed/>
    <w:rsid w:val="0081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3E8"/>
    <w:rPr>
      <w:rFonts w:ascii="Segoe UI" w:hAnsi="Segoe UI" w:cs="Segoe UI"/>
      <w:sz w:val="18"/>
      <w:szCs w:val="18"/>
    </w:rPr>
  </w:style>
  <w:style w:type="paragraph" w:styleId="ListParagraph">
    <w:name w:val="List Paragraph"/>
    <w:basedOn w:val="Normal"/>
    <w:uiPriority w:val="34"/>
    <w:qFormat/>
    <w:rsid w:val="00117537"/>
    <w:pPr>
      <w:ind w:left="720"/>
      <w:contextualSpacing/>
    </w:pPr>
  </w:style>
  <w:style w:type="paragraph" w:styleId="Revision">
    <w:name w:val="Revision"/>
    <w:hidden/>
    <w:uiPriority w:val="99"/>
    <w:semiHidden/>
    <w:rsid w:val="00DA0056"/>
    <w:pPr>
      <w:spacing w:after="0" w:line="240" w:lineRule="auto"/>
    </w:pPr>
  </w:style>
  <w:style w:type="paragraph" w:styleId="Header">
    <w:name w:val="header"/>
    <w:basedOn w:val="Normal"/>
    <w:link w:val="HeaderChar"/>
    <w:uiPriority w:val="99"/>
    <w:unhideWhenUsed/>
    <w:rsid w:val="00355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C58"/>
  </w:style>
  <w:style w:type="paragraph" w:styleId="Footer">
    <w:name w:val="footer"/>
    <w:basedOn w:val="Normal"/>
    <w:link w:val="FooterChar"/>
    <w:uiPriority w:val="99"/>
    <w:unhideWhenUsed/>
    <w:rsid w:val="00355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C58"/>
  </w:style>
  <w:style w:type="paragraph" w:customStyle="1" w:styleId="SNREPUBLIQUE">
    <w:name w:val="SNREPUBLIQUE"/>
    <w:basedOn w:val="Normal"/>
    <w:rsid w:val="00014AE2"/>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rsid w:val="00014AE2"/>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customStyle="1" w:styleId="SNNature">
    <w:name w:val="SNNature"/>
    <w:basedOn w:val="Normal"/>
    <w:next w:val="Normal"/>
    <w:rsid w:val="00014AE2"/>
    <w:pPr>
      <w:widowControl w:val="0"/>
      <w:suppressLineNumbers/>
      <w:suppressAutoHyphens/>
      <w:spacing w:before="720" w:after="120" w:line="240" w:lineRule="auto"/>
      <w:jc w:val="center"/>
    </w:pPr>
    <w:rPr>
      <w:rFonts w:ascii="Times New Roman" w:eastAsia="Lucida Sans Unicode"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980">
      <w:bodyDiv w:val="1"/>
      <w:marLeft w:val="0"/>
      <w:marRight w:val="0"/>
      <w:marTop w:val="0"/>
      <w:marBottom w:val="0"/>
      <w:divBdr>
        <w:top w:val="none" w:sz="0" w:space="0" w:color="auto"/>
        <w:left w:val="none" w:sz="0" w:space="0" w:color="auto"/>
        <w:bottom w:val="none" w:sz="0" w:space="0" w:color="auto"/>
        <w:right w:val="none" w:sz="0" w:space="0" w:color="auto"/>
      </w:divBdr>
    </w:div>
    <w:div w:id="315769638">
      <w:bodyDiv w:val="1"/>
      <w:marLeft w:val="0"/>
      <w:marRight w:val="0"/>
      <w:marTop w:val="0"/>
      <w:marBottom w:val="0"/>
      <w:divBdr>
        <w:top w:val="none" w:sz="0" w:space="0" w:color="auto"/>
        <w:left w:val="none" w:sz="0" w:space="0" w:color="auto"/>
        <w:bottom w:val="none" w:sz="0" w:space="0" w:color="auto"/>
        <w:right w:val="none" w:sz="0" w:space="0" w:color="auto"/>
      </w:divBdr>
      <w:divsChild>
        <w:div w:id="923606772">
          <w:marLeft w:val="0"/>
          <w:marRight w:val="0"/>
          <w:marTop w:val="0"/>
          <w:marBottom w:val="0"/>
          <w:divBdr>
            <w:top w:val="none" w:sz="0" w:space="0" w:color="auto"/>
            <w:left w:val="none" w:sz="0" w:space="0" w:color="auto"/>
            <w:bottom w:val="none" w:sz="0" w:space="0" w:color="auto"/>
            <w:right w:val="none" w:sz="0" w:space="0" w:color="auto"/>
          </w:divBdr>
          <w:divsChild>
            <w:div w:id="13547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08">
      <w:bodyDiv w:val="1"/>
      <w:marLeft w:val="0"/>
      <w:marRight w:val="0"/>
      <w:marTop w:val="0"/>
      <w:marBottom w:val="0"/>
      <w:divBdr>
        <w:top w:val="none" w:sz="0" w:space="0" w:color="auto"/>
        <w:left w:val="none" w:sz="0" w:space="0" w:color="auto"/>
        <w:bottom w:val="none" w:sz="0" w:space="0" w:color="auto"/>
        <w:right w:val="none" w:sz="0" w:space="0" w:color="auto"/>
      </w:divBdr>
    </w:div>
    <w:div w:id="692000648">
      <w:bodyDiv w:val="1"/>
      <w:marLeft w:val="0"/>
      <w:marRight w:val="0"/>
      <w:marTop w:val="0"/>
      <w:marBottom w:val="0"/>
      <w:divBdr>
        <w:top w:val="none" w:sz="0" w:space="0" w:color="auto"/>
        <w:left w:val="none" w:sz="0" w:space="0" w:color="auto"/>
        <w:bottom w:val="none" w:sz="0" w:space="0" w:color="auto"/>
        <w:right w:val="none" w:sz="0" w:space="0" w:color="auto"/>
      </w:divBdr>
      <w:divsChild>
        <w:div w:id="1473251530">
          <w:marLeft w:val="0"/>
          <w:marRight w:val="0"/>
          <w:marTop w:val="0"/>
          <w:marBottom w:val="0"/>
          <w:divBdr>
            <w:top w:val="none" w:sz="0" w:space="0" w:color="auto"/>
            <w:left w:val="none" w:sz="0" w:space="0" w:color="auto"/>
            <w:bottom w:val="none" w:sz="0" w:space="0" w:color="auto"/>
            <w:right w:val="none" w:sz="0" w:space="0" w:color="auto"/>
          </w:divBdr>
        </w:div>
        <w:div w:id="1079864399">
          <w:marLeft w:val="0"/>
          <w:marRight w:val="0"/>
          <w:marTop w:val="0"/>
          <w:marBottom w:val="0"/>
          <w:divBdr>
            <w:top w:val="none" w:sz="0" w:space="0" w:color="auto"/>
            <w:left w:val="none" w:sz="0" w:space="0" w:color="auto"/>
            <w:bottom w:val="none" w:sz="0" w:space="0" w:color="auto"/>
            <w:right w:val="none" w:sz="0" w:space="0" w:color="auto"/>
          </w:divBdr>
        </w:div>
        <w:div w:id="689378480">
          <w:marLeft w:val="0"/>
          <w:marRight w:val="0"/>
          <w:marTop w:val="0"/>
          <w:marBottom w:val="0"/>
          <w:divBdr>
            <w:top w:val="none" w:sz="0" w:space="0" w:color="auto"/>
            <w:left w:val="none" w:sz="0" w:space="0" w:color="auto"/>
            <w:bottom w:val="none" w:sz="0" w:space="0" w:color="auto"/>
            <w:right w:val="none" w:sz="0" w:space="0" w:color="auto"/>
          </w:divBdr>
        </w:div>
      </w:divsChild>
    </w:div>
    <w:div w:id="734356246">
      <w:bodyDiv w:val="1"/>
      <w:marLeft w:val="0"/>
      <w:marRight w:val="0"/>
      <w:marTop w:val="0"/>
      <w:marBottom w:val="0"/>
      <w:divBdr>
        <w:top w:val="none" w:sz="0" w:space="0" w:color="auto"/>
        <w:left w:val="none" w:sz="0" w:space="0" w:color="auto"/>
        <w:bottom w:val="none" w:sz="0" w:space="0" w:color="auto"/>
        <w:right w:val="none" w:sz="0" w:space="0" w:color="auto"/>
      </w:divBdr>
      <w:divsChild>
        <w:div w:id="21323214">
          <w:marLeft w:val="0"/>
          <w:marRight w:val="0"/>
          <w:marTop w:val="0"/>
          <w:marBottom w:val="0"/>
          <w:divBdr>
            <w:top w:val="none" w:sz="0" w:space="0" w:color="auto"/>
            <w:left w:val="none" w:sz="0" w:space="0" w:color="auto"/>
            <w:bottom w:val="none" w:sz="0" w:space="0" w:color="auto"/>
            <w:right w:val="none" w:sz="0" w:space="0" w:color="auto"/>
          </w:divBdr>
        </w:div>
        <w:div w:id="1061170837">
          <w:marLeft w:val="0"/>
          <w:marRight w:val="0"/>
          <w:marTop w:val="0"/>
          <w:marBottom w:val="0"/>
          <w:divBdr>
            <w:top w:val="none" w:sz="0" w:space="0" w:color="auto"/>
            <w:left w:val="none" w:sz="0" w:space="0" w:color="auto"/>
            <w:bottom w:val="none" w:sz="0" w:space="0" w:color="auto"/>
            <w:right w:val="none" w:sz="0" w:space="0" w:color="auto"/>
          </w:divBdr>
        </w:div>
      </w:divsChild>
    </w:div>
    <w:div w:id="1130443531">
      <w:bodyDiv w:val="1"/>
      <w:marLeft w:val="0"/>
      <w:marRight w:val="0"/>
      <w:marTop w:val="0"/>
      <w:marBottom w:val="0"/>
      <w:divBdr>
        <w:top w:val="none" w:sz="0" w:space="0" w:color="auto"/>
        <w:left w:val="none" w:sz="0" w:space="0" w:color="auto"/>
        <w:bottom w:val="none" w:sz="0" w:space="0" w:color="auto"/>
        <w:right w:val="none" w:sz="0" w:space="0" w:color="auto"/>
      </w:divBdr>
    </w:div>
    <w:div w:id="1189028738">
      <w:bodyDiv w:val="1"/>
      <w:marLeft w:val="0"/>
      <w:marRight w:val="0"/>
      <w:marTop w:val="0"/>
      <w:marBottom w:val="0"/>
      <w:divBdr>
        <w:top w:val="none" w:sz="0" w:space="0" w:color="auto"/>
        <w:left w:val="none" w:sz="0" w:space="0" w:color="auto"/>
        <w:bottom w:val="none" w:sz="0" w:space="0" w:color="auto"/>
        <w:right w:val="none" w:sz="0" w:space="0" w:color="auto"/>
      </w:divBdr>
      <w:divsChild>
        <w:div w:id="866412972">
          <w:marLeft w:val="0"/>
          <w:marRight w:val="0"/>
          <w:marTop w:val="0"/>
          <w:marBottom w:val="0"/>
          <w:divBdr>
            <w:top w:val="none" w:sz="0" w:space="0" w:color="auto"/>
            <w:left w:val="none" w:sz="0" w:space="0" w:color="auto"/>
            <w:bottom w:val="none" w:sz="0" w:space="0" w:color="auto"/>
            <w:right w:val="none" w:sz="0" w:space="0" w:color="auto"/>
          </w:divBdr>
        </w:div>
        <w:div w:id="1350372662">
          <w:marLeft w:val="0"/>
          <w:marRight w:val="0"/>
          <w:marTop w:val="0"/>
          <w:marBottom w:val="0"/>
          <w:divBdr>
            <w:top w:val="none" w:sz="0" w:space="0" w:color="auto"/>
            <w:left w:val="none" w:sz="0" w:space="0" w:color="auto"/>
            <w:bottom w:val="none" w:sz="0" w:space="0" w:color="auto"/>
            <w:right w:val="none" w:sz="0" w:space="0" w:color="auto"/>
          </w:divBdr>
        </w:div>
        <w:div w:id="1457065930">
          <w:marLeft w:val="0"/>
          <w:marRight w:val="0"/>
          <w:marTop w:val="0"/>
          <w:marBottom w:val="0"/>
          <w:divBdr>
            <w:top w:val="none" w:sz="0" w:space="0" w:color="auto"/>
            <w:left w:val="none" w:sz="0" w:space="0" w:color="auto"/>
            <w:bottom w:val="none" w:sz="0" w:space="0" w:color="auto"/>
            <w:right w:val="none" w:sz="0" w:space="0" w:color="auto"/>
          </w:divBdr>
        </w:div>
      </w:divsChild>
    </w:div>
    <w:div w:id="1273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D197-D64D-4E9E-A0CA-979AFAEBE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1354</Words>
  <Characters>7722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FEVRE Cecile</dc:creator>
  <cp:lastModifiedBy>DESCULTU, Andreea</cp:lastModifiedBy>
  <cp:revision>5</cp:revision>
  <cp:lastPrinted>2019-07-18T11:34:00Z</cp:lastPrinted>
  <dcterms:created xsi:type="dcterms:W3CDTF">2019-07-18T13:11:00Z</dcterms:created>
  <dcterms:modified xsi:type="dcterms:W3CDTF">2019-07-25T14:00:00Z</dcterms:modified>
</cp:coreProperties>
</file>