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Pr="00331877" w:rsidRDefault="00FA2F25" w:rsidP="00FA2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331877">
        <w:rPr>
          <w:rFonts w:ascii="Courier New" w:hAnsi="Courier New" w:cs="Courier New"/>
          <w:sz w:val="20"/>
          <w:szCs w:val="20"/>
        </w:rPr>
        <w:t>1. ---</w:t>
      </w:r>
      <w:r w:rsidR="00331877">
        <w:rPr>
          <w:rFonts w:ascii="Courier New" w:hAnsi="Courier New" w:cs="Courier New"/>
          <w:sz w:val="20"/>
          <w:szCs w:val="20"/>
        </w:rPr>
        <w:t>---IND- 2017 0370 IRL</w:t>
      </w:r>
      <w:bookmarkStart w:id="0" w:name="_GoBack"/>
      <w:bookmarkEnd w:id="0"/>
      <w:r w:rsidRPr="00331877">
        <w:rPr>
          <w:rFonts w:ascii="Courier New" w:hAnsi="Courier New" w:cs="Courier New"/>
          <w:sz w:val="20"/>
          <w:szCs w:val="20"/>
        </w:rPr>
        <w:t xml:space="preserve"> SL- ------ </w:t>
      </w:r>
      <w:r w:rsidRPr="00331877">
        <w:rPr>
          <w:rFonts w:ascii="Courier New" w:hAnsi="Courier New" w:cs="Courier New"/>
          <w:color w:val="000000"/>
          <w:sz w:val="20"/>
          <w:szCs w:val="20"/>
        </w:rPr>
        <w:t>20201030</w:t>
      </w:r>
      <w:r w:rsidRPr="00331877">
        <w:rPr>
          <w:rFonts w:ascii="Courier New" w:hAnsi="Courier New" w:cs="Courier New"/>
          <w:sz w:val="20"/>
          <w:szCs w:val="20"/>
        </w:rPr>
        <w:t xml:space="preserve"> --- --- FINAL</w:t>
      </w:r>
      <w:r w:rsidRPr="00331877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Podzakonski akt št. 260/2020 – Predpisi iz leta 2020 o Zakonu o onesnaževanju zraka (trženje, prodaja, distribucija in uporaba določenih goriv) (sprememba).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Jaz, Eamon Ryan, minister za komuniciranje, podnebne ukrepe in okolje, ob izvajanju pristojnosti, ki so dodeljene ministru za okolje in lokalne upravo na podlagi </w:t>
      </w:r>
      <w:hyperlink r:id="rId10" w:anchor="sec10" w:history="1">
        <w:r>
          <w:rPr>
            <w:rStyle w:val="Hyperlink"/>
          </w:rPr>
          <w:t>oddelkov 10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</w:t>
        </w:r>
      </w:hyperlink>
      <w:r>
        <w:t xml:space="preserve"> in </w:t>
      </w:r>
      <w:hyperlink r:id="rId12" w:anchor="sec53" w:history="1">
        <w:r>
          <w:rPr>
            <w:rStyle w:val="Hyperlink"/>
          </w:rPr>
          <w:t>53</w:t>
        </w:r>
      </w:hyperlink>
      <w:r>
        <w:t xml:space="preserve"> </w:t>
      </w:r>
      <w:hyperlink r:id="rId13" w:history="1">
        <w:r>
          <w:rPr>
            <w:rStyle w:val="Hyperlink"/>
          </w:rPr>
          <w:t>Zakona o onesnaževanju zraka iz leta 1987</w:t>
        </w:r>
      </w:hyperlink>
      <w:r>
        <w:t xml:space="preserve"> (št. 6 iz leta 1987) (kakor je bil spremenjen), s tem dokumentom določam naslednje predpise: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Navajanje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Na te predpise se lahko sklicuje kot na Predpise iz leta 2020 o Zakonu o onesnaževanju zraka (trženje, prodaja, distribucija in uporaba določenih goriv) (sprememba).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Začetek veljavnosti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Ti predpisi začnejo veljati 1. septembra 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Spremembe predpisov iz leta 2012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Dodatek 1 k Predpisom iz leta 2012 o Zakonu o onesnaževanju zraka (trženje, prodaja, distribucija in uporaba določenih goriv) (</w:t>
      </w:r>
      <w:hyperlink r:id="rId14" w:history="1">
        <w:r>
          <w:rPr>
            <w:rStyle w:val="Hyperlink"/>
          </w:rPr>
          <w:t>Podzakonski akt št. 326 iz leta 2012</w:t>
        </w:r>
      </w:hyperlink>
      <w:r>
        <w:t>) (kakor je bil spremenjen) se spremeni z dodatkom naslednjih upravnih enot v določeno območje mesta Cork: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V volilni enoti Carrigtwohill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Dodatek 2 k Predpisom iz leta 2012 o Zakonu o onesnaževanju zraka (trženje, prodaja, distribucija in uporaba določenih goriv) (</w:t>
      </w:r>
      <w:hyperlink r:id="rId15" w:history="1">
        <w:r>
          <w:rPr>
            <w:rStyle w:val="Hyperlink"/>
          </w:rPr>
          <w:t>Podzakonski akt št. 326 iz leta 2012</w:t>
        </w:r>
      </w:hyperlink>
      <w:r>
        <w:t>) (kakor je bil spremenjen) se spremeni z dodatkom naslednjega: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DOLOČENA OBMOČJA, NA KATERIH OD 1. SEPTEMBRA 2020 VELJA PREPOVED PRODAJE, TRŽENJA, DISTRIBUCIJE IN UPORABE DOLOČENIH GORIV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DOLOČENO OBMOČJE MESTA ASHBOURNE</w:t>
      </w:r>
    </w:p>
    <w:p w:rsidR="00AE64A3" w:rsidRPr="00C42427" w:rsidRDefault="00AE64A3" w:rsidP="00801569">
      <w:pPr>
        <w:keepNext/>
      </w:pPr>
      <w:r>
        <w:t>Mesto Ashbourne in njegova okolica v okrožju Meath, ki vključuje naslednja območja: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V volilni enoti Kilbrew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Ratoath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V volilni enoti Donaghmore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(del)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(del)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DOLOČENO OBMOČJE MESTA BALLINA</w:t>
      </w:r>
    </w:p>
    <w:p w:rsidR="00AE64A3" w:rsidRPr="00C42427" w:rsidRDefault="00AE64A3" w:rsidP="00801569">
      <w:pPr>
        <w:keepNext/>
      </w:pPr>
      <w:r>
        <w:t>Mesto Ballina in njegova okolica v okrožju Mayo, ki vključuje naslednja območja: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Volilni enoti: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mestno območje Ballina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mestno območje Ardnaree jug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podeželskega območja Ballina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V volilni enoti podeželskega območja Ardnaree jug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ali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ali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območja Ardnaree sever naslednjo upravno enoto: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DOLOČENO OBMOČJE MESTA CASTLEBAR</w:t>
      </w:r>
    </w:p>
    <w:p w:rsidR="00AE64A3" w:rsidRPr="00C42427" w:rsidRDefault="00AE64A3" w:rsidP="00801569">
      <w:pPr>
        <w:keepNext/>
      </w:pPr>
      <w:r>
        <w:t>Mesto Castlebar in njegova okolica v okrožju Mayo, ki vključuje naslednja območja: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Volilno enoto: —</w:t>
      </w:r>
    </w:p>
    <w:p w:rsidR="00AE64A3" w:rsidRPr="00C42427" w:rsidRDefault="004B7B67" w:rsidP="00225B28">
      <w:r>
        <w:t>mestno območje Castlebar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podeželskega območja Castlebar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sever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jug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V volilni enoti Breahhwy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DOLOČENO OBMOČJE MESTA CAVAN</w:t>
      </w:r>
    </w:p>
    <w:p w:rsidR="00AE64A3" w:rsidRPr="00C42427" w:rsidRDefault="00AE64A3" w:rsidP="00801569">
      <w:pPr>
        <w:keepNext/>
      </w:pPr>
      <w:r>
        <w:t>Mesto Cavan in njegova okolica v okrožju Cavan, ki vključuje naslednja območja: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Volilno enoto: —</w:t>
      </w:r>
    </w:p>
    <w:p w:rsidR="00AE64A3" w:rsidRPr="00C42427" w:rsidRDefault="00453EBD" w:rsidP="00225B28">
      <w:r>
        <w:t>mestno območje Cavan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podeželskega območja Cavan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del upravne enote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del upravne enote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V volilni enoti Moynehall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ali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DOLOČENO OBMOČJE MESTA COBH</w:t>
      </w:r>
    </w:p>
    <w:p w:rsidR="00AE64A3" w:rsidRPr="00C42427" w:rsidRDefault="00AE64A3" w:rsidP="00801569">
      <w:pPr>
        <w:keepNext/>
      </w:pPr>
      <w:r>
        <w:t>Mesto Cobh in njegova okolica v okrožju Cork, ki vključuje naslednja območja: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Volilno enoto:</w:t>
      </w:r>
    </w:p>
    <w:p w:rsidR="00AE64A3" w:rsidRPr="00C42427" w:rsidRDefault="00453EBD" w:rsidP="00225B28">
      <w:r>
        <w:t>mestno območje Cobh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podeželskega območja Cobh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DOLOČENO OBMOČJE MESTA ENNISCORTHY</w:t>
      </w:r>
    </w:p>
    <w:p w:rsidR="00AE64A3" w:rsidRPr="00C42427" w:rsidRDefault="00AE64A3" w:rsidP="00801569">
      <w:pPr>
        <w:keepNext/>
      </w:pPr>
      <w:r>
        <w:t>Mesto Enniscorthy in njegova okolica v okrožju Wexford, ki vključuje naslednja območja: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Volilni enoti: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mestno območje Enniscorthy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podeželsko območje Enniscorthy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V volilni enoti podeželskega območja The Leap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Killoughrim naslednjo upravno enoto: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V volilni enoti Marshalstown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sever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jug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DOLOČENO OBMOČJE MESTA KILLARNEY</w:t>
      </w:r>
    </w:p>
    <w:p w:rsidR="00203014" w:rsidRPr="00C42427" w:rsidRDefault="00203014" w:rsidP="00801569">
      <w:pPr>
        <w:keepNext/>
        <w:jc w:val="both"/>
      </w:pPr>
      <w:r>
        <w:t>Mesto Killarney in njegova okolica v okrožju Kerry, ki vključuje naslednja območja: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Volilni enoti: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mestno območje Killarney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podeželsko območje Killarney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>V volilni enoti Muckross naslednjo upravno enoto: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V volilni enoti Kilcummin naslednjo upravno enoto: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DOLOČENO OBMOČJE MESTA LONGFORD</w:t>
      </w:r>
    </w:p>
    <w:p w:rsidR="00AE64A3" w:rsidRPr="00C42427" w:rsidRDefault="00AE64A3" w:rsidP="00801569">
      <w:pPr>
        <w:keepNext/>
      </w:pPr>
      <w:r>
        <w:t>Mesto Longford in njegova okolica v okrožju Longford , ki vključuje naslednja območja: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Volilni enoti: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mestno območje Longord št. 1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mestno območje Longord št. 2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V volilni enoti podeželskega območja Longford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V volilni enoti Caldragh naslednji upravni enoti: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DOLOČENO OBMOČJE MESTA MALLOW</w:t>
      </w:r>
    </w:p>
    <w:p w:rsidR="00AE64A3" w:rsidRPr="00C42427" w:rsidRDefault="00AE64A3" w:rsidP="00801569">
      <w:pPr>
        <w:keepNext/>
      </w:pPr>
      <w:r>
        <w:t>Mesto Mallow in njegova okolica v okrožju Cork, ki vključuje naslednja območja: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Volilni enoti: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mestno območje Mallow sever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mestno območje Mallow jug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podeželskega območja Mallow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jug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vzhod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Ballyclogh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zahod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Ballynamona naslednjo upravno enoto: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V volilni enoti Carrig naslednji upravni enoti: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Dromore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sever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jug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sever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jug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vzhod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zahod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Kilshannig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DOLOČENO OBMOČJE MESTA MIDLETON</w:t>
      </w:r>
    </w:p>
    <w:p w:rsidR="00AE64A3" w:rsidRPr="00C42427" w:rsidRDefault="00AE64A3" w:rsidP="00801569">
      <w:pPr>
        <w:keepNext/>
      </w:pPr>
      <w:r>
        <w:t>Mesto Midleton in njegova okolica v okrožju Cork, ki vključuje naslednja območja: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Volilno enoto: —</w:t>
      </w:r>
    </w:p>
    <w:p w:rsidR="00AE64A3" w:rsidRPr="00C42427" w:rsidRDefault="00AE64A3" w:rsidP="00225B28">
      <w:r>
        <w:t>mestno območje Midleton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podeželskega območja Midleton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vzhod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zahod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vzhod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zahod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vzhod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zahod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sever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jug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 volilni enoti Cloyne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vzhod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zahod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DOLOČENO OBMOČJE MESTA TRAMORE</w:t>
      </w:r>
    </w:p>
    <w:p w:rsidR="002408DF" w:rsidRPr="00C42427" w:rsidRDefault="002408DF" w:rsidP="00801569">
      <w:pPr>
        <w:keepNext/>
      </w:pPr>
      <w:r>
        <w:t>Mesto Tramore in njegova okolica v okrožju Waterford, ki vključuje naslednja območja: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Volilni enoti: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V volilni enoti Islandikane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jug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V volilni enoti Kilmacleague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vzhod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zahod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V volilni enoti Rathmoylan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DOLOČENO OBMOČJE MESTA TULLAMORE</w:t>
      </w:r>
    </w:p>
    <w:p w:rsidR="002408DF" w:rsidRPr="00C42427" w:rsidRDefault="002408DF" w:rsidP="00801569">
      <w:pPr>
        <w:keepNext/>
      </w:pPr>
      <w:r>
        <w:t>Mesto Tullamore in njegova okolica v okrožju Offaly, ki vključuje naslednja območja: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Volilno enoto: —</w:t>
      </w:r>
    </w:p>
    <w:p w:rsidR="002408DF" w:rsidRPr="00C42427" w:rsidRDefault="002408DF" w:rsidP="00225B28">
      <w:r>
        <w:t>mestno območje Tullamore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V volilni enoti podeželskega območja Tullamore naslednje upravne enote: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V volilni enoti Durrow naslednjo upravno enoto: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V volilni enoti Cappancur naslednjo upravno enoto: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V volilni enoti Tinnycross naslednjo upravno enoto: —</w:t>
      </w:r>
    </w:p>
    <w:p w:rsidR="002408DF" w:rsidRPr="00C42427" w:rsidRDefault="002408DF" w:rsidP="00225B28">
      <w:r>
        <w:t>Derrynagall ali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PODANO z uradnim pečatom ministra za komuniciranje, podnebne ukrepe in okolje</w:t>
      </w:r>
    </w:p>
    <w:p w:rsidR="00B94CAB" w:rsidRPr="00C42427" w:rsidRDefault="00765DBC" w:rsidP="00225B28">
      <w:pPr>
        <w:jc w:val="both"/>
      </w:pPr>
      <w:r>
        <w:t>22. julij 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Minister za komuniciranje, podnebne ukrepe in okolje</w:t>
      </w:r>
    </w:p>
    <w:p w:rsidR="00B94CAB" w:rsidRPr="00C42427" w:rsidRDefault="00B94CAB" w:rsidP="00C42427">
      <w:pPr>
        <w:pageBreakBefore/>
        <w:jc w:val="center"/>
      </w:pPr>
      <w:r>
        <w:t>OBRAZLOŽITEV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(Ta obrazložitev ni del akta in ne predstavlja pravne razlage).</w:t>
      </w:r>
    </w:p>
    <w:p w:rsidR="00B94CAB" w:rsidRPr="00C42427" w:rsidRDefault="00B94CAB" w:rsidP="00225B28">
      <w:pPr>
        <w:jc w:val="both"/>
      </w:pPr>
      <w:r>
        <w:t>Ti predpisi spreminjajo Predpise iz leta 2012 o Zakonu o onesnaževanju zraka (trženje, prodaja, distribucija in uporaba določenih goriv) (</w:t>
      </w:r>
      <w:hyperlink r:id="rId16" w:history="1">
        <w:r>
          <w:rPr>
            <w:rStyle w:val="Hyperlink"/>
          </w:rPr>
          <w:t>Podzakonski akt št. 326 iz leta 2012</w:t>
        </w:r>
      </w:hyperlink>
      <w:r>
        <w:t>) (kakor je bil spremenjen).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S temi predpisi je uvedena prepoved trženja, prodaje, distribucije in uporabe določenih goriv v določenih območjih Ashbourne, Ballina, Castlebar, Cavan, Cobh, Enniscorthy, Killarney, Longford, Mallow, Midleton, Tramore in Tullamore, ki velja od 1. septembra 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S temi predpisi je tudi razširjeno določeno območje mesta Cork, tako da od 1. septembra 2020 vključuje nekatere druge določene upravne enote v volilni enoti Carrigtwohill.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44" w:rsidRDefault="001B7A44" w:rsidP="006A6CB0">
      <w:pPr>
        <w:spacing w:after="0" w:line="240" w:lineRule="auto"/>
      </w:pPr>
      <w:r>
        <w:separator/>
      </w:r>
    </w:p>
  </w:endnote>
  <w:endnote w:type="continuationSeparator" w:id="0">
    <w:p w:rsidR="001B7A44" w:rsidRDefault="001B7A44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44" w:rsidRDefault="001B7A44" w:rsidP="006A6CB0">
      <w:pPr>
        <w:spacing w:after="0" w:line="240" w:lineRule="auto"/>
      </w:pPr>
      <w:r>
        <w:separator/>
      </w:r>
    </w:p>
  </w:footnote>
  <w:footnote w:type="continuationSeparator" w:id="0">
    <w:p w:rsidR="001B7A44" w:rsidRDefault="001B7A44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B7A44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3187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Liu, Lei</cp:lastModifiedBy>
  <cp:revision>12</cp:revision>
  <dcterms:created xsi:type="dcterms:W3CDTF">2020-08-28T10:25:00Z</dcterms:created>
  <dcterms:modified xsi:type="dcterms:W3CDTF">2020-10-21T02:17:00Z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