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2442" w:rsidRPr="008F61B0" w:rsidRDefault="003D2442" w:rsidP="003D2442">
      <w:pPr>
        <w:pStyle w:val="PlainText"/>
        <w:rPr>
          <w:sz w:val="20"/>
          <w:szCs w:val="20"/>
          <w:rFonts w:ascii="Courier New" w:hAnsi="Courier New" w:cs="Courier New"/>
        </w:rPr>
      </w:pPr>
      <w:r>
        <w:rPr>
          <w:sz w:val="20"/>
          <w:szCs w:val="20"/>
          <w:rFonts w:ascii="Courier New" w:hAnsi="Courier New"/>
        </w:rPr>
        <w:t xml:space="preserve">1.</w:t>
      </w:r>
      <w:r>
        <w:rPr>
          <w:sz w:val="20"/>
          <w:szCs w:val="20"/>
          <w:rFonts w:ascii="Courier New" w:hAnsi="Courier New"/>
        </w:rPr>
        <w:t xml:space="preserve"> </w:t>
      </w:r>
      <w:r>
        <w:rPr>
          <w:sz w:val="20"/>
          <w:szCs w:val="20"/>
          <w:rFonts w:ascii="Courier New" w:hAnsi="Courier New"/>
        </w:rPr>
        <w:t xml:space="preserve">------IND- 2017 0577 SK- NL- ------ 20200420 --- --- FINAL</w:t>
      </w:r>
      <w:r>
        <w:rPr>
          <w:sz w:val="20"/>
          <w:szCs w:val="20"/>
          <w:rFonts w:ascii="Courier New" w:hAnsi="Courier New"/>
        </w:rPr>
        <w:t xml:space="preserve"> </w:t>
      </w:r>
    </w:p>
    <w:p w:rsidR="00041EC6" w:rsidRPr="00607BD8" w:rsidRDefault="00416377" w:rsidP="00126847">
      <w:pPr>
        <w:spacing w:before="6"/>
        <w:ind w:left="21" w:right="30"/>
        <w:jc w:val="center"/>
        <w:rPr>
          <w:sz w:val="46"/>
        </w:rPr>
      </w:pPr>
      <w:r>
        <w:t xml:space="preserve">STAATSBLAD </w:t>
      </w:r>
      <w:r>
        <w:drawing>
          <wp:inline distT="0" distB="0" distL="0" distR="0">
            <wp:extent cx="359968" cy="435152"/>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359968" cy="435152"/>
                    </a:xfrm>
                    <a:prstGeom prst="rect">
                      <a:avLst/>
                    </a:prstGeom>
                  </pic:spPr>
                </pic:pic>
              </a:graphicData>
            </a:graphic>
          </wp:inline>
        </w:drawing>
      </w:r>
    </w:p>
    <w:p w:rsidR="00041EC6" w:rsidRPr="00607BD8" w:rsidRDefault="00416377" w:rsidP="00126847">
      <w:pPr>
        <w:spacing w:before="66"/>
        <w:ind w:left="105" w:right="30"/>
        <w:jc w:val="center"/>
        <w:rPr>
          <w:sz w:val="34"/>
        </w:rPr>
      </w:pPr>
      <w:r>
        <w:rPr>
          <w:sz w:val="34"/>
        </w:rPr>
        <w:t xml:space="preserve">VAN DE SLOWAAKSE REPUBLIEK</w:t>
      </w:r>
    </w:p>
    <w:p w:rsidR="00041EC6" w:rsidRPr="00607BD8" w:rsidRDefault="00416377" w:rsidP="00126847">
      <w:pPr>
        <w:spacing w:before="216"/>
        <w:ind w:left="105" w:right="30"/>
        <w:jc w:val="center"/>
        <w:rPr>
          <w:sz w:val="28"/>
        </w:rPr>
      </w:pPr>
      <w:r>
        <w:rPr>
          <w:sz w:val="28"/>
        </w:rPr>
        <w:t xml:space="preserve">Volume 2018</w:t>
      </w:r>
    </w:p>
    <w:p w:rsidR="0047341B" w:rsidRPr="00607BD8" w:rsidRDefault="00416377" w:rsidP="00126847">
      <w:pPr>
        <w:pBdr>
          <w:top w:val="single" w:sz="8" w:space="1" w:color="auto"/>
        </w:pBdr>
        <w:tabs>
          <w:tab w:val="right" w:pos="9000"/>
        </w:tabs>
        <w:spacing w:before="38" w:line="403" w:lineRule="auto"/>
        <w:ind w:left="105" w:right="30"/>
      </w:pPr>
      <w:r>
        <w:t xml:space="preserve">Bekendgemaakt</w:t>
      </w:r>
      <w:r>
        <w:t xml:space="preserve"> </w:t>
      </w:r>
      <w:r>
        <w:t xml:space="preserve">17 augustus 2018</w:t>
        <w:tab/>
        <w:t xml:space="preserve">Inwerkingtreding van de wetgeving tussen:</w:t>
      </w:r>
      <w:r>
        <w:t xml:space="preserve"> </w:t>
      </w:r>
      <w:r>
        <w:t xml:space="preserve">1 september 2018</w:t>
      </w:r>
    </w:p>
    <w:p w:rsidR="00041EC6" w:rsidRPr="00607BD8" w:rsidRDefault="00416377" w:rsidP="00D705A5">
      <w:pPr>
        <w:tabs>
          <w:tab w:val="left" w:pos="4991"/>
        </w:tabs>
        <w:spacing w:before="38" w:line="403" w:lineRule="auto"/>
        <w:jc w:val="center"/>
      </w:pPr>
      <w:r>
        <w:t xml:space="preserve">De inhoud van dit document is juridisch bindend.</w:t>
      </w:r>
    </w:p>
    <w:p w:rsidR="00041EC6" w:rsidRPr="00607BD8" w:rsidRDefault="00416377" w:rsidP="00126847">
      <w:pPr>
        <w:pStyle w:val="BodyText"/>
        <w:spacing w:before="171"/>
        <w:ind w:right="30"/>
        <w:jc w:val="center"/>
        <w:rPr>
          <w:b/>
        </w:rPr>
      </w:pPr>
      <w:r>
        <w:rPr>
          <w:b/>
        </w:rPr>
        <w:t xml:space="preserve">237</w:t>
      </w:r>
    </w:p>
    <w:p w:rsidR="00041EC6" w:rsidRPr="00607BD8" w:rsidRDefault="00416377" w:rsidP="00126847">
      <w:pPr>
        <w:pStyle w:val="BodyText"/>
        <w:spacing w:before="129"/>
        <w:ind w:right="30"/>
        <w:jc w:val="center"/>
        <w:rPr>
          <w:b/>
        </w:rPr>
      </w:pPr>
      <w:r>
        <w:rPr>
          <w:b/>
        </w:rPr>
        <w:t xml:space="preserve">U I T V O E R I N G S D E C R E E T</w:t>
      </w:r>
    </w:p>
    <w:p w:rsidR="00041EC6" w:rsidRPr="00607BD8" w:rsidRDefault="00416377" w:rsidP="00126847">
      <w:pPr>
        <w:pStyle w:val="BodyText"/>
        <w:spacing w:before="62"/>
        <w:ind w:right="30"/>
        <w:jc w:val="center"/>
        <w:rPr>
          <w:b/>
        </w:rPr>
      </w:pPr>
      <w:r>
        <w:rPr>
          <w:b/>
        </w:rPr>
        <w:t xml:space="preserve">van het Ministerie van Landbouw en Plattelandsontwikkeling van de Slowaakse Republiek</w:t>
      </w:r>
    </w:p>
    <w:p w:rsidR="00041EC6" w:rsidRPr="00607BD8" w:rsidRDefault="00416377" w:rsidP="00126847">
      <w:pPr>
        <w:pStyle w:val="BodyText"/>
        <w:spacing w:before="88"/>
        <w:ind w:right="30"/>
        <w:jc w:val="center"/>
      </w:pPr>
      <w:r>
        <w:t xml:space="preserve">van 6 augustus 2018</w:t>
      </w:r>
    </w:p>
    <w:p w:rsidR="00041EC6" w:rsidRPr="00607BD8" w:rsidRDefault="00416377" w:rsidP="00607BD8">
      <w:pPr>
        <w:pStyle w:val="BodyText"/>
        <w:spacing w:before="93" w:line="244" w:lineRule="auto"/>
        <w:ind w:right="30"/>
        <w:jc w:val="center"/>
        <w:rPr>
          <w:b/>
        </w:rPr>
      </w:pPr>
      <w:r>
        <w:rPr>
          <w:b/>
        </w:rPr>
        <w:t xml:space="preserve">tot wijziging van uitvoeringsbesluit nr. 24/2014 van het Ministerie van Landbouw en Plattelandsontwikkeling van de Slowaakse Republiek betreffende bakkerijproducten, banketbakkersproducten en pasta, zoals gewijzigd bij uitvoeringsbesluit nr. 66/2015.</w:t>
      </w:r>
    </w:p>
    <w:p w:rsidR="00041EC6" w:rsidRPr="00607BD8" w:rsidRDefault="00041EC6" w:rsidP="00126847">
      <w:pPr>
        <w:pStyle w:val="BodyText"/>
        <w:ind w:right="30"/>
        <w:rPr>
          <w:b/>
          <w:sz w:val="28"/>
        </w:rPr>
      </w:pPr>
    </w:p>
    <w:p w:rsidR="00041EC6" w:rsidRPr="00607BD8" w:rsidRDefault="00041EC6" w:rsidP="00126847">
      <w:pPr>
        <w:pStyle w:val="BodyText"/>
        <w:spacing w:before="9"/>
        <w:ind w:right="30"/>
        <w:rPr>
          <w:b/>
          <w:sz w:val="31"/>
        </w:rPr>
      </w:pPr>
    </w:p>
    <w:p w:rsidR="00041EC6" w:rsidRPr="00607BD8" w:rsidRDefault="00416377" w:rsidP="00126847">
      <w:pPr>
        <w:pStyle w:val="BodyText"/>
        <w:spacing w:before="1" w:line="244" w:lineRule="auto"/>
        <w:ind w:left="105" w:right="30" w:firstLine="226"/>
        <w:jc w:val="both"/>
      </w:pPr>
      <w:r>
        <w:t xml:space="preserve">Krachtens § 3, lid 1, en § 30, lid 1, van wet nr. 152/1995 van de Nationale Raad van de Slowaakse Republiek inzake voedingsmiddelen, zoals gewijzigd, bepaalt het Ministerie van Landbouw en Plattelandsontwikkeling van de Slowaakse Republiek het volgende:</w:t>
      </w:r>
    </w:p>
    <w:p w:rsidR="00041EC6" w:rsidRPr="00607BD8" w:rsidRDefault="00416377" w:rsidP="00126847">
      <w:pPr>
        <w:pStyle w:val="BodyText"/>
        <w:spacing w:before="204"/>
        <w:ind w:left="105" w:right="30"/>
        <w:jc w:val="center"/>
        <w:rPr>
          <w:b/>
        </w:rPr>
      </w:pPr>
      <w:r>
        <w:rPr>
          <w:b/>
        </w:rPr>
        <w:t xml:space="preserve">Artikel I</w:t>
      </w:r>
    </w:p>
    <w:p w:rsidR="00041EC6" w:rsidRPr="00607BD8" w:rsidRDefault="00416377" w:rsidP="006E0124">
      <w:pPr>
        <w:pStyle w:val="BodyText"/>
        <w:spacing w:before="217"/>
        <w:ind w:left="90" w:right="30" w:firstLine="242"/>
      </w:pPr>
      <w:r>
        <w:t xml:space="preserve">Uitvoeringsbesluit nr. 24/2014 van het Ministerie van Landbouw en Plattelandsontwikkeling van de Slowaakse Republiek betreffende bakkerijproducten, banketbakkersproducten en pasta, zoals gewijzigd bij uitvoeringsbesluit nr. 66/2015, wordt als volgt gewijzigd:</w:t>
      </w:r>
    </w:p>
    <w:p w:rsidR="00041EC6" w:rsidRPr="00607BD8" w:rsidRDefault="00416377" w:rsidP="00126847">
      <w:pPr>
        <w:pStyle w:val="ListParagraph"/>
        <w:numPr>
          <w:ilvl w:val="0"/>
          <w:numId w:val="1"/>
        </w:numPr>
        <w:tabs>
          <w:tab w:val="left" w:pos="389"/>
        </w:tabs>
        <w:spacing w:before="120"/>
        <w:ind w:right="30"/>
        <w:rPr>
          <w:sz w:val="20"/>
        </w:rPr>
      </w:pPr>
      <w:r>
        <w:rPr>
          <w:sz w:val="20"/>
        </w:rPr>
        <w:t xml:space="preserve">In § 2, onder c), wordt “meer dan” vervangen door “ten minste”.</w:t>
      </w:r>
    </w:p>
    <w:p w:rsidR="00041EC6" w:rsidRPr="00607BD8" w:rsidRDefault="00416377" w:rsidP="00126847">
      <w:pPr>
        <w:pStyle w:val="ListParagraph"/>
        <w:numPr>
          <w:ilvl w:val="0"/>
          <w:numId w:val="1"/>
        </w:numPr>
        <w:tabs>
          <w:tab w:val="left" w:pos="389"/>
        </w:tabs>
        <w:ind w:right="30"/>
        <w:rPr>
          <w:sz w:val="20"/>
        </w:rPr>
      </w:pPr>
      <w:r>
        <w:rPr>
          <w:sz w:val="20"/>
        </w:rPr>
        <w:t xml:space="preserve">§ 2, letter i, komt als volgt te luiden:</w:t>
      </w:r>
    </w:p>
    <w:p w:rsidR="00041EC6" w:rsidRPr="00607BD8" w:rsidRDefault="00416377" w:rsidP="00126847">
      <w:pPr>
        <w:pStyle w:val="BodyText"/>
        <w:spacing w:before="106" w:line="244" w:lineRule="auto"/>
        <w:ind w:left="729" w:right="30" w:hanging="341"/>
        <w:jc w:val="both"/>
      </w:pPr>
      <w:r>
        <w:t xml:space="preserve">“i)</w:t>
        <w:tab/>
        <w:t xml:space="preserve">“vers bakkerijproduct”: bakkerijproduct dat is vervaardigd zonder gebruik van bewaarmiddelen, niet is voorgebakken en in het geval van brood binnen 24 uur na het bakken aan de consument wordt verkocht, of in het geval van gebak binnen 12 uur na het bakken”.</w:t>
      </w:r>
    </w:p>
    <w:p w:rsidR="00041EC6" w:rsidRPr="00607BD8" w:rsidRDefault="00416377" w:rsidP="00126847">
      <w:pPr>
        <w:pStyle w:val="ListParagraph"/>
        <w:numPr>
          <w:ilvl w:val="0"/>
          <w:numId w:val="1"/>
        </w:numPr>
        <w:tabs>
          <w:tab w:val="left" w:pos="389"/>
        </w:tabs>
        <w:spacing w:before="101"/>
        <w:ind w:right="30"/>
        <w:rPr>
          <w:sz w:val="20"/>
        </w:rPr>
      </w:pPr>
      <w:r>
        <w:rPr>
          <w:sz w:val="20"/>
        </w:rPr>
        <w:t xml:space="preserve">In de titel van § 5 wordt na het woord “producten” het volgende ingevoegd:</w:t>
      </w:r>
      <w:r>
        <w:rPr>
          <w:sz w:val="20"/>
        </w:rPr>
        <w:t xml:space="preserve"> </w:t>
      </w:r>
      <w:r>
        <w:rPr>
          <w:sz w:val="20"/>
        </w:rPr>
        <w:t xml:space="preserve">“en banketbakkersproducten”.</w:t>
      </w:r>
    </w:p>
    <w:p w:rsidR="00041EC6" w:rsidRPr="00607BD8" w:rsidRDefault="00416377" w:rsidP="00126847">
      <w:pPr>
        <w:pStyle w:val="ListParagraph"/>
        <w:numPr>
          <w:ilvl w:val="0"/>
          <w:numId w:val="1"/>
        </w:numPr>
        <w:tabs>
          <w:tab w:val="left" w:pos="389"/>
        </w:tabs>
        <w:ind w:right="30"/>
        <w:rPr>
          <w:sz w:val="20"/>
        </w:rPr>
      </w:pPr>
      <w:r>
        <w:rPr>
          <w:sz w:val="20"/>
        </w:rPr>
        <w:t xml:space="preserve">In § 5 worden de volgende leden 4 en 5 toegevoegd:</w:t>
      </w:r>
    </w:p>
    <w:p w:rsidR="00041EC6" w:rsidRPr="00607BD8" w:rsidRDefault="00416377" w:rsidP="00126847">
      <w:pPr>
        <w:pStyle w:val="BodyText"/>
        <w:spacing w:before="221" w:line="276" w:lineRule="auto"/>
        <w:ind w:left="388" w:right="30" w:firstLine="226"/>
        <w:jc w:val="both"/>
      </w:pPr>
      <w:r>
        <w:t xml:space="preserve">“(4) Verse bakkerijproducten en banketbakkersproducten moeten ruimtelijk zijn gescheiden van ontdooide producten en producten die zijn vervaardigd door het afbakken van een voorgebakken afgekoeld of voorgebakken ingevroren half afgewerkt product.</w:t>
      </w:r>
    </w:p>
    <w:p w:rsidR="00041EC6" w:rsidRPr="00607BD8" w:rsidRDefault="00416377" w:rsidP="00D705A5">
      <w:pPr>
        <w:pStyle w:val="BodyText"/>
        <w:spacing w:before="200" w:line="276" w:lineRule="auto"/>
        <w:ind w:left="388" w:right="30" w:firstLine="226"/>
        <w:jc w:val="both"/>
      </w:pPr>
      <w:r>
        <w:t xml:space="preserve">(5) Van zodra bakkerijproducten en banketbakkersproducten in de handel zijn gebracht, mogen ze niet worden ingevroren.”.</w:t>
      </w:r>
    </w:p>
    <w:p w:rsidR="00041EC6" w:rsidRPr="00607BD8" w:rsidRDefault="00416377" w:rsidP="00126847">
      <w:pPr>
        <w:pStyle w:val="ListParagraph"/>
        <w:numPr>
          <w:ilvl w:val="0"/>
          <w:numId w:val="1"/>
        </w:numPr>
        <w:tabs>
          <w:tab w:val="left" w:pos="389"/>
        </w:tabs>
        <w:spacing w:before="120"/>
        <w:ind w:right="30"/>
        <w:rPr>
          <w:sz w:val="20"/>
        </w:rPr>
      </w:pPr>
      <w:r>
        <w:rPr>
          <w:sz w:val="20"/>
        </w:rPr>
        <w:t xml:space="preserve">De bestaande tekst in § 6 wordt lid 1, en de volgende leden 2 en 3 worden toegevoegd:</w:t>
      </w:r>
    </w:p>
    <w:p w:rsidR="00041EC6" w:rsidRPr="00607BD8" w:rsidRDefault="00416377" w:rsidP="00126847">
      <w:pPr>
        <w:pStyle w:val="BodyText"/>
        <w:spacing w:before="220" w:line="276" w:lineRule="auto"/>
        <w:ind w:left="388" w:right="30" w:firstLine="226"/>
        <w:jc w:val="both"/>
      </w:pPr>
      <w:r>
        <w:t xml:space="preserve">“(2) Een niet-verpakt banketbakkersproduct dat door de handelaar in afgewerkte toestand is ingevroren, maar in ontdooide toestand aan de consument wordt aangeboden, moet in het verkooppunt duidelijk zijn gemarkeerd met het woord “ontdooid”.</w:t>
      </w:r>
    </w:p>
    <w:p w:rsidR="00041EC6" w:rsidRPr="00607BD8" w:rsidRDefault="00416377" w:rsidP="00126847">
      <w:pPr>
        <w:pStyle w:val="BodyText"/>
        <w:spacing w:before="200" w:line="276" w:lineRule="auto"/>
        <w:ind w:left="388" w:right="30" w:firstLine="226"/>
        <w:jc w:val="both"/>
      </w:pPr>
      <w:r>
        <w:t xml:space="preserve">(3) Een banketbakkersproduct dat is vervaardigd door het afbakken van een voorgebakken afgekoeld of voorgebakken ingevroren half afgewerkt product moet in het verkooppunt duidelijk zijn gemarkeerd met de woorden “vervaardigd door het afbakken van een afgekoeld half afgewerkt product” of met de woorden “vervaardigd door het afbakken van een ingevroren half afgewerkt product”.”.</w:t>
      </w:r>
    </w:p>
    <w:p w:rsidR="00041EC6" w:rsidRPr="00607BD8" w:rsidRDefault="00416377" w:rsidP="00126847">
      <w:pPr>
        <w:pStyle w:val="ListParagraph"/>
        <w:numPr>
          <w:ilvl w:val="0"/>
          <w:numId w:val="1"/>
        </w:numPr>
        <w:tabs>
          <w:tab w:val="left" w:pos="389"/>
        </w:tabs>
        <w:spacing w:before="85"/>
        <w:ind w:right="30"/>
        <w:rPr>
          <w:sz w:val="20"/>
        </w:rPr>
      </w:pPr>
      <w:r>
        <w:rPr>
          <w:sz w:val="20"/>
        </w:rPr>
        <w:t xml:space="preserve">§ 12, lid 2, wordt als volgt gewijzigd:</w:t>
      </w:r>
    </w:p>
    <w:p w:rsidR="00041EC6" w:rsidRPr="00607BD8" w:rsidRDefault="00416377" w:rsidP="00126847">
      <w:pPr>
        <w:pStyle w:val="BodyText"/>
        <w:spacing w:before="125" w:line="276" w:lineRule="auto"/>
        <w:ind w:left="388" w:right="30" w:firstLine="226"/>
        <w:jc w:val="both"/>
      </w:pPr>
      <w:r>
        <w:t xml:space="preserve">“(2) Dit uitvoeringsbesluit is goedgekeurd in overeenstemming met een juridisch bindende handeling van de Europese Unie op het gebied van technische voorschriften</w:t>
      </w:r>
      <w:r>
        <w:rPr>
          <w:vertAlign w:val="superscript"/>
        </w:rPr>
        <w:t xml:space="preserve">3)</w:t>
      </w:r>
      <w:r>
        <w:t xml:space="preserve">.)</w:t>
      </w:r>
    </w:p>
    <w:p w:rsidR="00041EC6" w:rsidRPr="00607BD8" w:rsidRDefault="00416377" w:rsidP="006E0124">
      <w:pPr>
        <w:pStyle w:val="BodyText"/>
        <w:spacing w:before="85"/>
        <w:ind w:left="360" w:right="30" w:firstLine="255"/>
        <w:jc w:val="both"/>
      </w:pPr>
      <w:r>
        <w:t xml:space="preserve">voetnoot 3 wordt luidt als volgt:</w:t>
      </w:r>
    </w:p>
    <w:p w:rsidR="00041EC6" w:rsidRPr="00607BD8" w:rsidRDefault="00416377" w:rsidP="00D705A5">
      <w:pPr>
        <w:pStyle w:val="BodyText"/>
        <w:spacing w:before="125" w:line="276" w:lineRule="auto"/>
        <w:ind w:left="388" w:right="30" w:firstLine="226"/>
        <w:jc w:val="both"/>
        <w:rPr>
          <w:sz w:val="18"/>
        </w:rPr>
      </w:pPr>
      <w:r>
        <w:t xml:space="preserve">“</w:t>
      </w:r>
      <w:r>
        <w:rPr>
          <w:vertAlign w:val="superscript"/>
        </w:rPr>
        <w:t xml:space="preserve">3)</w:t>
      </w:r>
      <w:r>
        <w:t xml:space="preserve"> Zie Richtlijn (EU) 2015/1535 van het Europees Parlement en de Raad van 9 september 2015 betreffende een informatieprocedure op het gebied van technische voorschriften en regels betreffende de diensten van de informatiemaatschappij.”</w:t>
      </w:r>
    </w:p>
    <w:p w:rsidR="00041EC6" w:rsidRPr="00607BD8" w:rsidRDefault="00416377" w:rsidP="00126847">
      <w:pPr>
        <w:pStyle w:val="BodyText"/>
        <w:spacing w:before="205"/>
        <w:ind w:left="105" w:right="30"/>
        <w:jc w:val="center"/>
        <w:rPr>
          <w:b/>
        </w:rPr>
      </w:pPr>
      <w:r>
        <w:rPr>
          <w:b/>
        </w:rPr>
        <w:t xml:space="preserve">Artikel II</w:t>
      </w:r>
    </w:p>
    <w:p w:rsidR="00041EC6" w:rsidRPr="00607BD8" w:rsidRDefault="00416377" w:rsidP="006E0124">
      <w:pPr>
        <w:pStyle w:val="BodyText"/>
        <w:spacing w:before="218"/>
        <w:ind w:left="90" w:right="30" w:firstLine="242"/>
      </w:pPr>
      <w:r>
        <w:t xml:space="preserve">Dit uitvoeringsbesluit treedt in werking op 1 september 2018.</w:t>
      </w:r>
    </w:p>
    <w:p w:rsidR="00041EC6" w:rsidRPr="00607BD8" w:rsidRDefault="00041EC6" w:rsidP="00126847">
      <w:pPr>
        <w:pStyle w:val="BodyText"/>
        <w:ind w:right="30"/>
        <w:rPr>
          <w:sz w:val="26"/>
        </w:rPr>
      </w:pPr>
    </w:p>
    <w:p w:rsidR="00041EC6" w:rsidRPr="00607BD8" w:rsidRDefault="00041EC6" w:rsidP="00126847">
      <w:pPr>
        <w:pStyle w:val="BodyText"/>
        <w:spacing w:before="3"/>
        <w:ind w:right="30"/>
        <w:rPr>
          <w:sz w:val="24"/>
        </w:rPr>
      </w:pPr>
    </w:p>
    <w:p w:rsidR="00041EC6" w:rsidRPr="00607BD8" w:rsidRDefault="00416377" w:rsidP="00126847">
      <w:pPr>
        <w:pStyle w:val="BodyText"/>
        <w:ind w:left="77" w:right="30"/>
        <w:jc w:val="center"/>
        <w:rPr>
          <w:b/>
        </w:rPr>
      </w:pPr>
      <w:r>
        <w:rPr>
          <w:b/>
        </w:rPr>
        <w:t xml:space="preserve">Anton Stredák, parlementslid, handelend bij volmacht</w:t>
      </w:r>
    </w:p>
    <w:p w:rsidR="00D03B97" w:rsidRPr="00607BD8" w:rsidRDefault="00D03B97" w:rsidP="00126847">
      <w:pPr>
        <w:pStyle w:val="BodyText"/>
        <w:ind w:right="30"/>
        <w:rPr>
          <w:b/>
        </w:rPr>
      </w:pPr>
      <w:r>
        <w:br w:type="page"/>
      </w:r>
    </w:p>
    <w:p w:rsidR="00041EC6" w:rsidRPr="00607BD8" w:rsidRDefault="00041EC6" w:rsidP="00126847">
      <w:pPr>
        <w:pStyle w:val="BodyText"/>
        <w:ind w:right="30"/>
        <w:rPr>
          <w:b/>
        </w:rPr>
      </w:pPr>
    </w:p>
    <w:p w:rsidR="00041EC6" w:rsidRPr="00607BD8" w:rsidRDefault="00041EC6" w:rsidP="00126847">
      <w:pPr>
        <w:pStyle w:val="BodyText"/>
        <w:ind w:right="30"/>
        <w:rPr>
          <w:b/>
        </w:rPr>
      </w:pPr>
    </w:p>
    <w:p w:rsidR="00041EC6" w:rsidRPr="00607BD8" w:rsidRDefault="00041EC6" w:rsidP="00126847">
      <w:pPr>
        <w:pStyle w:val="BodyText"/>
        <w:ind w:right="30"/>
        <w:rPr>
          <w:b/>
        </w:rPr>
      </w:pPr>
    </w:p>
    <w:p w:rsidR="00041EC6" w:rsidRPr="00607BD8" w:rsidRDefault="00041EC6" w:rsidP="00126847">
      <w:pPr>
        <w:pStyle w:val="BodyText"/>
        <w:ind w:right="30"/>
        <w:rPr>
          <w:b/>
        </w:rPr>
      </w:pPr>
    </w:p>
    <w:p w:rsidR="00041EC6" w:rsidRPr="00607BD8" w:rsidRDefault="00041EC6" w:rsidP="00126847">
      <w:pPr>
        <w:pStyle w:val="BodyText"/>
        <w:ind w:right="30"/>
        <w:rPr>
          <w:b/>
        </w:rPr>
      </w:pPr>
    </w:p>
    <w:p w:rsidR="00041EC6" w:rsidRPr="00607BD8" w:rsidRDefault="00041EC6" w:rsidP="00126847">
      <w:pPr>
        <w:pStyle w:val="BodyText"/>
        <w:ind w:right="30"/>
        <w:rPr>
          <w:b/>
        </w:rPr>
      </w:pPr>
    </w:p>
    <w:p w:rsidR="00041EC6" w:rsidRPr="00607BD8" w:rsidRDefault="00041EC6" w:rsidP="00126847">
      <w:pPr>
        <w:pStyle w:val="BodyText"/>
        <w:ind w:right="30"/>
        <w:rPr>
          <w:b/>
        </w:rPr>
      </w:pPr>
    </w:p>
    <w:p w:rsidR="00041EC6" w:rsidRPr="00607BD8" w:rsidRDefault="00041EC6" w:rsidP="00126847">
      <w:pPr>
        <w:pStyle w:val="BodyText"/>
        <w:ind w:right="30"/>
        <w:rPr>
          <w:b/>
        </w:rPr>
      </w:pPr>
    </w:p>
    <w:p w:rsidR="00041EC6" w:rsidRPr="00607BD8" w:rsidRDefault="00041EC6" w:rsidP="00126847">
      <w:pPr>
        <w:pStyle w:val="BodyText"/>
        <w:ind w:right="30"/>
        <w:rPr>
          <w:b/>
        </w:rPr>
      </w:pPr>
    </w:p>
    <w:p w:rsidR="00041EC6" w:rsidRPr="00607BD8" w:rsidRDefault="00041EC6" w:rsidP="00126847">
      <w:pPr>
        <w:pStyle w:val="BodyText"/>
        <w:ind w:right="30"/>
        <w:rPr>
          <w:b/>
        </w:rPr>
      </w:pPr>
    </w:p>
    <w:p w:rsidR="00041EC6" w:rsidRPr="00607BD8" w:rsidRDefault="00041EC6" w:rsidP="00126847">
      <w:pPr>
        <w:pStyle w:val="BodyText"/>
        <w:ind w:right="30"/>
        <w:rPr>
          <w:b/>
        </w:rPr>
      </w:pPr>
    </w:p>
    <w:p w:rsidR="00041EC6" w:rsidRPr="00607BD8" w:rsidRDefault="00041EC6" w:rsidP="00126847">
      <w:pPr>
        <w:pStyle w:val="BodyText"/>
        <w:ind w:right="30"/>
        <w:rPr>
          <w:b/>
        </w:rPr>
      </w:pPr>
    </w:p>
    <w:p w:rsidR="00041EC6" w:rsidRPr="00607BD8" w:rsidRDefault="00041EC6" w:rsidP="00126847">
      <w:pPr>
        <w:pStyle w:val="BodyText"/>
        <w:ind w:right="30"/>
        <w:rPr>
          <w:b/>
        </w:rPr>
      </w:pPr>
    </w:p>
    <w:p w:rsidR="00041EC6" w:rsidRPr="00607BD8" w:rsidRDefault="00041EC6" w:rsidP="00126847">
      <w:pPr>
        <w:pStyle w:val="BodyText"/>
        <w:ind w:right="30"/>
        <w:rPr>
          <w:b/>
        </w:rPr>
      </w:pPr>
    </w:p>
    <w:p w:rsidR="00041EC6" w:rsidRPr="00607BD8" w:rsidRDefault="00041EC6" w:rsidP="00126847">
      <w:pPr>
        <w:pStyle w:val="BodyText"/>
        <w:ind w:right="30"/>
        <w:rPr>
          <w:b/>
        </w:rPr>
      </w:pPr>
    </w:p>
    <w:p w:rsidR="00041EC6" w:rsidRPr="00607BD8" w:rsidRDefault="00041EC6" w:rsidP="00126847">
      <w:pPr>
        <w:pStyle w:val="BodyText"/>
        <w:ind w:right="30"/>
        <w:rPr>
          <w:b/>
        </w:rPr>
      </w:pPr>
    </w:p>
    <w:p w:rsidR="00041EC6" w:rsidRPr="00607BD8" w:rsidRDefault="00041EC6" w:rsidP="00126847">
      <w:pPr>
        <w:pStyle w:val="BodyText"/>
        <w:ind w:right="30"/>
        <w:rPr>
          <w:b/>
        </w:rPr>
      </w:pPr>
    </w:p>
    <w:p w:rsidR="00041EC6" w:rsidRPr="00607BD8" w:rsidRDefault="00041EC6" w:rsidP="00126847">
      <w:pPr>
        <w:pStyle w:val="BodyText"/>
        <w:ind w:right="30"/>
        <w:rPr>
          <w:b/>
        </w:rPr>
      </w:pPr>
    </w:p>
    <w:p w:rsidR="00041EC6" w:rsidRPr="00607BD8" w:rsidRDefault="00041EC6" w:rsidP="00126847">
      <w:pPr>
        <w:pStyle w:val="BodyText"/>
        <w:ind w:right="30"/>
        <w:rPr>
          <w:b/>
        </w:rPr>
      </w:pPr>
    </w:p>
    <w:p w:rsidR="00041EC6" w:rsidRPr="00607BD8" w:rsidRDefault="00041EC6" w:rsidP="00126847">
      <w:pPr>
        <w:pStyle w:val="BodyText"/>
        <w:ind w:right="30"/>
        <w:rPr>
          <w:b/>
        </w:rPr>
      </w:pPr>
    </w:p>
    <w:p w:rsidR="00041EC6" w:rsidRPr="00607BD8" w:rsidRDefault="00041EC6" w:rsidP="00126847">
      <w:pPr>
        <w:pStyle w:val="BodyText"/>
        <w:ind w:right="30"/>
        <w:rPr>
          <w:b/>
        </w:rPr>
      </w:pPr>
    </w:p>
    <w:p w:rsidR="00041EC6" w:rsidRPr="00607BD8" w:rsidRDefault="00041EC6" w:rsidP="00126847">
      <w:pPr>
        <w:pStyle w:val="BodyText"/>
        <w:ind w:right="30"/>
        <w:rPr>
          <w:b/>
        </w:rPr>
      </w:pPr>
    </w:p>
    <w:p w:rsidR="00041EC6" w:rsidRPr="00607BD8" w:rsidRDefault="00041EC6" w:rsidP="00126847">
      <w:pPr>
        <w:pStyle w:val="BodyText"/>
        <w:ind w:right="30"/>
        <w:rPr>
          <w:b/>
        </w:rPr>
      </w:pPr>
    </w:p>
    <w:p w:rsidR="00041EC6" w:rsidRPr="00607BD8" w:rsidRDefault="00041EC6" w:rsidP="00126847">
      <w:pPr>
        <w:pStyle w:val="BodyText"/>
        <w:ind w:right="30"/>
        <w:rPr>
          <w:b/>
        </w:rPr>
      </w:pPr>
    </w:p>
    <w:p w:rsidR="00041EC6" w:rsidRPr="00607BD8" w:rsidRDefault="00041EC6" w:rsidP="00126847">
      <w:pPr>
        <w:pStyle w:val="BodyText"/>
        <w:ind w:right="30"/>
        <w:rPr>
          <w:b/>
        </w:rPr>
      </w:pPr>
    </w:p>
    <w:p w:rsidR="00041EC6" w:rsidRPr="00607BD8" w:rsidRDefault="00041EC6" w:rsidP="00126847">
      <w:pPr>
        <w:pStyle w:val="BodyText"/>
        <w:ind w:right="30"/>
        <w:rPr>
          <w:b/>
        </w:rPr>
      </w:pPr>
    </w:p>
    <w:p w:rsidR="00041EC6" w:rsidRPr="00607BD8" w:rsidRDefault="00041EC6" w:rsidP="00126847">
      <w:pPr>
        <w:pStyle w:val="BodyText"/>
        <w:ind w:right="30"/>
        <w:rPr>
          <w:b/>
        </w:rPr>
      </w:pPr>
    </w:p>
    <w:p w:rsidR="00041EC6" w:rsidRPr="00607BD8" w:rsidRDefault="00041EC6" w:rsidP="00126847">
      <w:pPr>
        <w:pStyle w:val="BodyText"/>
        <w:ind w:right="30"/>
        <w:rPr>
          <w:b/>
        </w:rPr>
      </w:pPr>
    </w:p>
    <w:p w:rsidR="00041EC6" w:rsidRPr="00607BD8" w:rsidRDefault="00041EC6" w:rsidP="00126847">
      <w:pPr>
        <w:pStyle w:val="BodyText"/>
        <w:ind w:right="30"/>
        <w:rPr>
          <w:b/>
        </w:rPr>
      </w:pPr>
    </w:p>
    <w:p w:rsidR="00041EC6" w:rsidRPr="00607BD8" w:rsidRDefault="00041EC6" w:rsidP="00126847">
      <w:pPr>
        <w:pStyle w:val="BodyText"/>
        <w:ind w:right="30"/>
        <w:rPr>
          <w:b/>
        </w:rPr>
      </w:pPr>
    </w:p>
    <w:p w:rsidR="00041EC6" w:rsidRPr="00607BD8" w:rsidRDefault="00041EC6" w:rsidP="00126847">
      <w:pPr>
        <w:pStyle w:val="BodyText"/>
        <w:ind w:right="30"/>
        <w:rPr>
          <w:b/>
        </w:rPr>
      </w:pPr>
    </w:p>
    <w:p w:rsidR="00041EC6" w:rsidRPr="00607BD8" w:rsidRDefault="00041EC6" w:rsidP="00126847">
      <w:pPr>
        <w:pStyle w:val="BodyText"/>
        <w:ind w:right="30"/>
        <w:rPr>
          <w:b/>
        </w:rPr>
      </w:pPr>
    </w:p>
    <w:p w:rsidR="00041EC6" w:rsidRPr="00607BD8" w:rsidRDefault="00041EC6" w:rsidP="00126847">
      <w:pPr>
        <w:pStyle w:val="BodyText"/>
        <w:ind w:right="30"/>
        <w:rPr>
          <w:b/>
        </w:rPr>
      </w:pPr>
    </w:p>
    <w:p w:rsidR="00041EC6" w:rsidRPr="00607BD8" w:rsidRDefault="00041EC6" w:rsidP="00126847">
      <w:pPr>
        <w:pStyle w:val="BodyText"/>
        <w:ind w:right="30"/>
        <w:rPr>
          <w:b/>
        </w:rPr>
      </w:pPr>
    </w:p>
    <w:p w:rsidR="00041EC6" w:rsidRPr="00607BD8" w:rsidRDefault="00041EC6" w:rsidP="00126847">
      <w:pPr>
        <w:pStyle w:val="BodyText"/>
        <w:ind w:right="30"/>
        <w:rPr>
          <w:b/>
        </w:rPr>
      </w:pPr>
    </w:p>
    <w:p w:rsidR="00041EC6" w:rsidRPr="00607BD8" w:rsidRDefault="00041EC6" w:rsidP="00126847">
      <w:pPr>
        <w:pStyle w:val="BodyText"/>
        <w:ind w:right="30"/>
        <w:rPr>
          <w:b/>
        </w:rPr>
      </w:pPr>
    </w:p>
    <w:p w:rsidR="00041EC6" w:rsidRPr="00607BD8" w:rsidRDefault="00041EC6" w:rsidP="00126847">
      <w:pPr>
        <w:pStyle w:val="BodyText"/>
        <w:ind w:right="30"/>
        <w:rPr>
          <w:b/>
        </w:rPr>
      </w:pPr>
    </w:p>
    <w:p w:rsidR="00041EC6" w:rsidRPr="00607BD8" w:rsidRDefault="00041EC6" w:rsidP="00126847">
      <w:pPr>
        <w:pStyle w:val="BodyText"/>
        <w:ind w:right="30"/>
        <w:rPr>
          <w:b/>
        </w:rPr>
      </w:pPr>
    </w:p>
    <w:p w:rsidR="00041EC6" w:rsidRPr="00607BD8" w:rsidRDefault="00041EC6" w:rsidP="00126847">
      <w:pPr>
        <w:pStyle w:val="BodyText"/>
        <w:ind w:right="30"/>
        <w:rPr>
          <w:b/>
        </w:rPr>
      </w:pPr>
    </w:p>
    <w:p w:rsidR="00041EC6" w:rsidRPr="00607BD8" w:rsidRDefault="00041EC6" w:rsidP="00126847">
      <w:pPr>
        <w:pStyle w:val="BodyText"/>
        <w:ind w:right="30"/>
        <w:rPr>
          <w:b/>
        </w:rPr>
      </w:pPr>
    </w:p>
    <w:p w:rsidR="00041EC6" w:rsidRPr="00607BD8" w:rsidRDefault="00041EC6" w:rsidP="00126847">
      <w:pPr>
        <w:pStyle w:val="BodyText"/>
        <w:ind w:right="30"/>
        <w:rPr>
          <w:b/>
        </w:rPr>
      </w:pPr>
    </w:p>
    <w:p w:rsidR="00041EC6" w:rsidRPr="00607BD8" w:rsidRDefault="00041EC6" w:rsidP="00126847">
      <w:pPr>
        <w:pStyle w:val="BodyText"/>
        <w:ind w:right="30"/>
        <w:rPr>
          <w:b/>
        </w:rPr>
      </w:pPr>
    </w:p>
    <w:p w:rsidR="00041EC6" w:rsidRPr="00607BD8" w:rsidRDefault="00041EC6" w:rsidP="00126847">
      <w:pPr>
        <w:pStyle w:val="BodyText"/>
        <w:ind w:right="30"/>
        <w:rPr>
          <w:b/>
        </w:rPr>
      </w:pPr>
    </w:p>
    <w:p w:rsidR="00041EC6" w:rsidRPr="00607BD8" w:rsidRDefault="00041EC6" w:rsidP="00126847">
      <w:pPr>
        <w:pStyle w:val="BodyText"/>
        <w:ind w:right="30"/>
        <w:rPr>
          <w:b/>
        </w:rPr>
      </w:pPr>
    </w:p>
    <w:p w:rsidR="00041EC6" w:rsidRPr="00607BD8" w:rsidRDefault="00041EC6" w:rsidP="00126847">
      <w:pPr>
        <w:pStyle w:val="BodyText"/>
        <w:ind w:right="30"/>
        <w:rPr>
          <w:b/>
        </w:rPr>
      </w:pPr>
    </w:p>
    <w:p w:rsidR="00041EC6" w:rsidRPr="00607BD8" w:rsidRDefault="00041EC6" w:rsidP="00126847">
      <w:pPr>
        <w:pStyle w:val="BodyText"/>
        <w:ind w:right="30"/>
        <w:rPr>
          <w:b/>
        </w:rPr>
      </w:pPr>
    </w:p>
    <w:p w:rsidR="00041EC6" w:rsidRPr="00607BD8" w:rsidRDefault="00041EC6" w:rsidP="00126847">
      <w:pPr>
        <w:pStyle w:val="BodyText"/>
        <w:ind w:right="30"/>
        <w:rPr>
          <w:b/>
        </w:rPr>
      </w:pPr>
    </w:p>
    <w:p w:rsidR="00041EC6" w:rsidRPr="00607BD8" w:rsidRDefault="00041EC6" w:rsidP="00126847">
      <w:pPr>
        <w:pStyle w:val="BodyText"/>
        <w:ind w:right="30"/>
        <w:rPr>
          <w:b/>
        </w:rPr>
      </w:pPr>
    </w:p>
    <w:p w:rsidR="00041EC6" w:rsidRPr="00607BD8" w:rsidRDefault="00041EC6" w:rsidP="00126847">
      <w:pPr>
        <w:pStyle w:val="BodyText"/>
        <w:ind w:right="30"/>
        <w:rPr>
          <w:b/>
        </w:rPr>
      </w:pPr>
    </w:p>
    <w:p w:rsidR="00041EC6" w:rsidRPr="00607BD8" w:rsidRDefault="00041EC6" w:rsidP="00126847">
      <w:pPr>
        <w:pStyle w:val="BodyText"/>
        <w:ind w:right="30"/>
        <w:rPr>
          <w:b/>
        </w:rPr>
      </w:pPr>
    </w:p>
    <w:p w:rsidR="00041EC6" w:rsidRPr="00607BD8" w:rsidRDefault="00041EC6" w:rsidP="00126847">
      <w:pPr>
        <w:pStyle w:val="BodyText"/>
        <w:ind w:right="30"/>
        <w:rPr>
          <w:b/>
        </w:rPr>
      </w:pPr>
    </w:p>
    <w:p w:rsidR="00041EC6" w:rsidRPr="00607BD8" w:rsidRDefault="00041EC6" w:rsidP="00126847">
      <w:pPr>
        <w:pStyle w:val="BodyText"/>
        <w:spacing w:before="8"/>
        <w:ind w:right="30"/>
        <w:rPr>
          <w:b/>
          <w:sz w:val="21"/>
        </w:rPr>
      </w:pPr>
    </w:p>
    <w:p w:rsidR="00041EC6" w:rsidRPr="00607BD8" w:rsidRDefault="003D2442" w:rsidP="00126847">
      <w:pPr>
        <w:pStyle w:val="BodyText"/>
        <w:spacing w:line="24" w:lineRule="exact"/>
        <w:ind w:left="93" w:right="30"/>
        <w:rPr>
          <w:sz w:val="2"/>
        </w:rPr>
      </w:pPr>
      <w:r>
        <w:rPr>
          <w:sz w:val="2"/>
        </w:rPr>
        <w:pict>
          <v:group id="_x0000_s1026" style="width:484.7pt;height:1.15pt;mso-position-horizontal-relative:char;mso-position-vertical-relative:line" coordsize="9694,23">
            <v:line id="_x0000_s1027" style="position:absolute" from="0,11" to="9694,11" strokeweight=".39969mm"/>
            <w10:anchorlock/>
          </v:group>
        </w:pict>
      </w:r>
    </w:p>
    <w:p w:rsidR="00041EC6" w:rsidRPr="00607BD8" w:rsidRDefault="00041EC6" w:rsidP="00126847">
      <w:pPr>
        <w:pStyle w:val="BodyText"/>
        <w:spacing w:before="11"/>
        <w:ind w:right="30"/>
        <w:rPr>
          <w:b/>
          <w:sz w:val="24"/>
        </w:rPr>
      </w:pPr>
    </w:p>
    <w:p w:rsidR="00041EC6" w:rsidRPr="00607BD8" w:rsidRDefault="00416377" w:rsidP="006E0124">
      <w:pPr>
        <w:spacing w:before="123" w:line="244" w:lineRule="auto"/>
        <w:ind w:left="105" w:right="30"/>
        <w:jc w:val="center"/>
        <w:rPr>
          <w:sz w:val="18"/>
        </w:rPr>
      </w:pPr>
      <w:r>
        <w:t xml:space="preserve">De uitgever van het staatsblad van de Slowaakse Republiek, alsook contentbeheerder en exploitant van het wetgevings- en informatieportaal Slov-Lex, beschikbaar op </w:t>
      </w:r>
      <w:hyperlink r:id="rId8">
        <w:r>
          <w:rPr>
            <w:sz w:val="18"/>
          </w:rPr>
          <w:t xml:space="preserve">www.slov-lex.sk</w:t>
        </w:r>
      </w:hyperlink>
      <w:r>
        <w:t xml:space="preserve">, is</w:t>
      </w:r>
    </w:p>
    <w:p w:rsidR="00041EC6" w:rsidRPr="00607BD8" w:rsidRDefault="00416377" w:rsidP="006E0124">
      <w:pPr>
        <w:spacing w:before="1" w:line="244" w:lineRule="auto"/>
        <w:ind w:left="105" w:right="30"/>
        <w:jc w:val="center"/>
        <w:rPr>
          <w:sz w:val="18"/>
        </w:rPr>
      </w:pPr>
      <w:r>
        <w:rPr>
          <w:sz w:val="18"/>
        </w:rPr>
        <w:t xml:space="preserve">het Ministerie van Justitie van de Slowaakse Republiek, Župné námestie 13, 813 11 Bratislava, tel.:</w:t>
      </w:r>
      <w:r>
        <w:rPr>
          <w:sz w:val="18"/>
        </w:rPr>
        <w:t xml:space="preserve"> </w:t>
      </w:r>
      <w:r>
        <w:rPr>
          <w:sz w:val="18"/>
        </w:rPr>
        <w:t xml:space="preserve">+421 2 888 91 137, fax:</w:t>
      </w:r>
      <w:r>
        <w:rPr>
          <w:sz w:val="18"/>
        </w:rPr>
        <w:t xml:space="preserve"> </w:t>
      </w:r>
      <w:r>
        <w:t xml:space="preserve">+421 2 52442853 e-mail: </w:t>
      </w:r>
      <w:hyperlink r:id="rId9">
        <w:r>
          <w:rPr>
            <w:sz w:val="18"/>
          </w:rPr>
          <w:t xml:space="preserve">helpdesk@slov-lex.sk</w:t>
        </w:r>
      </w:hyperlink>
      <w:r>
        <w:t xml:space="preserve">.</w:t>
      </w:r>
    </w:p>
    <w:sectPr w:rsidR="00041EC6" w:rsidRPr="00607BD8" w:rsidSect="00D03B97">
      <w:headerReference w:type="default" r:id="rId10"/>
      <w:pgSz w:w="11910" w:h="16840" w:code="9"/>
      <w:pgMar w:top="1440" w:right="1440" w:bottom="1440" w:left="1440" w:header="792"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3063" w:rsidRDefault="00416377">
      <w:r>
        <w:separator/>
      </w:r>
    </w:p>
  </w:endnote>
  <w:endnote w:type="continuationSeparator" w:id="0">
    <w:p w:rsidR="00053063" w:rsidRDefault="00416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3063" w:rsidRDefault="00416377">
      <w:r>
        <w:separator/>
      </w:r>
    </w:p>
  </w:footnote>
  <w:footnote w:type="continuationSeparator" w:id="0">
    <w:p w:rsidR="00053063" w:rsidRDefault="004163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3B97" w:rsidRDefault="00D03B97" w:rsidP="00D03B97">
    <w:pPr>
      <w:pStyle w:val="BodyText"/>
      <w:pBdr>
        <w:bottom w:val="single" w:sz="12" w:space="1" w:color="auto"/>
      </w:pBdr>
      <w:tabs>
        <w:tab w:val="center" w:pos="4320"/>
        <w:tab w:val="right" w:pos="9000"/>
      </w:tabs>
      <w:spacing w:before="58"/>
      <w:ind w:left="20"/>
      <w:rPr>
        <w:b/>
      </w:rPr>
    </w:pPr>
    <w:r>
      <w:t xml:space="preserve">Blz. </w:t>
    </w:r>
    <w:r>
      <w:fldChar w:fldCharType="begin"/>
    </w:r>
    <w:r>
      <w:instrText xml:space="preserve"> PAGE </w:instrText>
    </w:r>
    <w:r>
      <w:fldChar w:fldCharType="separate"/>
    </w:r>
    <w:r w:rsidR="003D2442">
      <w:t>2</w:t>
    </w:r>
    <w:r>
      <w:fldChar w:fldCharType="end"/>
    </w:r>
    <w:r>
      <w:tab/>
      <w:t xml:space="preserve">Staatsblad van de Slowaakse Republiek</w:t>
      <w:tab/>
    </w:r>
    <w:r>
      <w:rPr>
        <w:b/>
      </w:rPr>
      <w:t xml:space="preserve">237/2018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BF434A"/>
    <w:multiLevelType w:val="hybridMultilevel"/>
    <w:tmpl w:val="74CAF634"/>
    <w:lvl w:ilvl="0" w:tplc="D0DC0AFE">
      <w:start w:val="1"/>
      <w:numFmt w:val="decimal"/>
      <w:lvlText w:val="%1."/>
      <w:lvlJc w:val="left"/>
      <w:pPr>
        <w:ind w:left="388" w:hanging="284"/>
      </w:pPr>
      <w:rPr>
        <w:rFonts w:ascii="Bookman Old Style" w:eastAsia="Bookman Old Style" w:hAnsi="Bookman Old Style" w:cs="Bookman Old Style" w:hint="default"/>
        <w:w w:val="100"/>
        <w:sz w:val="20"/>
        <w:szCs w:val="20"/>
        <w:lang w:val="sk-SK" w:eastAsia="sk-SK" w:bidi="sk-SK"/>
      </w:rPr>
    </w:lvl>
    <w:lvl w:ilvl="1" w:tplc="18562036">
      <w:numFmt w:val="bullet"/>
      <w:lvlText w:val="•"/>
      <w:lvlJc w:val="left"/>
      <w:pPr>
        <w:ind w:left="380" w:hanging="284"/>
      </w:pPr>
      <w:rPr>
        <w:rFonts w:hint="default"/>
        <w:lang w:val="sk-SK" w:eastAsia="sk-SK" w:bidi="sk-SK"/>
      </w:rPr>
    </w:lvl>
    <w:lvl w:ilvl="2" w:tplc="1A1862B8">
      <w:numFmt w:val="bullet"/>
      <w:lvlText w:val="•"/>
      <w:lvlJc w:val="left"/>
      <w:pPr>
        <w:ind w:left="920" w:hanging="284"/>
      </w:pPr>
      <w:rPr>
        <w:rFonts w:hint="default"/>
        <w:lang w:val="sk-SK" w:eastAsia="sk-SK" w:bidi="sk-SK"/>
      </w:rPr>
    </w:lvl>
    <w:lvl w:ilvl="3" w:tplc="8ED046DC">
      <w:numFmt w:val="bullet"/>
      <w:lvlText w:val="•"/>
      <w:lvlJc w:val="left"/>
      <w:pPr>
        <w:ind w:left="3900" w:hanging="284"/>
      </w:pPr>
      <w:rPr>
        <w:rFonts w:hint="default"/>
        <w:lang w:val="sk-SK" w:eastAsia="sk-SK" w:bidi="sk-SK"/>
      </w:rPr>
    </w:lvl>
    <w:lvl w:ilvl="4" w:tplc="C1CEAC8E">
      <w:numFmt w:val="bullet"/>
      <w:lvlText w:val="•"/>
      <w:lvlJc w:val="left"/>
      <w:pPr>
        <w:ind w:left="4757" w:hanging="284"/>
      </w:pPr>
      <w:rPr>
        <w:rFonts w:hint="default"/>
        <w:lang w:val="sk-SK" w:eastAsia="sk-SK" w:bidi="sk-SK"/>
      </w:rPr>
    </w:lvl>
    <w:lvl w:ilvl="5" w:tplc="384C2804">
      <w:numFmt w:val="bullet"/>
      <w:lvlText w:val="•"/>
      <w:lvlJc w:val="left"/>
      <w:pPr>
        <w:ind w:left="5615" w:hanging="284"/>
      </w:pPr>
      <w:rPr>
        <w:rFonts w:hint="default"/>
        <w:lang w:val="sk-SK" w:eastAsia="sk-SK" w:bidi="sk-SK"/>
      </w:rPr>
    </w:lvl>
    <w:lvl w:ilvl="6" w:tplc="9BCED1F2">
      <w:numFmt w:val="bullet"/>
      <w:lvlText w:val="•"/>
      <w:lvlJc w:val="left"/>
      <w:pPr>
        <w:ind w:left="6473" w:hanging="284"/>
      </w:pPr>
      <w:rPr>
        <w:rFonts w:hint="default"/>
        <w:lang w:val="sk-SK" w:eastAsia="sk-SK" w:bidi="sk-SK"/>
      </w:rPr>
    </w:lvl>
    <w:lvl w:ilvl="7" w:tplc="C4742DBC">
      <w:numFmt w:val="bullet"/>
      <w:lvlText w:val="•"/>
      <w:lvlJc w:val="left"/>
      <w:pPr>
        <w:ind w:left="7331" w:hanging="284"/>
      </w:pPr>
      <w:rPr>
        <w:rFonts w:hint="default"/>
        <w:lang w:val="sk-SK" w:eastAsia="sk-SK" w:bidi="sk-SK"/>
      </w:rPr>
    </w:lvl>
    <w:lvl w:ilvl="8" w:tplc="EC8C3E68">
      <w:numFmt w:val="bullet"/>
      <w:lvlText w:val="•"/>
      <w:lvlJc w:val="left"/>
      <w:pPr>
        <w:ind w:left="8189" w:hanging="284"/>
      </w:pPr>
      <w:rPr>
        <w:rFonts w:hint="default"/>
        <w:lang w:val="sk-SK" w:eastAsia="sk-SK" w:bidi="sk-SK"/>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oNotHyphenateCaps/>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shapeLayoutLikeWW8/>
    <w:useFELayout/>
    <w:compatSetting w:name="compatibilityMode" w:uri="http://schemas.microsoft.com/office/word" w:val="12"/>
  </w:compat>
  <w:rsids>
    <w:rsidRoot w:val="00041EC6"/>
    <w:rsid w:val="00041EC6"/>
    <w:rsid w:val="00053063"/>
    <w:rsid w:val="00126847"/>
    <w:rsid w:val="003D2442"/>
    <w:rsid w:val="00416377"/>
    <w:rsid w:val="0047341B"/>
    <w:rsid w:val="00607BD8"/>
    <w:rsid w:val="006E0124"/>
    <w:rsid w:val="00D03B97"/>
    <w:rsid w:val="00D705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A467E45B-CE2E-4D65-B64C-4B557A653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Bookman Old Style" w:eastAsia="Bookman Old Style" w:hAnsi="Bookman Old Style" w:cs="Bookman Old Style"/>
      <w:lang w:val="nl-NL" w:eastAsia="sk-SK" w:bidi="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105"/>
      <w:ind w:left="388" w:hanging="284"/>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16377"/>
    <w:pPr>
      <w:tabs>
        <w:tab w:val="center" w:pos="4680"/>
        <w:tab w:val="right" w:pos="9360"/>
      </w:tabs>
    </w:pPr>
  </w:style>
  <w:style w:type="character" w:customStyle="1" w:styleId="HeaderChar">
    <w:name w:val="Header Char"/>
    <w:basedOn w:val="DefaultParagraphFont"/>
    <w:link w:val="Header"/>
    <w:uiPriority w:val="99"/>
    <w:rsid w:val="00416377"/>
    <w:rPr>
      <w:rFonts w:ascii="Bookman Old Style" w:eastAsia="Bookman Old Style" w:hAnsi="Bookman Old Style" w:cs="Bookman Old Style"/>
      <w:lang w:val="nl-NL" w:eastAsia="sk-SK" w:bidi="sk-SK"/>
    </w:rPr>
  </w:style>
  <w:style w:type="paragraph" w:styleId="Footer">
    <w:name w:val="footer"/>
    <w:basedOn w:val="Normal"/>
    <w:link w:val="FooterChar"/>
    <w:uiPriority w:val="99"/>
    <w:unhideWhenUsed/>
    <w:rsid w:val="00416377"/>
    <w:pPr>
      <w:tabs>
        <w:tab w:val="center" w:pos="4680"/>
        <w:tab w:val="right" w:pos="9360"/>
      </w:tabs>
    </w:pPr>
  </w:style>
  <w:style w:type="character" w:customStyle="1" w:styleId="FooterChar">
    <w:name w:val="Footer Char"/>
    <w:basedOn w:val="DefaultParagraphFont"/>
    <w:link w:val="Footer"/>
    <w:uiPriority w:val="99"/>
    <w:rsid w:val="00416377"/>
    <w:rPr>
      <w:rFonts w:ascii="Bookman Old Style" w:eastAsia="Bookman Old Style" w:hAnsi="Bookman Old Style" w:cs="Bookman Old Style"/>
      <w:lang w:val="nl-NL" w:eastAsia="sk-SK" w:bidi="sk-SK"/>
    </w:rPr>
  </w:style>
  <w:style w:type="paragraph" w:styleId="PlainText">
    <w:name w:val="Plain Text"/>
    <w:basedOn w:val="Normal"/>
    <w:link w:val="PlainTextChar"/>
    <w:uiPriority w:val="99"/>
    <w:unhideWhenUsed/>
    <w:rsid w:val="003D2442"/>
    <w:pPr>
      <w:widowControl/>
      <w:autoSpaceDE/>
      <w:autoSpaceDN/>
    </w:pPr>
    <w:rPr>
      <w:rFonts w:ascii="Consolas" w:eastAsia="Times New Roman" w:hAnsi="Consolas" w:cs="Times New Roman"/>
      <w:sz w:val="21"/>
      <w:szCs w:val="21"/>
      <w:lang w:val="nl-NL" w:eastAsia="en-US" w:bidi="ar-SA"/>
    </w:rPr>
  </w:style>
  <w:style w:type="character" w:customStyle="1" w:styleId="PlainTextChar">
    <w:name w:val="Plain Text Char"/>
    <w:basedOn w:val="DefaultParagraphFont"/>
    <w:link w:val="PlainText"/>
    <w:uiPriority w:val="99"/>
    <w:rsid w:val="003D2442"/>
    <w:rPr>
      <w:rFonts w:ascii="Consolas" w:eastAsia="Times New Roman" w:hAnsi="Consolas" w:cs="Times New Roman"/>
      <w:sz w:val="21"/>
      <w:szCs w:val="21"/>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
<Relationships xmlns="http://schemas.openxmlformats.org/package/2006/relationships"><Relationship Id="rId8" Type="http://schemas.openxmlformats.org/officeDocument/2006/relationships/hyperlink" Target="http://www.slov-lex.s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helpdesk@slov-lex.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485</Words>
  <Characters>2769</Characters>
  <Application>Microsoft Office Word</Application>
  <DocSecurity>0</DocSecurity>
  <Lines>23</Lines>
  <Paragraphs>6</Paragraphs>
  <ScaleCrop>false</ScaleCrop>
  <Company>Microsoft</Company>
  <LinksUpToDate>false</LinksUpToDate>
  <CharactersWithSpaces>3248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spravodlivosti SR</dc:creator>
  <cp:lastModifiedBy>ZAGHINI, Francesco</cp:lastModifiedBy>
  <cp:revision>8</cp:revision>
  <dcterms:created xsi:type="dcterms:W3CDTF">2019-12-01T19:49:00Z</dcterms:created>
  <dcterms:modified xsi:type="dcterms:W3CDTF">2020-04-08T09:16:00Z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2019-05-24T00:00:00Z</vt:filetime>
  </property>
  <property fmtid="{D5CDD505-2E9C-101B-9397-08002B2CF9AE}" pid="3" name="LastSaved">
    <vt:filetime>2019-12-01T00:00:00Z</vt:filetime>
  </property>
</Properties>
</file>