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7A1C" w:rsidRPr="00B655D7" w:rsidRDefault="00AD7A1C" w:rsidP="00AD7A1C">
      <w:pPr>
        <w:ind w:left="-634" w:right="-778"/>
        <w:jc w:val="center"/>
        <w:textAlignment w:val="baseline"/>
        <w:rPr>
          <w:rFonts w:ascii="Courier New" w:hAnsi="Courier New"/>
          <w:sz w:val="20"/>
        </w:rPr>
      </w:pPr>
      <w:r>
        <w:rPr>
          <w:rFonts w:ascii="Courier New" w:hAnsi="Courier New"/>
          <w:sz w:val="20"/>
        </w:rPr>
        <w:t>1. ------IND- 2018 0169 F-- LV- ------ 20180420 --- --- PROJET</w:t>
      </w:r>
    </w:p>
    <w:p w:rsidR="00AD7A1C" w:rsidRDefault="00AD7A1C"/>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BE1E1D" w:rsidRPr="002E197B" w:rsidTr="002E197B">
        <w:trPr>
          <w:cantSplit/>
        </w:trPr>
        <w:tc>
          <w:tcPr>
            <w:tcW w:w="3982" w:type="dxa"/>
            <w:gridSpan w:val="3"/>
            <w:shd w:val="clear" w:color="auto" w:fill="auto"/>
          </w:tcPr>
          <w:p w:rsidR="00073A3D" w:rsidRPr="002E197B" w:rsidRDefault="00D50503">
            <w:pPr>
              <w:pStyle w:val="SNREPUBLIQUE"/>
            </w:pPr>
            <w:r>
              <w:t>FRANCIJAS REPUBLIKA</w:t>
            </w:r>
          </w:p>
        </w:tc>
      </w:tr>
      <w:tr w:rsidR="00BE1E1D" w:rsidRPr="002E197B" w:rsidTr="002E197B">
        <w:trPr>
          <w:cantSplit/>
        </w:trPr>
        <w:tc>
          <w:tcPr>
            <w:tcW w:w="1527" w:type="dxa"/>
            <w:shd w:val="clear" w:color="auto" w:fill="auto"/>
          </w:tcPr>
          <w:p w:rsidR="00073A3D" w:rsidRPr="002E197B" w:rsidRDefault="00073A3D">
            <w:pPr>
              <w:snapToGrid w:val="0"/>
              <w:rPr>
                <w:rFonts w:cs="Tahoma"/>
              </w:rPr>
            </w:pPr>
          </w:p>
        </w:tc>
        <w:tc>
          <w:tcPr>
            <w:tcW w:w="968" w:type="dxa"/>
            <w:tcBorders>
              <w:bottom w:val="single" w:sz="2" w:space="0" w:color="000000"/>
            </w:tcBorders>
            <w:shd w:val="clear" w:color="auto" w:fill="auto"/>
          </w:tcPr>
          <w:p w:rsidR="00073A3D" w:rsidRPr="002E197B" w:rsidRDefault="00073A3D">
            <w:pPr>
              <w:snapToGrid w:val="0"/>
              <w:rPr>
                <w:rFonts w:cs="Tahoma"/>
              </w:rPr>
            </w:pPr>
          </w:p>
        </w:tc>
        <w:tc>
          <w:tcPr>
            <w:tcW w:w="1487" w:type="dxa"/>
            <w:shd w:val="clear" w:color="auto" w:fill="auto"/>
          </w:tcPr>
          <w:p w:rsidR="00073A3D" w:rsidRPr="002E197B" w:rsidRDefault="00073A3D">
            <w:pPr>
              <w:snapToGrid w:val="0"/>
            </w:pPr>
          </w:p>
        </w:tc>
      </w:tr>
      <w:tr w:rsidR="00BE1E1D" w:rsidRPr="002E197B" w:rsidTr="002E197B">
        <w:trPr>
          <w:cantSplit/>
        </w:trPr>
        <w:tc>
          <w:tcPr>
            <w:tcW w:w="3982" w:type="dxa"/>
            <w:gridSpan w:val="3"/>
            <w:shd w:val="clear" w:color="auto" w:fill="auto"/>
          </w:tcPr>
          <w:p w:rsidR="00073A3D" w:rsidRPr="002E197B" w:rsidRDefault="00D50503">
            <w:pPr>
              <w:pStyle w:val="SNTimbre"/>
            </w:pPr>
            <w:r>
              <w:t>Ekonomikas un finanšu ministrija</w:t>
            </w:r>
          </w:p>
        </w:tc>
      </w:tr>
      <w:tr w:rsidR="00BE1E1D" w:rsidRPr="002E197B" w:rsidTr="002E197B">
        <w:trPr>
          <w:cantSplit/>
        </w:trPr>
        <w:tc>
          <w:tcPr>
            <w:tcW w:w="1527" w:type="dxa"/>
            <w:shd w:val="clear" w:color="auto" w:fill="auto"/>
          </w:tcPr>
          <w:p w:rsidR="00073A3D" w:rsidRPr="002E197B" w:rsidRDefault="00073A3D">
            <w:pPr>
              <w:snapToGrid w:val="0"/>
            </w:pPr>
          </w:p>
        </w:tc>
        <w:tc>
          <w:tcPr>
            <w:tcW w:w="968" w:type="dxa"/>
            <w:tcBorders>
              <w:bottom w:val="single" w:sz="2" w:space="0" w:color="000000"/>
            </w:tcBorders>
            <w:shd w:val="clear" w:color="auto" w:fill="auto"/>
          </w:tcPr>
          <w:p w:rsidR="00073A3D" w:rsidRPr="002E197B" w:rsidRDefault="00073A3D">
            <w:pPr>
              <w:snapToGrid w:val="0"/>
            </w:pPr>
          </w:p>
        </w:tc>
        <w:tc>
          <w:tcPr>
            <w:tcW w:w="1487" w:type="dxa"/>
            <w:shd w:val="clear" w:color="auto" w:fill="auto"/>
          </w:tcPr>
          <w:p w:rsidR="00073A3D" w:rsidRPr="002E197B" w:rsidRDefault="00073A3D">
            <w:pPr>
              <w:snapToGrid w:val="0"/>
            </w:pPr>
          </w:p>
        </w:tc>
      </w:tr>
      <w:tr w:rsidR="00BE1E1D" w:rsidRPr="002E197B" w:rsidTr="002E197B">
        <w:trPr>
          <w:cantSplit/>
        </w:trPr>
        <w:tc>
          <w:tcPr>
            <w:tcW w:w="1527" w:type="dxa"/>
            <w:shd w:val="clear" w:color="auto" w:fill="auto"/>
          </w:tcPr>
          <w:p w:rsidR="00073A3D" w:rsidRPr="002E197B" w:rsidRDefault="00073A3D">
            <w:pPr>
              <w:snapToGrid w:val="0"/>
            </w:pPr>
          </w:p>
        </w:tc>
        <w:tc>
          <w:tcPr>
            <w:tcW w:w="968" w:type="dxa"/>
            <w:shd w:val="clear" w:color="auto" w:fill="auto"/>
          </w:tcPr>
          <w:p w:rsidR="00073A3D" w:rsidRPr="002E197B" w:rsidRDefault="00073A3D">
            <w:pPr>
              <w:snapToGrid w:val="0"/>
            </w:pPr>
          </w:p>
        </w:tc>
        <w:tc>
          <w:tcPr>
            <w:tcW w:w="1487" w:type="dxa"/>
            <w:shd w:val="clear" w:color="auto" w:fill="auto"/>
          </w:tcPr>
          <w:p w:rsidR="00073A3D" w:rsidRPr="002E197B" w:rsidRDefault="00073A3D">
            <w:pPr>
              <w:snapToGrid w:val="0"/>
            </w:pPr>
          </w:p>
        </w:tc>
      </w:tr>
    </w:tbl>
    <w:p w:rsidR="00073A3D" w:rsidRPr="002E197B" w:rsidRDefault="00D50503">
      <w:pPr>
        <w:pStyle w:val="SNNature"/>
      </w:pPr>
      <w:r>
        <w:t>[..] Dekrēts Nr. [..], ar ko nosaka gaisa kuģu, kuri lido bez cilvēka uz klāja, signalizācijas ierīču mērķus un atbrīvojuma nosacījumus, kas paredzēti Pasta un elektronisko sakaru kodeksa L.34-9-2. pantā</w:t>
      </w:r>
    </w:p>
    <w:p w:rsidR="00073A3D" w:rsidRPr="002E197B" w:rsidRDefault="00D50503">
      <w:pPr>
        <w:pStyle w:val="SNNORCentr"/>
      </w:pPr>
      <w:r>
        <w:rPr>
          <w:i/>
        </w:rPr>
        <w:t>NOR</w:t>
      </w:r>
      <w:r>
        <w:t>: [..]</w:t>
      </w:r>
    </w:p>
    <w:p w:rsidR="00073A3D" w:rsidRPr="002E197B" w:rsidRDefault="00D50503">
      <w:pPr>
        <w:pStyle w:val="SNAutorit"/>
        <w:spacing w:after="0"/>
        <w:jc w:val="both"/>
      </w:pPr>
      <w:r>
        <w:rPr>
          <w:i/>
        </w:rPr>
        <w:t xml:space="preserve">Mērķauditorija: </w:t>
      </w:r>
      <w:r>
        <w:rPr>
          <w:b w:val="0"/>
          <w:i/>
        </w:rPr>
        <w:t>gaisa kuģu, kuri lido bez cilvēka uz klāja un kuru masa pārsniedz tiesību aktos noteikto robežvērtību, tālvadības piloti, gaisa kuģu, kuri lido bez cilvēka uz klāja, konstruktori.</w:t>
      </w:r>
    </w:p>
    <w:p w:rsidR="00073A3D" w:rsidRPr="002E197B" w:rsidRDefault="00D50503">
      <w:pPr>
        <w:pStyle w:val="SNAutorit"/>
        <w:spacing w:before="120" w:after="0"/>
        <w:jc w:val="both"/>
      </w:pPr>
      <w:r>
        <w:rPr>
          <w:i/>
        </w:rPr>
        <w:t xml:space="preserve">Mērķis: </w:t>
      </w:r>
      <w:r>
        <w:rPr>
          <w:b w:val="0"/>
          <w:i/>
        </w:rPr>
        <w:t xml:space="preserve">šis dokuments nosaka gaisa kuģos, kuri lido bez cilvēka uz klāja un kuru masa pārsniedz tiesību aktos noteikto robežvērtību, uzstādāmo elektronisko un gaismas signalizācijas ierīču mērķus, kā arī nosacījumus atbrīvošanai no šiem pienākumiem un piemērojamās soda sankcijas. </w:t>
      </w:r>
    </w:p>
    <w:p w:rsidR="00073A3D" w:rsidRPr="002E197B" w:rsidRDefault="00D50503">
      <w:pPr>
        <w:pStyle w:val="SNAutorit"/>
        <w:spacing w:before="120" w:after="0"/>
        <w:jc w:val="both"/>
      </w:pPr>
      <w:r>
        <w:rPr>
          <w:i/>
        </w:rPr>
        <w:t>Stāšanās spēkā:</w:t>
      </w:r>
      <w:r>
        <w:rPr>
          <w:b w:val="0"/>
          <w:i/>
        </w:rPr>
        <w:t xml:space="preserve"> šis akts stājas spēkā nākamajā dienā pēc tā publicēšanas dienas, izņemot Pasta un elektronisko sakaru kodeksa R.20-25-1. un R.20-25-2. panta noteikumus, kuri stājas spēkā 2019. gada 1. janvārī.</w:t>
      </w:r>
    </w:p>
    <w:p w:rsidR="00073A3D" w:rsidRPr="002E197B" w:rsidRDefault="00D50503">
      <w:pPr>
        <w:pStyle w:val="SNAutorit"/>
        <w:spacing w:before="120" w:after="0"/>
        <w:jc w:val="both"/>
      </w:pPr>
      <w:r>
        <w:rPr>
          <w:i/>
        </w:rPr>
        <w:t>Īss apraksts:</w:t>
      </w:r>
      <w:r>
        <w:rPr>
          <w:b w:val="0"/>
          <w:i/>
        </w:rPr>
        <w:t xml:space="preserve"> Saskaņā ar Pasta un elektronisko sakaru kodeksa L.34-9-2. pantu, kas grozīts ar 2016. gada 24. oktobra likumu Nr. 2016-1428 par civilo dronu izmantošanas drošības uzlabošanu, gaisa kuģi, kuri lido bez cilvēka uz klāja, izņemot valstij piederošos gaisa kuģus, un kuru masa pārsniedz tiesību aktos noteikto robežvērtību, jāaprīko ar elektronisku vai digitālu signalizācijas ierīci un gaismas signalizācijas ierīci. Šis dekrēts nosaka minētajām ierīcēm izvirzītos mērķus, kā arī nosacījumus atbrīvošanai no minētajiem pienākumiem.</w:t>
      </w:r>
    </w:p>
    <w:p w:rsidR="00073A3D" w:rsidRPr="002E197B" w:rsidRDefault="00D50503">
      <w:pPr>
        <w:pStyle w:val="SNAutorit"/>
        <w:spacing w:before="120"/>
        <w:jc w:val="both"/>
      </w:pPr>
      <w:r>
        <w:rPr>
          <w:i/>
        </w:rPr>
        <w:t xml:space="preserve">Atsauces: </w:t>
      </w:r>
      <w:r>
        <w:rPr>
          <w:b w:val="0"/>
          <w:i/>
        </w:rPr>
        <w:t xml:space="preserve">šis dekrēts ir pieņemts saskaņā ar 2016. gada 24. oktobra Likuma Nr. 2016-1428 par civilo dronu izmantošanas drošības uzlabošanu 4. panta I sadaļu. Ar šo dekrētu grozīto Pasta un elektronisko sakaru kodeksa pantu galīgā redakcija ir pieejama Légifrance tīmekļa vietnē (http://www.legifrance.gouv.fr). </w:t>
      </w:r>
    </w:p>
    <w:p w:rsidR="00073A3D" w:rsidRPr="002E197B" w:rsidRDefault="00D50503">
      <w:pPr>
        <w:pStyle w:val="SNAutorit"/>
      </w:pPr>
      <w:r>
        <w:t>Premjerministrs,</w:t>
      </w:r>
    </w:p>
    <w:p w:rsidR="00073A3D" w:rsidRPr="002E197B" w:rsidRDefault="00D50503">
      <w:pPr>
        <w:pStyle w:val="SNRapport"/>
      </w:pPr>
      <w:r>
        <w:t>pamatojoties uz ekonomikas un finanšu ministra ziņojumu;</w:t>
      </w:r>
    </w:p>
    <w:p w:rsidR="003B26B1" w:rsidRPr="002E197B" w:rsidRDefault="00D50503" w:rsidP="003C174A">
      <w:pPr>
        <w:jc w:val="both"/>
      </w:pPr>
      <w:r>
        <w:t>ņemot vērā Eiropas Parlamenta un Padomes 2015. gada 9. septembra Direktīvu (ES) 2015/1535, ar ko nosaka informācijas sniegšanas kārtību tehnisko noteikumu un Informācijas sabiedrības pakalpojumu noteikumu jomā (kodificēta redakcija), un jo īpaši paziņojumu Nr. [gads]/[..]/F;</w:t>
      </w:r>
    </w:p>
    <w:p w:rsidR="003C174A" w:rsidRDefault="003C174A" w:rsidP="003C174A">
      <w:pPr>
        <w:ind w:left="426" w:hanging="426"/>
        <w:jc w:val="both"/>
      </w:pPr>
    </w:p>
    <w:p w:rsidR="00073A3D" w:rsidRPr="002E197B" w:rsidRDefault="00D50503" w:rsidP="003C174A">
      <w:pPr>
        <w:ind w:left="426" w:hanging="426"/>
        <w:jc w:val="both"/>
      </w:pPr>
      <w:r>
        <w:t>ņemot vērā Civilās aviācijas kodeksu, jo īpaši tā D.510-3. pantu;</w:t>
      </w:r>
    </w:p>
    <w:p w:rsidR="00073A3D" w:rsidRPr="002E197B" w:rsidRDefault="00073A3D" w:rsidP="003C174A">
      <w:pPr>
        <w:ind w:left="426" w:hanging="426"/>
        <w:jc w:val="both"/>
      </w:pPr>
    </w:p>
    <w:p w:rsidR="00073A3D" w:rsidRPr="002E197B" w:rsidRDefault="00D50503" w:rsidP="003C174A">
      <w:pPr>
        <w:ind w:left="426" w:hanging="426"/>
        <w:jc w:val="both"/>
      </w:pPr>
      <w:r>
        <w:t>ņemot vērā Pasta un elektronisko sakaru kodeksu, jo īpaši tā L.34-9-2. pantu;</w:t>
      </w:r>
    </w:p>
    <w:p w:rsidR="00073A3D" w:rsidRPr="002E197B" w:rsidRDefault="00073A3D" w:rsidP="003C174A">
      <w:pPr>
        <w:ind w:left="426" w:hanging="426"/>
        <w:jc w:val="both"/>
      </w:pPr>
    </w:p>
    <w:p w:rsidR="00073A3D" w:rsidRPr="002E197B" w:rsidRDefault="00D50503" w:rsidP="003C174A">
      <w:pPr>
        <w:ind w:left="426" w:hanging="426"/>
        <w:jc w:val="both"/>
      </w:pPr>
      <w:r>
        <w:t>ņemot vērā Iekšējās drošības kodeksu, jo īpaši VIII sējuma V daļu;</w:t>
      </w:r>
    </w:p>
    <w:p w:rsidR="00073A3D" w:rsidRPr="002E197B" w:rsidRDefault="00073A3D" w:rsidP="003C174A">
      <w:pPr>
        <w:ind w:left="426" w:hanging="426"/>
        <w:jc w:val="both"/>
      </w:pPr>
    </w:p>
    <w:p w:rsidR="00073A3D" w:rsidRPr="002E197B" w:rsidRDefault="00D50503" w:rsidP="003C174A">
      <w:pPr>
        <w:ind w:left="426" w:hanging="426"/>
        <w:jc w:val="both"/>
      </w:pPr>
      <w:r>
        <w:t>ņemot vērā Transporta kodeksu, jo īpaši tā L.6100-1. un L.6111-1. pantu;</w:t>
      </w:r>
    </w:p>
    <w:p w:rsidR="00073A3D" w:rsidRPr="002E197B" w:rsidRDefault="00073A3D" w:rsidP="003C174A">
      <w:pPr>
        <w:jc w:val="both"/>
        <w:rPr>
          <w:sz w:val="22"/>
          <w:szCs w:val="20"/>
        </w:rPr>
      </w:pPr>
    </w:p>
    <w:p w:rsidR="00073A3D" w:rsidRPr="002E197B" w:rsidRDefault="00D50503" w:rsidP="003C174A">
      <w:pPr>
        <w:pStyle w:val="SNVisa"/>
        <w:ind w:firstLine="0"/>
        <w:jc w:val="both"/>
      </w:pPr>
      <w:r>
        <w:t>ņemot vērā Elektronisko sakaru un pasta regulatora [..] atzinumu;</w:t>
      </w:r>
    </w:p>
    <w:p w:rsidR="00073A3D" w:rsidRPr="002E197B" w:rsidRDefault="00073A3D">
      <w:pPr>
        <w:pStyle w:val="SNConsultation"/>
      </w:pPr>
    </w:p>
    <w:p w:rsidR="00073A3D" w:rsidRPr="002E197B" w:rsidRDefault="00D50503">
      <w:pPr>
        <w:pStyle w:val="SNConsultation"/>
      </w:pPr>
      <w:r>
        <w:t>uzklausījis Valsts padomi ([..] nodaļu),</w:t>
      </w:r>
    </w:p>
    <w:p w:rsidR="00073A3D" w:rsidRPr="002E197B" w:rsidRDefault="00D50503">
      <w:pPr>
        <w:pStyle w:val="SNActe"/>
      </w:pPr>
      <w:r>
        <w:t>izdod šādu dekrētu.</w:t>
      </w:r>
    </w:p>
    <w:p w:rsidR="00073A3D" w:rsidRPr="002E197B" w:rsidRDefault="00D50503">
      <w:pPr>
        <w:pStyle w:val="SNActe"/>
      </w:pPr>
      <w:r>
        <w:t>I nodaļa. Noteikumi par signalizācijas ierīču mērķiem</w:t>
      </w:r>
    </w:p>
    <w:p w:rsidR="00073A3D" w:rsidRPr="002E197B" w:rsidRDefault="00D50503">
      <w:pPr>
        <w:pStyle w:val="SNArticle"/>
      </w:pPr>
      <w:r>
        <w:t>1. pants</w:t>
      </w:r>
    </w:p>
    <w:p w:rsidR="00073A3D" w:rsidRPr="002E197B" w:rsidRDefault="00D50503">
      <w:pPr>
        <w:pStyle w:val="BodyText"/>
      </w:pPr>
      <w:r>
        <w:t>Pasta un elektronisko sakaru kodeksa normatīvās daļas (Valsts padomes dekrēti) II sējuma I daļas II nodaļas 5. iedaļas 6. apakšiedaļu papildina ar R.20-24-2. pantu šādā redakcijā:</w:t>
      </w:r>
    </w:p>
    <w:p w:rsidR="00073A3D" w:rsidRPr="002E197B" w:rsidRDefault="00073A3D">
      <w:pPr>
        <w:pStyle w:val="BodyText"/>
      </w:pPr>
    </w:p>
    <w:p w:rsidR="00073A3D" w:rsidRPr="002E197B" w:rsidRDefault="00D50503">
      <w:pPr>
        <w:pStyle w:val="BodyText"/>
      </w:pPr>
      <w:r>
        <w:t>“</w:t>
      </w:r>
      <w:r>
        <w:rPr>
          <w:i/>
        </w:rPr>
        <w:t xml:space="preserve">R.20-24-2. pants. </w:t>
      </w:r>
      <w:r>
        <w:t>I. Elektroniskā vai digitālā signalizācijas ierīce, kas minēta L.34-9-2. panta pirmajā daļā, ir paredzēta, lai dienesti, kas atbild par drošību, valsts aizsardzību, glābšanu un muitu, varētu lidojuma laikā identificēt un lokalizēt gaisa kuģus, kuri lido bez cilvēka uz klāja un kuru masa pārsniedz dekrētā noteikto robežvērtību.</w:t>
      </w:r>
    </w:p>
    <w:p w:rsidR="00073A3D" w:rsidRPr="002E197B" w:rsidRDefault="00D50503">
      <w:pPr>
        <w:pStyle w:val="BodyText"/>
      </w:pPr>
      <w:r>
        <w:t>Šim nolūkam minētā ierīce elektroniski pārraida šādu informāciju:</w:t>
      </w:r>
    </w:p>
    <w:p w:rsidR="00073A3D" w:rsidRPr="002E197B" w:rsidRDefault="00D50503">
      <w:pPr>
        <w:pStyle w:val="BodyText"/>
      </w:pPr>
      <w:r>
        <w:t>1. elektroniskās vai digitālās signalizācijas ierīces identifikācijas numurs;</w:t>
      </w:r>
    </w:p>
    <w:p w:rsidR="00073A3D" w:rsidRPr="002E197B" w:rsidRDefault="00D50503">
      <w:pPr>
        <w:pStyle w:val="BodyText"/>
      </w:pPr>
      <w:r>
        <w:t xml:space="preserve">2. gaisa kuģa ģeogrāfiskās atrašanās vietas koordinātes un augstums virs jūras līmeņa; </w:t>
      </w:r>
    </w:p>
    <w:p w:rsidR="00073A3D" w:rsidRPr="002E197B" w:rsidRDefault="00D50503">
      <w:pPr>
        <w:pStyle w:val="BodyText"/>
      </w:pPr>
      <w:r>
        <w:t>3. šīs ģeogrāfiskās atrašanās vietas stunda un datums;</w:t>
      </w:r>
    </w:p>
    <w:p w:rsidR="00073A3D" w:rsidRPr="002E197B" w:rsidRDefault="00D50503">
      <w:pPr>
        <w:pStyle w:val="BodyText"/>
      </w:pPr>
      <w:r>
        <w:t>4. gaisa kuģa pacelšanās punkta ģeogrāfiskās atrašanās vietas koordinātas;</w:t>
      </w:r>
    </w:p>
    <w:p w:rsidR="00073A3D" w:rsidRPr="002E197B" w:rsidRDefault="00D50503">
      <w:pPr>
        <w:pStyle w:val="BodyText"/>
      </w:pPr>
      <w:r>
        <w:t>5. gaisa kuģa maršruts un ātrums.</w:t>
      </w:r>
    </w:p>
    <w:p w:rsidR="00073A3D" w:rsidRPr="002E197B" w:rsidRDefault="00D50503">
      <w:pPr>
        <w:pStyle w:val="BodyText"/>
      </w:pPr>
      <w:r>
        <w:t>Attiecīgi pilnvarotas personas šo informāciju vajadzības gadījumā un atkarībā no tās pārzināšanas nepieciešamības var izmantot tiesu izmeklēšanas, administratīviem vai izlūkošanas un statistikas nolūkiem.</w:t>
      </w:r>
    </w:p>
    <w:p w:rsidR="00073A3D" w:rsidRPr="002E197B" w:rsidRDefault="00D50503">
      <w:pPr>
        <w:pStyle w:val="BodyText"/>
      </w:pPr>
      <w:r>
        <w:t>II. Gaismas signalizācijas ierīce, kas minēta L.34-9-2. panta pirmajā daļā, ir paredzēta, lai dienesti, kas atbild par drošību, valsts aizsardzību, glābšanu un muitu, varētu lidojuma laikā vieglāk atklāt gaisa kuģus, kuri lido bez cilvēka uz klāja un kuru masa pārsniedz dekrētā noteikto robežvērtību, un atšķirt tos no citiem gaisa kuģiem.</w:t>
      </w:r>
    </w:p>
    <w:p w:rsidR="00073A3D" w:rsidRPr="002E197B" w:rsidRDefault="00D50503">
      <w:pPr>
        <w:pStyle w:val="BodyText"/>
      </w:pPr>
      <w:r>
        <w:t>III. Iekšlietu ministra, par transportu atbildīgā ministra un par elektroniskajiem sakariem atbildīgā ministra rīkojums nosaka elektroniskās vai digitālās signalizācijas ierīces tehniskās īpašības un pārraidītās informācijas formātu, kā arī gaismas signalizācijas ierīces tehniskās īpašības.”</w:t>
      </w:r>
    </w:p>
    <w:p w:rsidR="002E197B" w:rsidRPr="002E197B" w:rsidRDefault="002E197B">
      <w:pPr>
        <w:pStyle w:val="BodyText"/>
      </w:pPr>
    </w:p>
    <w:p w:rsidR="00073A3D" w:rsidRPr="002E197B" w:rsidRDefault="00D50503" w:rsidP="003C174A">
      <w:pPr>
        <w:pStyle w:val="BodyText"/>
        <w:keepNext/>
        <w:keepLines/>
        <w:jc w:val="center"/>
        <w:rPr>
          <w:b/>
        </w:rPr>
      </w:pPr>
      <w:r>
        <w:rPr>
          <w:b/>
        </w:rPr>
        <w:lastRenderedPageBreak/>
        <w:t>II nodaļa. Noteikumi par nosacījumiem atbrīvošanai no signalizēšanas pienākuma</w:t>
      </w:r>
    </w:p>
    <w:p w:rsidR="00073A3D" w:rsidRPr="002E197B" w:rsidRDefault="00073A3D" w:rsidP="003C174A">
      <w:pPr>
        <w:keepNext/>
        <w:keepLines/>
        <w:jc w:val="center"/>
        <w:rPr>
          <w:rFonts w:eastAsia="Calibri"/>
          <w:b/>
        </w:rPr>
      </w:pPr>
    </w:p>
    <w:p w:rsidR="00073A3D" w:rsidRPr="002E197B" w:rsidRDefault="00D50503" w:rsidP="003C174A">
      <w:pPr>
        <w:keepNext/>
        <w:keepLines/>
        <w:jc w:val="center"/>
        <w:rPr>
          <w:rFonts w:eastAsia="Calibri"/>
          <w:b/>
        </w:rPr>
      </w:pPr>
      <w:r>
        <w:rPr>
          <w:b/>
        </w:rPr>
        <w:t>2. pants</w:t>
      </w:r>
    </w:p>
    <w:p w:rsidR="00073A3D" w:rsidRPr="002E197B" w:rsidRDefault="00073A3D" w:rsidP="003C174A">
      <w:pPr>
        <w:pStyle w:val="BodyText"/>
        <w:keepNext/>
        <w:keepLines/>
        <w:jc w:val="center"/>
        <w:rPr>
          <w:b/>
        </w:rPr>
      </w:pPr>
    </w:p>
    <w:p w:rsidR="00073A3D" w:rsidRPr="002E197B" w:rsidRDefault="00D50503">
      <w:pPr>
        <w:pStyle w:val="BodyText"/>
      </w:pPr>
      <w:r>
        <w:t>Pasta un elektronisko sakaru kodeksa normatīvās daļas (Valsts padomes dekrēti) II sējuma I daļas II nodaļas 5. iedaļas 6. apakšiedaļu papildina ar R.20-24-3. pantu šādā redakcijā:</w:t>
      </w:r>
    </w:p>
    <w:p w:rsidR="00073A3D" w:rsidRPr="002E197B" w:rsidRDefault="00073A3D">
      <w:pPr>
        <w:pStyle w:val="BodyText"/>
      </w:pPr>
    </w:p>
    <w:p w:rsidR="00073A3D" w:rsidRPr="002E197B" w:rsidRDefault="00D50503">
      <w:pPr>
        <w:pStyle w:val="BodyText"/>
      </w:pPr>
      <w:r>
        <w:t>“</w:t>
      </w:r>
      <w:r>
        <w:rPr>
          <w:i/>
        </w:rPr>
        <w:t xml:space="preserve">R.20-24-3. pants. </w:t>
      </w:r>
      <w:r>
        <w:t>I. No pienākuma uzstādīt elektroniskās vai digitālās signalizācijas ierīces ir atbrīvoti gaisa kuģi, kuri lido bez cilvēka uz klāja:</w:t>
      </w:r>
    </w:p>
    <w:p w:rsidR="00073A3D" w:rsidRPr="002E197B" w:rsidRDefault="00D50503">
      <w:pPr>
        <w:pStyle w:val="BodyText"/>
      </w:pPr>
      <w:r>
        <w:t xml:space="preserve">1. ja tos izmanto atpūtas nolūkā, tostarp sacensībām un ar tālvadību, kad tālvadības piloti ir tādas apvienības biedri, kas ietilpst valsts līmenī atzītā aviomodelisma federācijā, kā norādīts Civilās aviācijas kodeksa D.510-3. pantā, vai dažādu sporta veidu federācijā, ko apstiprinājis par sportu atbildīgais ministrs un kas nodrošina aviomodelisma nodarbības darbības vietā, kura publicēta kā aeronavigācijas informācija un ir pienācīgi atzīta par atbilstošu šāda atbrīvojuma nosacījumiem; </w:t>
      </w:r>
    </w:p>
    <w:p w:rsidR="00073A3D" w:rsidRPr="002E197B" w:rsidRDefault="00D50503">
      <w:pPr>
        <w:pStyle w:val="BodyText"/>
        <w:spacing w:after="0"/>
      </w:pPr>
      <w:r>
        <w:t>2. ja tos izmanto slēgtās un pārsegtās telpās;</w:t>
      </w:r>
    </w:p>
    <w:p w:rsidR="002E197B" w:rsidRPr="002E197B" w:rsidRDefault="002E197B">
      <w:pPr>
        <w:pStyle w:val="BodyText"/>
        <w:spacing w:after="0"/>
      </w:pPr>
    </w:p>
    <w:p w:rsidR="00073A3D" w:rsidRPr="002E197B" w:rsidRDefault="00BF6B0E">
      <w:pPr>
        <w:pStyle w:val="BodyText"/>
        <w:spacing w:after="0"/>
      </w:pPr>
      <w:r>
        <w:t>3. ja tie pieder pie gaisa kuģu kategorijām, kas minētas Transporta kodeksa L.6100-1. panta otrajā daļā, neskarot noteikumus, ko piemēro militāriem gaisa kuģiem un valstij piederošiem gaisa kuģiem, un tos izmanto muitas, sabiedrības drošības un civilās aizsardzības dienesti;</w:t>
      </w:r>
    </w:p>
    <w:p w:rsidR="00073A3D" w:rsidRPr="002E197B" w:rsidRDefault="00073A3D">
      <w:pPr>
        <w:pStyle w:val="BodyText"/>
        <w:spacing w:after="0"/>
      </w:pPr>
    </w:p>
    <w:p w:rsidR="00073A3D" w:rsidRPr="002E197B" w:rsidRDefault="00D50503">
      <w:pPr>
        <w:pStyle w:val="ListParagraph"/>
        <w:ind w:left="0"/>
        <w:jc w:val="both"/>
        <w:rPr>
          <w:color w:val="auto"/>
        </w:rPr>
      </w:pPr>
      <w:r>
        <w:rPr>
          <w:color w:val="auto"/>
        </w:rPr>
        <w:t>4. ja tie nepieder pie gaisa kuģu kategorijām, kas minētas Transporta kodeksa L.6100-1. panta otrajā daļā, bet tos izmanto muitas, policijas un civilās aizsardzības uzdevumu izpildē vai ieviešot tehniku, kas minēta Iekšējās drošības kodeksa VIII sējuma V daļā.</w:t>
      </w:r>
    </w:p>
    <w:p w:rsidR="00073A3D" w:rsidRPr="002E197B" w:rsidRDefault="00073A3D">
      <w:pPr>
        <w:pStyle w:val="ListParagraph"/>
        <w:ind w:left="0"/>
        <w:jc w:val="both"/>
        <w:rPr>
          <w:color w:val="auto"/>
        </w:rPr>
      </w:pPr>
    </w:p>
    <w:p w:rsidR="00073A3D" w:rsidRPr="002E197B" w:rsidRDefault="00073A3D">
      <w:pPr>
        <w:pStyle w:val="BodyText"/>
        <w:spacing w:after="0"/>
        <w:jc w:val="left"/>
      </w:pPr>
    </w:p>
    <w:p w:rsidR="00073A3D" w:rsidRPr="002E197B" w:rsidRDefault="00D50503" w:rsidP="002E197B">
      <w:pPr>
        <w:pStyle w:val="BodyText"/>
        <w:tabs>
          <w:tab w:val="left" w:pos="0"/>
        </w:tabs>
      </w:pPr>
      <w:r>
        <w:t>II. No pienākuma uzstādīt gaismas signalizācijas ierīces darba kārtībā ir atbrīvoti gaisa kuģi, kuri lido bez cilvēka uz klāja:</w:t>
      </w:r>
    </w:p>
    <w:p w:rsidR="00073A3D" w:rsidRPr="002E197B" w:rsidRDefault="00D50503">
      <w:pPr>
        <w:pStyle w:val="BodyText"/>
      </w:pPr>
      <w:r>
        <w:t xml:space="preserve">1. ja tos izmanto atpūtas nolūkā, tostarp sacensībām un ar tālvadību, kad tālvadības piloti ir tādas apvienības biedri, kas ietilpst valsts līmenī atzītā aviomodelisma federācijā, kā norādīts Civilās aviācijas kodeksa D.510-3. pantā, vai dažādu sporta veidu federācijā, ko apstiprinājis par sportu atbildīgais ministrs un kas nodrošina aviomodelisma nodarbības darbības vietā, kura publicēta kā aeronavigācijas informācija un ir pienācīgi atzīta par atbilstošu šāda atbrīvojuma nosacījumiem; </w:t>
      </w:r>
    </w:p>
    <w:p w:rsidR="00073A3D" w:rsidRPr="002E197B" w:rsidRDefault="00D50503">
      <w:pPr>
        <w:pStyle w:val="BodyText"/>
        <w:tabs>
          <w:tab w:val="left" w:pos="0"/>
        </w:tabs>
        <w:jc w:val="left"/>
      </w:pPr>
      <w:r>
        <w:t>2. ja tos izmanto slēgtās un pārsegtās telpās;</w:t>
      </w:r>
    </w:p>
    <w:p w:rsidR="00073A3D" w:rsidRPr="002E197B" w:rsidRDefault="00D50503" w:rsidP="002E197B">
      <w:pPr>
        <w:pStyle w:val="BodyText"/>
        <w:tabs>
          <w:tab w:val="left" w:pos="0"/>
        </w:tabs>
      </w:pPr>
      <w:r>
        <w:t xml:space="preserve">3. ja ar tiem veic eksperimentālus izmēģinājuma vai kontroles lidojumus, ievērojot nosacījumus, ko noteicis par civilo aviāciju atbildīgais ministrs; </w:t>
      </w:r>
    </w:p>
    <w:p w:rsidR="00073A3D" w:rsidRPr="002E197B" w:rsidRDefault="00BF6B0E">
      <w:pPr>
        <w:pStyle w:val="BodyText"/>
        <w:spacing w:after="0"/>
      </w:pPr>
      <w:r>
        <w:t>4. ja tie pieder pie gaisa kuģu kategorijām, kas minētas Transporta kodeksa L.6100-1. panta otrajā daļā, neskarot noteikumus, ko piemēro militāriem gaisa kuģiem un valstij piederošiem gaisa kuģiem, un tos izmanto muitas, sabiedrības drošības un civilās aizsardzības dienesti;</w:t>
      </w:r>
    </w:p>
    <w:p w:rsidR="00073A3D" w:rsidRPr="002E197B" w:rsidRDefault="00073A3D">
      <w:pPr>
        <w:pStyle w:val="BodyText"/>
        <w:spacing w:after="0"/>
      </w:pPr>
    </w:p>
    <w:p w:rsidR="00073A3D" w:rsidRPr="002E197B" w:rsidRDefault="00D50503">
      <w:pPr>
        <w:pStyle w:val="ListParagraph"/>
        <w:ind w:left="0"/>
        <w:jc w:val="both"/>
        <w:rPr>
          <w:color w:val="auto"/>
        </w:rPr>
      </w:pPr>
      <w:r>
        <w:rPr>
          <w:color w:val="auto"/>
        </w:rPr>
        <w:t>5. ja tie nepieder pie gaisa kuģu kategorijām, kas minētas Transporta kodeksa L.6100-1. panta otrajā daļā, bet tos izmanto muitas, policijas un civilās aizsardzības uzdevumu izpildē vai ieviešot tehniku, kas minēta Iekšējās drošības kodeksa VIII sējuma V daļā.</w:t>
      </w:r>
    </w:p>
    <w:p w:rsidR="00073A3D" w:rsidRPr="002E197B" w:rsidRDefault="00073A3D">
      <w:pPr>
        <w:pStyle w:val="BodyText"/>
        <w:tabs>
          <w:tab w:val="left" w:pos="0"/>
        </w:tabs>
        <w:jc w:val="left"/>
      </w:pPr>
    </w:p>
    <w:p w:rsidR="00073A3D" w:rsidRPr="002E197B" w:rsidRDefault="00D50503" w:rsidP="003C174A">
      <w:pPr>
        <w:pStyle w:val="BodyText"/>
        <w:keepNext/>
        <w:keepLines/>
        <w:tabs>
          <w:tab w:val="left" w:pos="0"/>
        </w:tabs>
        <w:jc w:val="center"/>
        <w:rPr>
          <w:b/>
        </w:rPr>
      </w:pPr>
      <w:r>
        <w:rPr>
          <w:b/>
        </w:rPr>
        <w:lastRenderedPageBreak/>
        <w:t>III nodaļa. Sankcijas</w:t>
      </w:r>
    </w:p>
    <w:p w:rsidR="00073A3D" w:rsidRPr="002E197B" w:rsidRDefault="00073A3D" w:rsidP="003C174A">
      <w:pPr>
        <w:pStyle w:val="BodyText"/>
        <w:keepNext/>
        <w:keepLines/>
        <w:tabs>
          <w:tab w:val="left" w:pos="0"/>
        </w:tabs>
        <w:jc w:val="center"/>
        <w:rPr>
          <w:b/>
        </w:rPr>
      </w:pPr>
    </w:p>
    <w:p w:rsidR="00073A3D" w:rsidRPr="002E197B" w:rsidRDefault="00D50503" w:rsidP="003C174A">
      <w:pPr>
        <w:keepNext/>
        <w:keepLines/>
        <w:jc w:val="center"/>
        <w:rPr>
          <w:rFonts w:eastAsia="Calibri"/>
          <w:b/>
        </w:rPr>
      </w:pPr>
      <w:r>
        <w:rPr>
          <w:b/>
        </w:rPr>
        <w:t>4. pants</w:t>
      </w:r>
    </w:p>
    <w:p w:rsidR="00073A3D" w:rsidRPr="002E197B" w:rsidRDefault="00073A3D" w:rsidP="003C174A">
      <w:pPr>
        <w:keepNext/>
        <w:keepLines/>
        <w:jc w:val="center"/>
        <w:rPr>
          <w:rFonts w:eastAsia="Calibri"/>
          <w:b/>
        </w:rPr>
      </w:pPr>
    </w:p>
    <w:p w:rsidR="00073A3D" w:rsidRPr="002E197B" w:rsidRDefault="00D50503">
      <w:pPr>
        <w:jc w:val="both"/>
        <w:rPr>
          <w:rFonts w:eastAsia="Calibri"/>
        </w:rPr>
      </w:pPr>
      <w:r>
        <w:t>Pasta un elektronisko sakaru kodeksa normatīvās daļas (Valsts padomes dekrēti) II sējuma I daļas II nodaļas 5. iedaļas 7. apakšiedaļā iekļauj R.20-25-1. un R.20-25-2. pantu šādā redakcijā:</w:t>
      </w:r>
    </w:p>
    <w:p w:rsidR="00073A3D" w:rsidRPr="002E197B" w:rsidRDefault="00073A3D">
      <w:pPr>
        <w:rPr>
          <w:rFonts w:eastAsia="Calibri"/>
        </w:rPr>
      </w:pPr>
    </w:p>
    <w:p w:rsidR="00073A3D" w:rsidRPr="002E197B" w:rsidRDefault="00D50503">
      <w:r>
        <w:t>“</w:t>
      </w:r>
      <w:r>
        <w:rPr>
          <w:i/>
        </w:rPr>
        <w:t>R.20-25-1. pants.</w:t>
      </w:r>
      <w:r>
        <w:t xml:space="preserve"> Ar naudassodu, kas paredzēts par ceturtās kategorijas pārkāpumiem, soda:</w:t>
      </w:r>
    </w:p>
    <w:p w:rsidR="00073A3D" w:rsidRPr="002E197B" w:rsidRDefault="00073A3D">
      <w:pPr>
        <w:rPr>
          <w:i/>
        </w:rPr>
      </w:pPr>
    </w:p>
    <w:p w:rsidR="00073A3D" w:rsidRPr="002E197B" w:rsidRDefault="00D50503">
      <w:pPr>
        <w:jc w:val="both"/>
      </w:pPr>
      <w:r>
        <w:t>1. tāda gaisa kuģa īpašnieku, kas lido bez cilvēka uz klāja, ja tas lido bez elektroniskās vai digitālās signalizācijas ierīces, kura minēta L.34-9-2. panta pirmajā daļā un R.20-24-2. panta I iedaļā, vai bez elektroniskās vai digitālās signalizācijas ierīces darba kārtībā;</w:t>
      </w:r>
    </w:p>
    <w:p w:rsidR="00073A3D" w:rsidRPr="002E197B" w:rsidRDefault="00073A3D"/>
    <w:p w:rsidR="00073A3D" w:rsidRPr="002E197B" w:rsidRDefault="00D50503">
      <w:pPr>
        <w:jc w:val="both"/>
        <w:rPr>
          <w:rFonts w:eastAsia="Calibri"/>
        </w:rPr>
      </w:pPr>
      <w:r>
        <w:t>2. tāda gaisa kuģa īpašnieku, kas lido bez cilvēka uz klāja, ja tas lido bez gaismas signalizācijas ierīces, kura minēta L.34-9-2. panta pirmajā daļā un R.20-24-2. panta II iedaļā, vai bez gaismas signalizācijas ierīces darba kārtībā.”</w:t>
      </w:r>
    </w:p>
    <w:p w:rsidR="00FA699A" w:rsidRPr="002E197B" w:rsidRDefault="00FA699A">
      <w:pPr>
        <w:jc w:val="both"/>
        <w:rPr>
          <w:rFonts w:eastAsia="Calibri"/>
        </w:rPr>
      </w:pPr>
    </w:p>
    <w:p w:rsidR="00FA699A" w:rsidRPr="002E197B" w:rsidRDefault="00FA699A" w:rsidP="00FA699A">
      <w:r>
        <w:t>“</w:t>
      </w:r>
      <w:r>
        <w:rPr>
          <w:i/>
        </w:rPr>
        <w:t>R.20-25-2. pants.</w:t>
      </w:r>
      <w:r>
        <w:t xml:space="preserve"> Ar naudassodu, kas paredzēts par piektās kategorijas pārkāpumiem, soda:</w:t>
      </w:r>
    </w:p>
    <w:p w:rsidR="00FA699A" w:rsidRPr="002E197B" w:rsidRDefault="00FA699A" w:rsidP="00FA699A">
      <w:pPr>
        <w:rPr>
          <w:i/>
        </w:rPr>
      </w:pPr>
    </w:p>
    <w:p w:rsidR="00FA699A" w:rsidRPr="00311055" w:rsidRDefault="00FA699A" w:rsidP="00FA699A">
      <w:pPr>
        <w:pStyle w:val="BodyText"/>
        <w:rPr>
          <w:rFonts w:ascii="Times New              Roman;se" w:eastAsia="Calibri" w:hAnsi="Times New              Roman;se"/>
        </w:rPr>
      </w:pPr>
      <w:r>
        <w:rPr>
          <w:rFonts w:ascii="Times New              Roman;se" w:hAnsi="Times New              Roman;se"/>
        </w:rPr>
        <w:t>par tāda elektroniska vai digitāla signāla tīšu pārraidīšanu, kas minēts L.34-9-2. panta pirmajā daļā, ja tas neatbilst faktiskajam lidojuma stāvoklim signāla pārraidīšanas laikā un to pārraida gaisa kuģis, kas lido bez cilvēka uz klāja un ir reģistrēts datubāzē, kura minēta Transporta kodeksa [..]. pantā.”</w:t>
      </w:r>
    </w:p>
    <w:p w:rsidR="00073A3D" w:rsidRPr="002E197B" w:rsidRDefault="00073A3D">
      <w:pPr>
        <w:jc w:val="center"/>
        <w:rPr>
          <w:rFonts w:eastAsia="Calibri"/>
          <w:b/>
          <w:lang w:eastAsia="fr-FR"/>
        </w:rPr>
      </w:pPr>
    </w:p>
    <w:p w:rsidR="00073A3D" w:rsidRPr="002E197B" w:rsidRDefault="00073A3D"/>
    <w:p w:rsidR="00073A3D" w:rsidRPr="002E197B" w:rsidRDefault="00D50503">
      <w:pPr>
        <w:jc w:val="center"/>
        <w:rPr>
          <w:b/>
          <w:bCs/>
        </w:rPr>
      </w:pPr>
      <w:r>
        <w:rPr>
          <w:b/>
          <w:bCs/>
        </w:rPr>
        <w:t>5. pants</w:t>
      </w:r>
    </w:p>
    <w:p w:rsidR="00073A3D" w:rsidRPr="002E197B" w:rsidRDefault="00073A3D"/>
    <w:p w:rsidR="00BE1E1D" w:rsidRPr="00311055" w:rsidRDefault="00D50503">
      <w:pPr>
        <w:pStyle w:val="BodyText"/>
        <w:rPr>
          <w:rFonts w:ascii="Times New              Roman;se" w:eastAsia="Calibri" w:hAnsi="Times New              Roman;se"/>
        </w:rPr>
      </w:pPr>
      <w:r>
        <w:rPr>
          <w:rFonts w:ascii="Times New              Roman;se" w:hAnsi="Times New              Roman;se"/>
        </w:rPr>
        <w:t>Kriminālprocesa kodeksa R.48-1. panta 12. punktā pēc vārdiem “Civilās aviācijas kodeksā” iekļauj vārdus “un Pasta un elektronisko sakaru kodeksa R.20-25-1. un R.20-25-2. pantā”. </w:t>
      </w:r>
    </w:p>
    <w:p w:rsidR="00073A3D" w:rsidRPr="002E197B" w:rsidRDefault="00073A3D"/>
    <w:p w:rsidR="00073A3D" w:rsidRPr="002E197B" w:rsidRDefault="00D50503">
      <w:pPr>
        <w:jc w:val="center"/>
        <w:rPr>
          <w:b/>
        </w:rPr>
      </w:pPr>
      <w:r>
        <w:rPr>
          <w:b/>
        </w:rPr>
        <w:t>IV nodaļa. Nobeiguma noteikumi</w:t>
      </w:r>
    </w:p>
    <w:p w:rsidR="00073A3D" w:rsidRPr="002E197B" w:rsidRDefault="00073A3D">
      <w:pPr>
        <w:rPr>
          <w:b/>
        </w:rPr>
      </w:pPr>
    </w:p>
    <w:p w:rsidR="00073A3D" w:rsidRPr="002E197B" w:rsidRDefault="00D50503">
      <w:pPr>
        <w:jc w:val="center"/>
        <w:rPr>
          <w:b/>
        </w:rPr>
      </w:pPr>
      <w:r>
        <w:rPr>
          <w:b/>
        </w:rPr>
        <w:t>6. pants</w:t>
      </w:r>
    </w:p>
    <w:p w:rsidR="00697687" w:rsidRPr="002E197B" w:rsidRDefault="00697687">
      <w:pPr>
        <w:pStyle w:val="BodyText"/>
      </w:pPr>
    </w:p>
    <w:p w:rsidR="00073A3D" w:rsidRPr="002E197B" w:rsidRDefault="00D50503">
      <w:pPr>
        <w:pStyle w:val="BodyText"/>
        <w:rPr>
          <w:b/>
        </w:rPr>
      </w:pPr>
      <w:r>
        <w:t>Šā dekrēta noteikumus piemēro Francijas Polinēzijā, Volisa un Futunas Salās, kā arī Francijas Dienvidjūru un Antarktikas Zemēs.</w:t>
      </w:r>
    </w:p>
    <w:p w:rsidR="00073A3D" w:rsidRPr="002E197B" w:rsidRDefault="00073A3D">
      <w:pPr>
        <w:jc w:val="center"/>
        <w:rPr>
          <w:b/>
        </w:rPr>
      </w:pPr>
    </w:p>
    <w:p w:rsidR="00073A3D" w:rsidRPr="002E197B" w:rsidRDefault="00D50503">
      <w:pPr>
        <w:pStyle w:val="BodyText"/>
        <w:jc w:val="center"/>
        <w:rPr>
          <w:b/>
        </w:rPr>
      </w:pPr>
      <w:r>
        <w:rPr>
          <w:b/>
        </w:rPr>
        <w:t>7. pants</w:t>
      </w:r>
    </w:p>
    <w:p w:rsidR="00073A3D" w:rsidRPr="002E197B" w:rsidRDefault="00D50503">
      <w:pPr>
        <w:pStyle w:val="SNAutorit"/>
        <w:spacing w:before="120" w:after="0"/>
        <w:ind w:firstLine="0"/>
        <w:jc w:val="both"/>
      </w:pPr>
      <w:r>
        <w:rPr>
          <w:b w:val="0"/>
        </w:rPr>
        <w:t>Šis dekrēts stājas spēkā nākamajā dienā pēc tā publicēšanas dienas, izņemot Pasta un elektronisko sakaru kodeksa R.20-25-1. un R.20-25-2. panta noteikumus, kuri stājas spēkā 2019. gada 1. janvārī.</w:t>
      </w:r>
    </w:p>
    <w:p w:rsidR="00073A3D" w:rsidRPr="002E197B" w:rsidRDefault="00D50503">
      <w:pPr>
        <w:pStyle w:val="SNArticle"/>
      </w:pPr>
      <w:r>
        <w:t>8. pants</w:t>
      </w:r>
    </w:p>
    <w:p w:rsidR="00073A3D" w:rsidRPr="002E197B" w:rsidRDefault="00D50503">
      <w:pPr>
        <w:pStyle w:val="BodyText"/>
      </w:pPr>
      <w:r>
        <w:t xml:space="preserve">Par šā dekrēta izpildi katrs savā kompetences jomā atbild valsts ministrs — iekšlietu ministrs, valsts ministrs — ekoloģiskas un solidāras pārkārtošanas ministrs, zīmogglabātāja — tieslietu ministre, ekonomikas un finanšu ministrs, aizjūras teritoriju ministrs un valsts ministra — ekoloģiskas un solidāras pārkārtošanas ministra — biroja ministre, kas atbild par transportu, un </w:t>
      </w:r>
      <w:r>
        <w:lastRenderedPageBreak/>
        <w:t xml:space="preserve">dekrētu publicē </w:t>
      </w:r>
      <w:r>
        <w:rPr>
          <w:i/>
        </w:rPr>
        <w:t>Journal officiel de la République française</w:t>
      </w:r>
      <w:r>
        <w:t xml:space="preserve"> [Francijas Republikas Oficiālajā vēstnesī].</w:t>
      </w:r>
    </w:p>
    <w:p w:rsidR="00073A3D" w:rsidRPr="002E197B" w:rsidRDefault="00D50503">
      <w:pPr>
        <w:pStyle w:val="SNDate"/>
      </w:pPr>
      <w:r>
        <w:t>[Datums]</w:t>
      </w:r>
      <w:bookmarkStart w:id="0" w:name="_GoBack"/>
      <w:bookmarkEnd w:id="0"/>
    </w:p>
    <w:p w:rsidR="00073A3D" w:rsidRPr="002E197B" w:rsidRDefault="00D50503">
      <w:pPr>
        <w:pStyle w:val="SNDate"/>
      </w:pPr>
      <w:r>
        <w:t>Premjerministra vārdā —</w:t>
      </w:r>
    </w:p>
    <w:p w:rsidR="00073A3D" w:rsidRPr="002E197B" w:rsidRDefault="00D50503">
      <w:pPr>
        <w:pStyle w:val="SNSignatureGauche"/>
      </w:pPr>
      <w:r>
        <w:t>valsts ministrs — iekšlietu ministrs</w:t>
      </w:r>
    </w:p>
    <w:p w:rsidR="00073A3D" w:rsidRPr="002E197B" w:rsidRDefault="00D50503">
      <w:pPr>
        <w:pStyle w:val="SNSignatureprnomnomGauche"/>
        <w:rPr>
          <w:color w:val="auto"/>
        </w:rPr>
      </w:pPr>
      <w:r>
        <w:rPr>
          <w:i/>
          <w:color w:val="auto"/>
        </w:rPr>
        <w:t>Gérard COLLOMB</w:t>
      </w:r>
    </w:p>
    <w:p w:rsidR="00073A3D" w:rsidRPr="002E197B" w:rsidRDefault="00D50503">
      <w:pPr>
        <w:pStyle w:val="SNSignatureDroite"/>
        <w:rPr>
          <w:color w:val="auto"/>
        </w:rPr>
      </w:pPr>
      <w:r>
        <w:rPr>
          <w:color w:val="auto"/>
        </w:rPr>
        <w:t>valsts ministrs — ekoloģiskas un solidāras pārkārtošanas ministrs</w:t>
      </w:r>
    </w:p>
    <w:p w:rsidR="00073A3D" w:rsidRPr="002E197B" w:rsidRDefault="00D50503">
      <w:pPr>
        <w:pStyle w:val="SNSignatureDroite"/>
        <w:rPr>
          <w:color w:val="auto"/>
        </w:rPr>
      </w:pPr>
      <w:r>
        <w:rPr>
          <w:i/>
          <w:color w:val="auto"/>
        </w:rPr>
        <w:t>Nicolas HULOT</w:t>
      </w:r>
    </w:p>
    <w:p w:rsidR="00000ECF" w:rsidRPr="002E197B" w:rsidRDefault="00000ECF" w:rsidP="00697687">
      <w:pPr>
        <w:pStyle w:val="SNSignatureprnomnomDroite"/>
        <w:ind w:left="0"/>
        <w:jc w:val="left"/>
        <w:rPr>
          <w:color w:val="auto"/>
        </w:rPr>
      </w:pPr>
      <w:r>
        <w:rPr>
          <w:color w:val="auto"/>
        </w:rPr>
        <w:t>zīmogglabātāja — tieslietu ministre</w:t>
      </w:r>
    </w:p>
    <w:p w:rsidR="00697687" w:rsidRPr="002E197B" w:rsidRDefault="00697687" w:rsidP="00697687">
      <w:pPr>
        <w:pStyle w:val="SNSignatureprnomnomGauche"/>
        <w:tabs>
          <w:tab w:val="left" w:pos="9354"/>
        </w:tabs>
        <w:ind w:left="0"/>
        <w:rPr>
          <w:color w:val="auto"/>
        </w:rPr>
      </w:pPr>
    </w:p>
    <w:p w:rsidR="00697687" w:rsidRPr="002E197B" w:rsidRDefault="00697687" w:rsidP="00697687">
      <w:pPr>
        <w:pStyle w:val="SNSignatureprnomnomGauche"/>
        <w:tabs>
          <w:tab w:val="left" w:pos="9354"/>
        </w:tabs>
        <w:ind w:left="0"/>
        <w:rPr>
          <w:color w:val="auto"/>
        </w:rPr>
      </w:pPr>
    </w:p>
    <w:p w:rsidR="00697687" w:rsidRPr="002E197B" w:rsidRDefault="00697687" w:rsidP="00697687">
      <w:pPr>
        <w:pStyle w:val="SNSignatureprnomnomGauche"/>
        <w:tabs>
          <w:tab w:val="left" w:pos="9354"/>
        </w:tabs>
        <w:ind w:left="0"/>
        <w:rPr>
          <w:color w:val="auto"/>
        </w:rPr>
      </w:pPr>
    </w:p>
    <w:p w:rsidR="00D47282" w:rsidRPr="002E197B" w:rsidRDefault="00000ECF" w:rsidP="00697687">
      <w:pPr>
        <w:pStyle w:val="SNSignatureprnomnomGauche"/>
        <w:tabs>
          <w:tab w:val="left" w:pos="9354"/>
        </w:tabs>
        <w:ind w:left="0"/>
        <w:rPr>
          <w:color w:val="auto"/>
        </w:rPr>
      </w:pPr>
      <w:r>
        <w:rPr>
          <w:i/>
          <w:color w:val="auto"/>
        </w:rPr>
        <w:t>Nicole BELLOUBET</w:t>
      </w:r>
    </w:p>
    <w:p w:rsidR="00000ECF" w:rsidRPr="002E197B" w:rsidRDefault="00000ECF" w:rsidP="00000ECF">
      <w:pPr>
        <w:pStyle w:val="SNSignatureGauche"/>
      </w:pPr>
    </w:p>
    <w:p w:rsidR="00697687" w:rsidRPr="002E197B" w:rsidRDefault="00697687">
      <w:pPr>
        <w:pStyle w:val="SNSignatureGauche"/>
      </w:pPr>
    </w:p>
    <w:p w:rsidR="00073A3D" w:rsidRPr="002E197B" w:rsidRDefault="00D50503">
      <w:pPr>
        <w:pStyle w:val="SNSignatureGauche"/>
      </w:pPr>
      <w:r>
        <w:t>ekonomikas un finanšu ministrs</w:t>
      </w:r>
    </w:p>
    <w:p w:rsidR="00073A3D" w:rsidRPr="002E197B" w:rsidRDefault="00D50503">
      <w:pPr>
        <w:pStyle w:val="SNSignatureGauche"/>
      </w:pPr>
      <w:r>
        <w:rPr>
          <w:i/>
        </w:rPr>
        <w:t>Bruno LEMAIRE</w:t>
      </w:r>
    </w:p>
    <w:p w:rsidR="00073A3D" w:rsidRPr="002E197B" w:rsidRDefault="00F54C64" w:rsidP="002E197B">
      <w:pPr>
        <w:pStyle w:val="SNSignatureprnomnomGauche"/>
        <w:tabs>
          <w:tab w:val="left" w:pos="5812"/>
          <w:tab w:val="left" w:pos="6237"/>
          <w:tab w:val="left" w:pos="6379"/>
          <w:tab w:val="left" w:pos="7230"/>
          <w:tab w:val="left" w:pos="7797"/>
          <w:tab w:val="left" w:pos="8364"/>
        </w:tabs>
        <w:ind w:left="0" w:right="0"/>
        <w:jc w:val="right"/>
        <w:rPr>
          <w:color w:val="auto"/>
        </w:rPr>
      </w:pPr>
      <w:r>
        <w:rPr>
          <w:color w:val="auto"/>
        </w:rPr>
        <w:t>aizjūras teritoriju ministre</w:t>
      </w:r>
    </w:p>
    <w:p w:rsidR="00073A3D" w:rsidRPr="002E197B" w:rsidRDefault="00073A3D">
      <w:pPr>
        <w:pStyle w:val="SNSignatureGauche"/>
        <w:tabs>
          <w:tab w:val="left" w:pos="8222"/>
        </w:tabs>
      </w:pPr>
    </w:p>
    <w:p w:rsidR="00073A3D" w:rsidRPr="002E197B" w:rsidRDefault="00D50503" w:rsidP="002E197B">
      <w:pPr>
        <w:pStyle w:val="SNSignatureGauche"/>
        <w:tabs>
          <w:tab w:val="left" w:pos="8222"/>
        </w:tabs>
        <w:ind w:left="0" w:right="0"/>
        <w:jc w:val="right"/>
      </w:pPr>
      <w:r>
        <w:rPr>
          <w:i/>
        </w:rPr>
        <w:t>Annick GIRARDIN</w:t>
      </w:r>
    </w:p>
    <w:p w:rsidR="00073A3D" w:rsidRPr="002E197B" w:rsidRDefault="00D50503">
      <w:pPr>
        <w:pStyle w:val="SNSignatureGauche"/>
      </w:pPr>
      <w:r>
        <w:lastRenderedPageBreak/>
        <w:t>valsts ministra — ekoloģiskas un solidāras pārkārtošanas ministra — biroja ministre, kura atbild par transportu</w:t>
      </w:r>
    </w:p>
    <w:p w:rsidR="00073A3D" w:rsidRPr="002E197B" w:rsidRDefault="00D50503">
      <w:pPr>
        <w:pStyle w:val="SNSignatureGauche"/>
      </w:pPr>
      <w:r>
        <w:rPr>
          <w:i/>
        </w:rPr>
        <w:t>Elisabeth BORNE</w:t>
      </w:r>
    </w:p>
    <w:sectPr w:rsidR="00073A3D" w:rsidRPr="002E197B" w:rsidSect="0014705D">
      <w:pgSz w:w="11906" w:h="16838"/>
      <w:pgMar w:top="1134" w:right="1418" w:bottom="1418"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D98" w:rsidRDefault="00B80D98" w:rsidP="00660ECB">
      <w:r>
        <w:separator/>
      </w:r>
    </w:p>
  </w:endnote>
  <w:endnote w:type="continuationSeparator" w:id="0">
    <w:p w:rsidR="00B80D98" w:rsidRDefault="00B80D98" w:rsidP="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Liberation Sans">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s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D98" w:rsidRDefault="00B80D98" w:rsidP="00660ECB">
      <w:r>
        <w:separator/>
      </w:r>
    </w:p>
  </w:footnote>
  <w:footnote w:type="continuationSeparator" w:id="0">
    <w:p w:rsidR="00B80D98" w:rsidRDefault="00B80D98" w:rsidP="00660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B47FD"/>
    <w:multiLevelType w:val="multilevel"/>
    <w:tmpl w:val="CF72BE8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3D"/>
    <w:rsid w:val="00000ECF"/>
    <w:rsid w:val="000448F5"/>
    <w:rsid w:val="00073A3D"/>
    <w:rsid w:val="0014705D"/>
    <w:rsid w:val="002E197B"/>
    <w:rsid w:val="00311055"/>
    <w:rsid w:val="003723F5"/>
    <w:rsid w:val="00397D5C"/>
    <w:rsid w:val="003B26B1"/>
    <w:rsid w:val="003C174A"/>
    <w:rsid w:val="003D5A5C"/>
    <w:rsid w:val="003F769D"/>
    <w:rsid w:val="004D1C2C"/>
    <w:rsid w:val="005527AE"/>
    <w:rsid w:val="005F3DB6"/>
    <w:rsid w:val="00660ECB"/>
    <w:rsid w:val="006732B4"/>
    <w:rsid w:val="00697687"/>
    <w:rsid w:val="0082741D"/>
    <w:rsid w:val="008E4588"/>
    <w:rsid w:val="009A32C8"/>
    <w:rsid w:val="009A4C69"/>
    <w:rsid w:val="00AD7A1C"/>
    <w:rsid w:val="00B80D98"/>
    <w:rsid w:val="00BE1E1D"/>
    <w:rsid w:val="00BF6B0E"/>
    <w:rsid w:val="00D47282"/>
    <w:rsid w:val="00D50503"/>
    <w:rsid w:val="00F54C64"/>
    <w:rsid w:val="00FA699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5B853D-18B4-4C1E-9F3C-52D03DC4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lv-LV"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lang w:bidi="ar-SA"/>
    </w:rPr>
  </w:style>
  <w:style w:type="paragraph" w:styleId="Heading1">
    <w:name w:val="heading 1"/>
    <w:basedOn w:val="Normal"/>
    <w:next w:val="Normal"/>
    <w:qFormat/>
    <w:pPr>
      <w:keepNext/>
      <w:numPr>
        <w:numId w:val="1"/>
      </w:numPr>
      <w:spacing w:before="240"/>
      <w:jc w:val="center"/>
      <w:outlineLvl w:val="0"/>
    </w:pPr>
    <w:rPr>
      <w:rFonts w:cs="Arial"/>
      <w:bCs/>
      <w:caps/>
    </w:rPr>
  </w:style>
  <w:style w:type="paragraph" w:styleId="Heading2">
    <w:name w:val="heading 2"/>
    <w:basedOn w:val="Normal"/>
    <w:next w:val="Normal"/>
    <w:qFormat/>
    <w:pPr>
      <w:keepNext/>
      <w:numPr>
        <w:ilvl w:val="1"/>
        <w:numId w:val="1"/>
      </w:numPr>
      <w:spacing w:before="240"/>
      <w:jc w:val="center"/>
      <w:outlineLvl w:val="1"/>
    </w:pPr>
    <w:rPr>
      <w:bCs/>
      <w:iCs/>
      <w:smallCaps/>
    </w:rPr>
  </w:style>
  <w:style w:type="paragraph" w:styleId="Heading3">
    <w:name w:val="heading 3"/>
    <w:basedOn w:val="Normal"/>
    <w:next w:val="Normal"/>
    <w:qFormat/>
    <w:pPr>
      <w:keepNext/>
      <w:numPr>
        <w:ilvl w:val="2"/>
        <w:numId w:val="1"/>
      </w:numPr>
      <w:spacing w:before="12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lv-LV" w:bidi="ar-SA"/>
    </w:rPr>
  </w:style>
  <w:style w:type="character" w:customStyle="1" w:styleId="SNDateCar">
    <w:name w:val="SNDate Car"/>
    <w:qFormat/>
    <w:rPr>
      <w:sz w:val="24"/>
      <w:szCs w:val="24"/>
      <w:lang w:val="lv-LV" w:bidi="ar-SA"/>
    </w:rPr>
  </w:style>
  <w:style w:type="character" w:customStyle="1" w:styleId="SNArticleCar">
    <w:name w:val="SNArticle Car"/>
    <w:qFormat/>
    <w:rPr>
      <w:b/>
      <w:sz w:val="24"/>
      <w:szCs w:val="24"/>
      <w:lang w:val="lv-LV" w:bidi="ar-SA"/>
    </w:rPr>
  </w:style>
  <w:style w:type="character" w:customStyle="1" w:styleId="SNenProjet">
    <w:name w:val="SNenProjet"/>
    <w:basedOn w:val="Policepardfaut1"/>
    <w:qFormat/>
  </w:style>
  <w:style w:type="character" w:customStyle="1" w:styleId="Marquedecommentaire1">
    <w:name w:val="Marque de commentaire1"/>
    <w:qFormat/>
    <w:rPr>
      <w:sz w:val="16"/>
      <w:szCs w:val="16"/>
    </w:rPr>
  </w:style>
  <w:style w:type="character" w:customStyle="1" w:styleId="CommentaireCar">
    <w:name w:val="Commentaire Car"/>
    <w:basedOn w:val="Policepardfaut1"/>
    <w:qFormat/>
  </w:style>
  <w:style w:type="character" w:customStyle="1" w:styleId="ObjetducommentaireCar">
    <w:name w:val="Objet du commentaire Car"/>
    <w:qFormat/>
    <w:rPr>
      <w:b/>
      <w:bCs/>
    </w:rPr>
  </w:style>
  <w:style w:type="character" w:customStyle="1" w:styleId="TextebrutCar">
    <w:name w:val="Texte brut Car"/>
    <w:qFormat/>
    <w:rPr>
      <w:rFonts w:ascii="Calibri" w:eastAsia="Calibri" w:hAnsi="Calibri" w:cs="Calibri"/>
      <w:color w:val="000000"/>
      <w:sz w:val="22"/>
      <w:szCs w:val="22"/>
    </w:rPr>
  </w:style>
  <w:style w:type="character" w:styleId="CommentReference">
    <w:name w:val="annotation reference"/>
    <w:qFormat/>
    <w:rPr>
      <w:sz w:val="16"/>
      <w:szCs w:val="16"/>
    </w:rPr>
  </w:style>
  <w:style w:type="character" w:customStyle="1" w:styleId="CommentaireCar1">
    <w:name w:val="Commentaire Car1"/>
    <w:qFormat/>
    <w:rPr>
      <w:lang w:eastAsia="zh-CN"/>
    </w:rPr>
  </w:style>
  <w:style w:type="paragraph" w:styleId="Title">
    <w:name w:val="Title"/>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20"/>
      <w:jc w:val="both"/>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Titre1">
    <w:name w:val="Titre1"/>
    <w:basedOn w:val="Normal"/>
    <w:next w:val="BodyText"/>
    <w:qFormat/>
    <w:pPr>
      <w:keepNext/>
      <w:spacing w:before="240" w:after="120"/>
    </w:pPr>
    <w:rPr>
      <w:rFonts w:ascii="Liberation Sans" w:eastAsia="微软雅黑" w:hAnsi="Liberation Sans" w:cs="Lucida Sans"/>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rFonts w:ascii="Times New Roman" w:eastAsia="Times New Roman" w:hAnsi="Times New Roman" w:cs="Times New Roman"/>
      <w:bCs/>
      <w:sz w:val="24"/>
      <w:szCs w:val="20"/>
      <w:lang w:bidi="ar-SA"/>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qFormat/>
    <w:pPr>
      <w:spacing w:before="120" w:after="1680"/>
      <w:ind w:left="5040"/>
      <w:jc w:val="right"/>
    </w:pPr>
    <w:rPr>
      <w:color w:val="000000"/>
    </w:rPr>
  </w:style>
  <w:style w:type="paragraph" w:customStyle="1" w:styleId="SNSignatureprnomnomDroite">
    <w:name w:val="SNSignature prénom+nom Droite"/>
    <w:basedOn w:val="SNSignatureDroite"/>
    <w:next w:val="SNSignatureGauche"/>
    <w:qFormat/>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BodyText"/>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rPr>
  </w:style>
  <w:style w:type="paragraph" w:customStyle="1" w:styleId="Titre2objet">
    <w:name w:val="Titre 2 objet"/>
    <w:basedOn w:val="Heading2"/>
    <w:next w:val="Normal"/>
    <w:qFormat/>
    <w:pPr>
      <w:numPr>
        <w:ilvl w:val="0"/>
        <w:numId w:val="0"/>
      </w:numPr>
      <w:spacing w:before="0" w:after="120"/>
    </w:pPr>
    <w:rPr>
      <w:b/>
    </w:rPr>
  </w:style>
  <w:style w:type="paragraph" w:customStyle="1" w:styleId="titre3objet">
    <w:name w:val="titre 3 objet"/>
    <w:basedOn w:val="Heading3"/>
    <w:next w:val="Normal"/>
    <w:qFormat/>
    <w:pPr>
      <w:numPr>
        <w:ilvl w:val="0"/>
        <w:numId w:val="0"/>
      </w:numPr>
      <w:spacing w:before="0" w:after="120"/>
    </w:pPr>
    <w:rPr>
      <w:b/>
    </w:r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Textebrut1">
    <w:name w:val="Texte brut1"/>
    <w:basedOn w:val="Normal"/>
    <w:qFormat/>
    <w:rPr>
      <w:rFonts w:ascii="Calibri" w:eastAsia="Calibri" w:hAnsi="Calibri" w:cs="Calibri"/>
      <w:color w:val="000000"/>
      <w:sz w:val="22"/>
      <w:szCs w:val="2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Text">
    <w:name w:val="annotation text"/>
    <w:basedOn w:val="Normal"/>
    <w:qFormat/>
    <w:rPr>
      <w:sz w:val="20"/>
      <w:szCs w:val="20"/>
    </w:rPr>
  </w:style>
  <w:style w:type="paragraph" w:styleId="ListParagraph">
    <w:name w:val="List Paragraph"/>
    <w:basedOn w:val="Normal"/>
    <w:qFormat/>
    <w:pPr>
      <w:suppressAutoHyphens w:val="0"/>
      <w:ind w:left="720"/>
    </w:pPr>
    <w:rPr>
      <w:rFonts w:eastAsia="Calibri"/>
      <w:color w:val="000000"/>
    </w:rPr>
  </w:style>
  <w:style w:type="numbering" w:customStyle="1" w:styleId="WW8Num1">
    <w:name w:val="WW8Num1"/>
    <w:qFormat/>
  </w:style>
  <w:style w:type="paragraph" w:styleId="Header">
    <w:name w:val="header"/>
    <w:basedOn w:val="Normal"/>
    <w:link w:val="HeaderChar"/>
    <w:uiPriority w:val="99"/>
    <w:unhideWhenUsed/>
    <w:rsid w:val="00660ECB"/>
    <w:pPr>
      <w:tabs>
        <w:tab w:val="center" w:pos="4320"/>
        <w:tab w:val="right" w:pos="8640"/>
      </w:tabs>
    </w:pPr>
  </w:style>
  <w:style w:type="character" w:customStyle="1" w:styleId="HeaderChar">
    <w:name w:val="Header Char"/>
    <w:basedOn w:val="DefaultParagraphFont"/>
    <w:link w:val="Header"/>
    <w:uiPriority w:val="99"/>
    <w:rsid w:val="00660ECB"/>
    <w:rPr>
      <w:rFonts w:ascii="Times New Roman" w:eastAsia="Times New Roman" w:hAnsi="Times New Roman" w:cs="Times New Roman"/>
      <w:sz w:val="24"/>
      <w:lang w:bidi="ar-SA"/>
    </w:rPr>
  </w:style>
  <w:style w:type="paragraph" w:styleId="Footer">
    <w:name w:val="footer"/>
    <w:basedOn w:val="Normal"/>
    <w:link w:val="FooterChar"/>
    <w:uiPriority w:val="99"/>
    <w:unhideWhenUsed/>
    <w:rsid w:val="00660ECB"/>
    <w:pPr>
      <w:tabs>
        <w:tab w:val="center" w:pos="4320"/>
        <w:tab w:val="right" w:pos="8640"/>
      </w:tabs>
    </w:pPr>
  </w:style>
  <w:style w:type="character" w:customStyle="1" w:styleId="FooterChar">
    <w:name w:val="Footer Char"/>
    <w:basedOn w:val="DefaultParagraphFont"/>
    <w:link w:val="Footer"/>
    <w:uiPriority w:val="99"/>
    <w:rsid w:val="00660ECB"/>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1503</Words>
  <Characters>8573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MINEFI</Company>
  <LinksUpToDate>false</LinksUpToDate>
  <CharactersWithSpaces>10056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Ke, Tingting</cp:lastModifiedBy>
  <cp:revision>4</cp:revision>
  <cp:lastPrinted>2018-03-29T14:13:00Z</cp:lastPrinted>
  <dcterms:created xsi:type="dcterms:W3CDTF">2018-03-28T11:38:00Z</dcterms:created>
  <dcterms:modified xsi:type="dcterms:W3CDTF">2018-04-20T11:43:00Z</dcterms:modified>
  <dc:language>fr-FR</dc:language>
</cp:coreProperties>
</file>