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58598" w14:textId="579EEBBC" w:rsidR="0058303B" w:rsidRPr="0058303B" w:rsidRDefault="0058303B" w:rsidP="0058303B">
      <w:r>
        <w:t>18. března 2021. č. 426</w:t>
      </w:r>
    </w:p>
    <w:p w14:paraId="04F4A77D" w14:textId="77777777" w:rsidR="005E3DD3" w:rsidRDefault="005E3DD3" w:rsidP="000B0BF9">
      <w:pPr>
        <w:jc w:val="center"/>
        <w:rPr>
          <w:sz w:val="26"/>
          <w:szCs w:val="26"/>
        </w:rPr>
      </w:pPr>
    </w:p>
    <w:p w14:paraId="1085344F" w14:textId="7ACF7CD3" w:rsidR="0012504C" w:rsidRPr="0000570D" w:rsidRDefault="0012504C" w:rsidP="000B0BF9">
      <w:pPr>
        <w:jc w:val="center"/>
        <w:rPr>
          <w:sz w:val="26"/>
          <w:szCs w:val="26"/>
        </w:rPr>
      </w:pPr>
      <w:r>
        <w:rPr>
          <w:sz w:val="26"/>
        </w:rPr>
        <w:t>Nařízení o označování a balení tabákových náhražek</w:t>
      </w:r>
    </w:p>
    <w:p w14:paraId="32C9EDA7" w14:textId="08F5DC67" w:rsidR="0012504C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t>Podle § 19a odst. 2, § 22c a § 45 odst. 2 zákona o tabákových výrobcích atd., viz nařízení č. 965 ze dne 26. srpna 2019, ve znění zákona č. 2071 ze dne 21. prosince 2020, se stanovuje následující:</w:t>
      </w:r>
    </w:p>
    <w:p w14:paraId="70B829CE" w14:textId="77777777" w:rsidR="0058303B" w:rsidRPr="0058303B" w:rsidRDefault="0058303B" w:rsidP="0058303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7AEDFA9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Část 1</w:t>
      </w:r>
    </w:p>
    <w:p w14:paraId="5AC70E84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Definice</w:t>
      </w:r>
    </w:p>
    <w:p w14:paraId="2184B9AB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</w:p>
    <w:p w14:paraId="7F0F1186" w14:textId="20727F2F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  <w:r>
        <w:rPr>
          <w:b/>
        </w:rPr>
        <w:t>Odstavec 1.</w:t>
      </w:r>
      <w:r>
        <w:t xml:space="preserve"> Pro účely tohoto nařízení se tabákovou náhražkou rozumí: </w:t>
      </w:r>
      <w:r>
        <w:br/>
        <w:t xml:space="preserve">Výrobek obsahující nikotin, který není tabákovým výrobkem, viz odst. 2, nebo elektronickou cigaretou, viz § 2 odst.1 zákona o elektronických cigaretách atd., a který není schválen na základě povolení k uvedení na trh v souladu se zákonem o léčivech nebo právními předpisy EU stanovujícími obecné postupy při schvalování humánních léčivých přípravků a pomůcek určených k použití ve spojení s tímto výrobkem. </w:t>
      </w:r>
    </w:p>
    <w:p w14:paraId="00203FCA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703BD078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  <w:jc w:val="center"/>
      </w:pPr>
      <w:r>
        <w:t>Část 2</w:t>
      </w:r>
    </w:p>
    <w:p w14:paraId="41B96C41" w14:textId="0A86CFCD" w:rsidR="0012504C" w:rsidRDefault="0012504C" w:rsidP="0012504C">
      <w:pPr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 xml:space="preserve">Označení </w:t>
      </w:r>
    </w:p>
    <w:p w14:paraId="017AC79E" w14:textId="77777777" w:rsidR="00F05062" w:rsidRDefault="00F05062" w:rsidP="00F05062">
      <w:pPr>
        <w:autoSpaceDE w:val="0"/>
        <w:autoSpaceDN w:val="0"/>
        <w:adjustRightInd w:val="0"/>
        <w:spacing w:after="0" w:line="240" w:lineRule="auto"/>
        <w:rPr>
          <w:i/>
        </w:rPr>
      </w:pPr>
    </w:p>
    <w:p w14:paraId="5E48AF3F" w14:textId="70DEAC95" w:rsidR="00F05062" w:rsidRPr="00F05062" w:rsidRDefault="00F05062" w:rsidP="00786C89">
      <w:pPr>
        <w:spacing w:after="0" w:line="240" w:lineRule="auto"/>
      </w:pPr>
      <w:r>
        <w:rPr>
          <w:b/>
        </w:rPr>
        <w:t>Odstavec 2.</w:t>
      </w:r>
      <w:r>
        <w:t xml:space="preserve"> Každá jednotlivá krabička a každý vnější obal tabákové náhražky musí uvádět soupis:</w:t>
      </w:r>
    </w:p>
    <w:p w14:paraId="2577DC3B" w14:textId="6492A0FC" w:rsidR="00F05062" w:rsidRPr="00F05062" w:rsidRDefault="00F05062" w:rsidP="00786C89">
      <w:pPr>
        <w:spacing w:after="0" w:line="240" w:lineRule="auto"/>
      </w:pPr>
      <w:r>
        <w:t>1) všech složek obsažených ve výrobku v sestupném pořadí podle hmotnosti,</w:t>
      </w:r>
    </w:p>
    <w:p w14:paraId="4E66C84B" w14:textId="2F295A70" w:rsidR="0058303B" w:rsidRPr="00F05062" w:rsidRDefault="0058303B" w:rsidP="00786C89">
      <w:pPr>
        <w:spacing w:after="0" w:line="240" w:lineRule="auto"/>
      </w:pPr>
      <w:r>
        <w:t>2) číslo šarže.</w:t>
      </w:r>
    </w:p>
    <w:p w14:paraId="33A17C50" w14:textId="3615E3EF" w:rsidR="00F05062" w:rsidRPr="00F05062" w:rsidRDefault="00A87EE1" w:rsidP="00786C89">
      <w:pPr>
        <w:spacing w:after="0" w:line="240" w:lineRule="auto"/>
      </w:pPr>
      <w:r>
        <w:t>3) doporučení, aby byl výrobek uchováván mimo dosah dětí.</w:t>
      </w:r>
    </w:p>
    <w:p w14:paraId="552AE573" w14:textId="77777777" w:rsidR="0012504C" w:rsidRPr="0000570D" w:rsidRDefault="0012504C" w:rsidP="0012504C">
      <w:pPr>
        <w:autoSpaceDE w:val="0"/>
        <w:autoSpaceDN w:val="0"/>
        <w:adjustRightInd w:val="0"/>
        <w:spacing w:after="0" w:line="240" w:lineRule="auto"/>
      </w:pPr>
    </w:p>
    <w:p w14:paraId="69B15C32" w14:textId="77777777" w:rsidR="0012504C" w:rsidRPr="0000570D" w:rsidRDefault="00F05062" w:rsidP="00CC6C07">
      <w:pPr>
        <w:spacing w:after="0"/>
      </w:pPr>
      <w:r>
        <w:rPr>
          <w:b/>
        </w:rPr>
        <w:t>Odstavec 3.</w:t>
      </w:r>
      <w:r>
        <w:t xml:space="preserve"> Osoba, která uvádí tabákové náhražky v této zemi na trh musí zajistit, aby každá jednotlivá kravička a každý vnější obal neobsahoval prvky ani funkce, které</w:t>
      </w:r>
    </w:p>
    <w:p w14:paraId="542AC7D3" w14:textId="597A0206" w:rsidR="0012504C" w:rsidRPr="0000570D" w:rsidRDefault="0012504C" w:rsidP="00CC6C07">
      <w:pPr>
        <w:spacing w:after="0"/>
      </w:pPr>
      <w:r>
        <w:t>1) nabádá k jejímu užívání nebo podávají nesprávný obrázek o vlastnostech, účincích, rizicích nebo emisích těchto výrobků;</w:t>
      </w:r>
    </w:p>
    <w:p w14:paraId="0840C571" w14:textId="7C62C2E7" w:rsidR="0012504C" w:rsidRPr="0000570D" w:rsidRDefault="0012504C" w:rsidP="00CC6C07">
      <w:pPr>
        <w:spacing w:after="0"/>
      </w:pPr>
      <w:r>
        <w:t>2) vyvolávají dojem, že konkrétní tabáková náhražka je méně škodlivá než jiné výrobky;</w:t>
      </w:r>
    </w:p>
    <w:p w14:paraId="37E34715" w14:textId="496886AF" w:rsidR="0012504C" w:rsidRPr="0000570D" w:rsidRDefault="00740AC2" w:rsidP="00CC6C07">
      <w:pPr>
        <w:spacing w:after="0"/>
      </w:pPr>
      <w:r>
        <w:t>3) vyvolávají dojem, že konkrétní tabáková náhražka má revitalizační, podpůrné, uzdravující, omlazující, přírodní či ekologické vlastnosti nebo jiný kladný účel či jiný kladný vliv na zdraví nebo životní styl;</w:t>
      </w:r>
    </w:p>
    <w:p w14:paraId="252AD1F6" w14:textId="77777777" w:rsidR="0012504C" w:rsidRPr="0000570D" w:rsidRDefault="00740AC2" w:rsidP="00CC6C07">
      <w:pPr>
        <w:spacing w:after="0"/>
      </w:pPr>
      <w:r>
        <w:t>4) dávají výrobku vzhled potraviny nebo kosmetického výrobku, nebo</w:t>
      </w:r>
    </w:p>
    <w:p w14:paraId="76C5A254" w14:textId="77777777" w:rsidR="0012504C" w:rsidRPr="0000570D" w:rsidRDefault="00740AC2" w:rsidP="00CC6C07">
      <w:pPr>
        <w:spacing w:after="0"/>
      </w:pPr>
      <w:r>
        <w:t>5) vyvolávají dojem, že konkrétní tabáková náhražka má vylepšenou biologickou rozložitelnost či jiné výhody pro životní prostředí.</w:t>
      </w:r>
    </w:p>
    <w:p w14:paraId="16F17A29" w14:textId="77777777" w:rsidR="00331A1D" w:rsidRPr="0000570D" w:rsidRDefault="00D40080" w:rsidP="00CC6C07">
      <w:pPr>
        <w:spacing w:after="0" w:line="240" w:lineRule="auto"/>
      </w:pPr>
      <w:r>
        <w:rPr>
          <w:i/>
        </w:rPr>
        <w:t>(2)</w:t>
      </w:r>
      <w:r>
        <w:t xml:space="preserve"> Prvky a funkce zakázané podle § 3, odst. 1–5 zahrnují mimo jiné i texty, symboly, názvy, obchodní značky, obrázky či jiné znaky.</w:t>
      </w:r>
    </w:p>
    <w:p w14:paraId="48E8444C" w14:textId="77777777" w:rsidR="003C37AA" w:rsidRDefault="0083014B" w:rsidP="0012504C">
      <w:pPr>
        <w:rPr>
          <w:b/>
        </w:rPr>
      </w:pPr>
      <w:r>
        <w:rPr>
          <w:b/>
        </w:rPr>
        <w:tab/>
      </w:r>
    </w:p>
    <w:p w14:paraId="1190E371" w14:textId="20E25B97" w:rsidR="0012504C" w:rsidRDefault="00D40080" w:rsidP="00E76171">
      <w:pPr>
        <w:spacing w:after="0"/>
      </w:pPr>
      <w:r>
        <w:rPr>
          <w:b/>
        </w:rPr>
        <w:t>Odstavec 4.</w:t>
      </w:r>
      <w:r>
        <w:t xml:space="preserve"> Osoba, která prodává tabákové náhražky v této zemi musí zajistit, aby každá jednotlivá krabička a každý vnější obal neobsahovaly ani nebyly jakkoli spojeny s kupóny nabízejícími slevy, dopravu zdarma, nabídky typu dva za jeden nebo jinými propagačními praktikami.</w:t>
      </w:r>
    </w:p>
    <w:p w14:paraId="7941AD9C" w14:textId="77777777" w:rsidR="00785D60" w:rsidRPr="0000570D" w:rsidRDefault="00785D60" w:rsidP="0012504C"/>
    <w:p w14:paraId="67AE3514" w14:textId="77777777" w:rsidR="00434814" w:rsidRPr="009A4968" w:rsidRDefault="003C37AA" w:rsidP="00BA082C">
      <w:pPr>
        <w:keepNext/>
        <w:autoSpaceDE w:val="0"/>
        <w:autoSpaceDN w:val="0"/>
        <w:adjustRightInd w:val="0"/>
        <w:spacing w:after="0" w:line="240" w:lineRule="auto"/>
        <w:jc w:val="center"/>
      </w:pPr>
      <w:r>
        <w:lastRenderedPageBreak/>
        <w:t>Část 3</w:t>
      </w:r>
    </w:p>
    <w:p w14:paraId="21372067" w14:textId="38AC81D0" w:rsidR="003C37AA" w:rsidRPr="009A4968" w:rsidRDefault="003C37AA" w:rsidP="00BA082C">
      <w:pPr>
        <w:keepNext/>
        <w:autoSpaceDE w:val="0"/>
        <w:autoSpaceDN w:val="0"/>
        <w:adjustRightInd w:val="0"/>
        <w:spacing w:after="0" w:line="240" w:lineRule="auto"/>
        <w:jc w:val="center"/>
        <w:rPr>
          <w:i/>
        </w:rPr>
      </w:pPr>
      <w:r>
        <w:rPr>
          <w:i/>
        </w:rPr>
        <w:t>Zdravotní varování</w:t>
      </w:r>
    </w:p>
    <w:p w14:paraId="5AE2C49E" w14:textId="77777777" w:rsidR="003C37AA" w:rsidRDefault="003C37AA" w:rsidP="00BA082C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89DB9E3" w14:textId="77777777" w:rsidR="003C37AA" w:rsidRDefault="003C37AA" w:rsidP="00BA082C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6F7826BC" w14:textId="33EEFC4C" w:rsidR="009A4968" w:rsidRPr="009A4968" w:rsidRDefault="009A4968" w:rsidP="00BA082C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5.</w:t>
      </w:r>
      <w:r>
        <w:t xml:space="preserve"> Každá jednotlivá krabička a každý vnější obal tabákové náhražky musí uvádět následující zdravotní varování v dánském jazyce: „Tento výrobek obsahuje nikotin, který je vysoce návykovou látkou.“</w:t>
      </w:r>
    </w:p>
    <w:p w14:paraId="6F72E824" w14:textId="77777777" w:rsid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26409202" w14:textId="47B8464B" w:rsidR="009A4968" w:rsidRP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6.</w:t>
      </w:r>
      <w:r>
        <w:t xml:space="preserve"> Zdravotní varování na každé jednotlivé krabičce a každém vnějším obalu tabákové náhražky musí:</w:t>
      </w:r>
    </w:p>
    <w:p w14:paraId="162E23F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být umístěno na třech největších plochách jednotlivé krabičky, respektive případného vnějšího obalu,</w:t>
      </w:r>
    </w:p>
    <w:p w14:paraId="03271214" w14:textId="1AAC106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pokrývat 30 % plochy krabičky a případného vnějšího obalu </w:t>
      </w:r>
    </w:p>
    <w:p w14:paraId="0473D460" w14:textId="7C161F44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být natištěno tučně ve fontu písma Helvetica bílou barvou na černém podkladu,</w:t>
      </w:r>
    </w:p>
    <w:p w14:paraId="6AA70D14" w14:textId="2BFC4F2C" w:rsidR="005914F3" w:rsidRDefault="00CC4EFB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být navrženo s takovou velikostí písma, která v maximální možné míře pokryje prostor vyhrazený pro zdravotní varování ve stavu, kdy je balení uzavřeno </w:t>
      </w:r>
    </w:p>
    <w:p w14:paraId="102AABAB" w14:textId="77777777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být umístěno ve středu plochy, která je pro toto varování vyhrazena, </w:t>
      </w:r>
    </w:p>
    <w:p w14:paraId="50086D6D" w14:textId="7EC093AE" w:rsidR="009A4968" w:rsidRPr="009A4968" w:rsidRDefault="009A4968" w:rsidP="009A496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 xml:space="preserve">být v přímce a ve stejném směru čtení jako hlavní text povrchu vyhrazeného pro toto varování; </w:t>
      </w:r>
    </w:p>
    <w:p w14:paraId="3C686299" w14:textId="7E9B7D2A" w:rsidR="00E36D81" w:rsidRPr="0058303B" w:rsidRDefault="009A4968" w:rsidP="009F564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t>být na krabicových obalech a jakémkoli vnějším obalu umístěno paralelně k boční hraně jednotlivého balení nebo vnějšího obalu,</w:t>
      </w:r>
    </w:p>
    <w:p w14:paraId="0B9B6027" w14:textId="5075C191" w:rsidR="009A4968" w:rsidRPr="009A4968" w:rsidRDefault="00E36D81" w:rsidP="009F5645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>Rozměry zdravotního varování se po uzavření obalu vypočítají ve vztahu k příslušnému povrchu.</w:t>
      </w:r>
    </w:p>
    <w:p w14:paraId="62C4601A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</w:rPr>
      </w:pPr>
    </w:p>
    <w:p w14:paraId="22A7BE88" w14:textId="0CC86446" w:rsidR="009A4968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7.</w:t>
      </w:r>
      <w:r>
        <w:t xml:space="preserve"> Při prodeji tabákové náhražky musí každé zdravotní varování na krabičce či vnějším obalu být natištěno nebo upevněno tak, aby jej nebylo možné odstranit nebo vymazat a aby bylo zcela viditelné, a také aby nebylo zcela ani částečně zakryto nebo narušeno cenovkou, balicím materiálem, kryty, krabicemi nebo jinými prvky. </w:t>
      </w:r>
    </w:p>
    <w:p w14:paraId="18452F44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132FE99" w14:textId="7678D6A6" w:rsidR="009A4968" w:rsidRPr="009A4968" w:rsidRDefault="009A4968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8.</w:t>
      </w:r>
      <w:r>
        <w:t xml:space="preserve"> Zdravotní varování nesmí být nijak komentováno, přeformulováno ani překryto odkazy jakéhokoli druhu na jednotlivém balení ani na jakémkoli vnějším obalu.</w:t>
      </w:r>
    </w:p>
    <w:p w14:paraId="0C5E0495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39C5F073" w14:textId="7DB5299E" w:rsidR="00250061" w:rsidRDefault="00BE221B" w:rsidP="0058303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9.</w:t>
      </w:r>
      <w:r>
        <w:t xml:space="preserve"> Po otevření jednotlivého balení musí zůstat zdravotní varování nedotčené.</w:t>
      </w:r>
    </w:p>
    <w:p w14:paraId="46B50393" w14:textId="4A2298B6" w:rsidR="009A4968" w:rsidRPr="009A4968" w:rsidRDefault="00250061" w:rsidP="00250061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i/>
        </w:rPr>
        <w:t xml:space="preserve">(2) </w:t>
      </w:r>
      <w:r>
        <w:t xml:space="preserve">U alespoň jednoho z ostatních zdravotních varování musí být čitelnost a viditelnost textu nedotčena, pokud je rozbita otevřením jednotkového paketu.  </w:t>
      </w:r>
    </w:p>
    <w:p w14:paraId="2956E6C9" w14:textId="77777777" w:rsidR="00E01704" w:rsidRDefault="00E01704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5E07255" w14:textId="15B8FC9E" w:rsidR="009A4968" w:rsidRPr="009A4968" w:rsidRDefault="00BE221B" w:rsidP="009A4968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>
        <w:rPr>
          <w:b/>
        </w:rPr>
        <w:t>Odstavec 10.</w:t>
      </w:r>
      <w:r>
        <w:t xml:space="preserve"> Obrázky na krabičce a případném vnějším obalu určená spotřebitelům musí být v souladu s ustanoveními této kapitoly.</w:t>
      </w:r>
    </w:p>
    <w:p w14:paraId="0E8EDB08" w14:textId="77777777" w:rsidR="003C37AA" w:rsidRPr="00E01704" w:rsidRDefault="003C37AA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C91E657" w14:textId="2A0A97B3" w:rsidR="00495C27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</w:rPr>
      </w:pPr>
      <w:r>
        <w:rPr>
          <w:b/>
        </w:rPr>
        <w:t xml:space="preserve">Odstavec 11. </w:t>
      </w:r>
      <w:r>
        <w:t>V případě, že dojde k porušení pravidel podle § 2 – § 10, bude vyměřena pokuta, pokud jiný zákon nestanoví přísnější postih.</w:t>
      </w:r>
    </w:p>
    <w:p w14:paraId="143E6935" w14:textId="77777777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i/>
        </w:rPr>
        <w:t xml:space="preserve">(2) </w:t>
      </w:r>
      <w:r>
        <w:t>(právnickým osobám) může vzniknout trestní odpovědnost podle ustanovení obsažených v kapitole 5 dánského trestního zákoníku.</w:t>
      </w:r>
    </w:p>
    <w:p w14:paraId="3956C250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50694968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</w:rPr>
      </w:pPr>
      <w:r>
        <w:t>Část 4</w:t>
      </w:r>
    </w:p>
    <w:p w14:paraId="72320C85" w14:textId="77777777" w:rsidR="00740AC2" w:rsidRP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eastAsia="TimesNewRomanPSMT" w:cstheme="minorHAnsi"/>
          <w:i/>
        </w:rPr>
      </w:pPr>
      <w:r>
        <w:rPr>
          <w:i/>
        </w:rPr>
        <w:t>Nabytí účinnosti</w:t>
      </w:r>
    </w:p>
    <w:p w14:paraId="0517402F" w14:textId="77777777" w:rsidR="00434814" w:rsidRPr="009A4968" w:rsidRDefault="00434814" w:rsidP="0043481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5F3E8" w14:textId="61967AF3" w:rsidR="00434814" w:rsidRDefault="00434814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>
        <w:rPr>
          <w:b/>
        </w:rPr>
        <w:t xml:space="preserve">Odstavec 12. </w:t>
      </w:r>
      <w:r>
        <w:t>Tato vyhláška vstupuje v platnost dne 1. července 2021.</w:t>
      </w:r>
    </w:p>
    <w:p w14:paraId="66FEA3A6" w14:textId="77777777" w:rsidR="00E77FEE" w:rsidRDefault="00E77FEE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709BC61B" w14:textId="77777777" w:rsidR="00740AC2" w:rsidRDefault="00740AC2" w:rsidP="00434814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14:paraId="198C6491" w14:textId="1A626C01" w:rsidR="00740AC2" w:rsidRDefault="00921735" w:rsidP="0058303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  <w:r>
        <w:rPr>
          <w:i/>
          <w:sz w:val="24"/>
        </w:rPr>
        <w:t>Ministerstvo zdravotnictví, 18. března 2021</w:t>
      </w:r>
    </w:p>
    <w:p w14:paraId="39FACC91" w14:textId="77777777" w:rsidR="00740AC2" w:rsidRDefault="00740AC2" w:rsidP="00740AC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4"/>
        </w:rPr>
      </w:pPr>
    </w:p>
    <w:p w14:paraId="47DD6D90" w14:textId="68C82254" w:rsidR="00331A1D" w:rsidRDefault="00477D23" w:rsidP="00477D23">
      <w:pPr>
        <w:autoSpaceDE w:val="0"/>
        <w:autoSpaceDN w:val="0"/>
        <w:adjustRightInd w:val="0"/>
        <w:spacing w:after="0" w:line="240" w:lineRule="auto"/>
        <w:jc w:val="center"/>
      </w:pPr>
      <w:r>
        <w:rPr>
          <w:sz w:val="24"/>
        </w:rPr>
        <w:t>Magnus Heunicke / Zelle Huma Sheikh</w:t>
      </w:r>
    </w:p>
    <w:sectPr w:rsidR="00331A1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esta-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5AE2"/>
    <w:multiLevelType w:val="hybridMultilevel"/>
    <w:tmpl w:val="BB82E206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C569D"/>
    <w:multiLevelType w:val="hybridMultilevel"/>
    <w:tmpl w:val="FC585330"/>
    <w:lvl w:ilvl="0" w:tplc="FDA2B482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216DA"/>
    <w:multiLevelType w:val="hybridMultilevel"/>
    <w:tmpl w:val="BF1C45CE"/>
    <w:lvl w:ilvl="0" w:tplc="476EB802">
      <w:numFmt w:val="bullet"/>
      <w:lvlText w:val="-"/>
      <w:lvlJc w:val="left"/>
      <w:pPr>
        <w:ind w:left="720" w:hanging="360"/>
      </w:pPr>
      <w:rPr>
        <w:rFonts w:ascii="Questa-Regular" w:eastAsiaTheme="minorHAnsi" w:hAnsi="Questa-Regular" w:cs="Segoe UI" w:hint="default"/>
        <w:color w:val="212529"/>
        <w:sz w:val="2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32229F"/>
    <w:multiLevelType w:val="hybridMultilevel"/>
    <w:tmpl w:val="F09E867A"/>
    <w:lvl w:ilvl="0" w:tplc="3AF63D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D4"/>
    <w:rsid w:val="00003C87"/>
    <w:rsid w:val="0000570D"/>
    <w:rsid w:val="0003309F"/>
    <w:rsid w:val="00042381"/>
    <w:rsid w:val="000436B2"/>
    <w:rsid w:val="000547A9"/>
    <w:rsid w:val="00070043"/>
    <w:rsid w:val="00087FD4"/>
    <w:rsid w:val="00093DB0"/>
    <w:rsid w:val="000A5E7B"/>
    <w:rsid w:val="000A6625"/>
    <w:rsid w:val="000B0BF9"/>
    <w:rsid w:val="000B1E6A"/>
    <w:rsid w:val="000B588E"/>
    <w:rsid w:val="000C3AFA"/>
    <w:rsid w:val="000D0392"/>
    <w:rsid w:val="000E47A2"/>
    <w:rsid w:val="000F3141"/>
    <w:rsid w:val="001112F1"/>
    <w:rsid w:val="0012504C"/>
    <w:rsid w:val="001A1FE2"/>
    <w:rsid w:val="001A4AC2"/>
    <w:rsid w:val="001B06A8"/>
    <w:rsid w:val="001C3D90"/>
    <w:rsid w:val="001C72B5"/>
    <w:rsid w:val="001C7537"/>
    <w:rsid w:val="001E71FA"/>
    <w:rsid w:val="00236A31"/>
    <w:rsid w:val="00250061"/>
    <w:rsid w:val="002603E9"/>
    <w:rsid w:val="00277A5A"/>
    <w:rsid w:val="00293CFB"/>
    <w:rsid w:val="002C567D"/>
    <w:rsid w:val="002F7705"/>
    <w:rsid w:val="002F7B3E"/>
    <w:rsid w:val="00306555"/>
    <w:rsid w:val="00331A1D"/>
    <w:rsid w:val="00355579"/>
    <w:rsid w:val="00356D85"/>
    <w:rsid w:val="00364A9B"/>
    <w:rsid w:val="003B1707"/>
    <w:rsid w:val="003C37AA"/>
    <w:rsid w:val="003C64E4"/>
    <w:rsid w:val="003E1E01"/>
    <w:rsid w:val="004034CF"/>
    <w:rsid w:val="00434814"/>
    <w:rsid w:val="004532FC"/>
    <w:rsid w:val="00477230"/>
    <w:rsid w:val="00477D23"/>
    <w:rsid w:val="004833BB"/>
    <w:rsid w:val="00493DF4"/>
    <w:rsid w:val="00495C27"/>
    <w:rsid w:val="004D12CE"/>
    <w:rsid w:val="004E2414"/>
    <w:rsid w:val="00507454"/>
    <w:rsid w:val="00534904"/>
    <w:rsid w:val="00581F1E"/>
    <w:rsid w:val="0058303B"/>
    <w:rsid w:val="00590248"/>
    <w:rsid w:val="005914F3"/>
    <w:rsid w:val="00591F48"/>
    <w:rsid w:val="00593A92"/>
    <w:rsid w:val="005A50A7"/>
    <w:rsid w:val="005B2182"/>
    <w:rsid w:val="005E3DD3"/>
    <w:rsid w:val="005F56E0"/>
    <w:rsid w:val="00655382"/>
    <w:rsid w:val="006705C7"/>
    <w:rsid w:val="00680D3E"/>
    <w:rsid w:val="006D2242"/>
    <w:rsid w:val="006D3BC6"/>
    <w:rsid w:val="00705D20"/>
    <w:rsid w:val="007157CF"/>
    <w:rsid w:val="00740AC2"/>
    <w:rsid w:val="00762C9A"/>
    <w:rsid w:val="00766DD3"/>
    <w:rsid w:val="007675B8"/>
    <w:rsid w:val="00785D60"/>
    <w:rsid w:val="00786C89"/>
    <w:rsid w:val="007A427A"/>
    <w:rsid w:val="007A5B3A"/>
    <w:rsid w:val="007C6EA1"/>
    <w:rsid w:val="007D2012"/>
    <w:rsid w:val="007E0DEC"/>
    <w:rsid w:val="007F2260"/>
    <w:rsid w:val="007F4BDB"/>
    <w:rsid w:val="00805FF7"/>
    <w:rsid w:val="00816D7D"/>
    <w:rsid w:val="0083014B"/>
    <w:rsid w:val="008346B7"/>
    <w:rsid w:val="008464B6"/>
    <w:rsid w:val="0085310F"/>
    <w:rsid w:val="008828FE"/>
    <w:rsid w:val="00887532"/>
    <w:rsid w:val="00892984"/>
    <w:rsid w:val="008D4059"/>
    <w:rsid w:val="008E7218"/>
    <w:rsid w:val="00921735"/>
    <w:rsid w:val="009249B1"/>
    <w:rsid w:val="009533B0"/>
    <w:rsid w:val="009547ED"/>
    <w:rsid w:val="00985A75"/>
    <w:rsid w:val="009A4968"/>
    <w:rsid w:val="009B047F"/>
    <w:rsid w:val="009C514B"/>
    <w:rsid w:val="009F33C9"/>
    <w:rsid w:val="009F5645"/>
    <w:rsid w:val="009F743B"/>
    <w:rsid w:val="00A242B0"/>
    <w:rsid w:val="00A54A02"/>
    <w:rsid w:val="00A87EE1"/>
    <w:rsid w:val="00AA06FB"/>
    <w:rsid w:val="00AA134F"/>
    <w:rsid w:val="00AC2A5B"/>
    <w:rsid w:val="00AC326A"/>
    <w:rsid w:val="00AC7861"/>
    <w:rsid w:val="00AD6A11"/>
    <w:rsid w:val="00B23E1F"/>
    <w:rsid w:val="00B30195"/>
    <w:rsid w:val="00B704CC"/>
    <w:rsid w:val="00B763AB"/>
    <w:rsid w:val="00B84C89"/>
    <w:rsid w:val="00B8667E"/>
    <w:rsid w:val="00BA082C"/>
    <w:rsid w:val="00BB7074"/>
    <w:rsid w:val="00BE221B"/>
    <w:rsid w:val="00BE40BA"/>
    <w:rsid w:val="00C420EF"/>
    <w:rsid w:val="00C55195"/>
    <w:rsid w:val="00C92FB3"/>
    <w:rsid w:val="00CA49FB"/>
    <w:rsid w:val="00CB64F7"/>
    <w:rsid w:val="00CC4EFB"/>
    <w:rsid w:val="00CC6C07"/>
    <w:rsid w:val="00D1471C"/>
    <w:rsid w:val="00D21721"/>
    <w:rsid w:val="00D233C6"/>
    <w:rsid w:val="00D251C7"/>
    <w:rsid w:val="00D40080"/>
    <w:rsid w:val="00DC3363"/>
    <w:rsid w:val="00DD529D"/>
    <w:rsid w:val="00DE2F15"/>
    <w:rsid w:val="00DE68A5"/>
    <w:rsid w:val="00E01704"/>
    <w:rsid w:val="00E17885"/>
    <w:rsid w:val="00E21850"/>
    <w:rsid w:val="00E22512"/>
    <w:rsid w:val="00E26DB4"/>
    <w:rsid w:val="00E32D44"/>
    <w:rsid w:val="00E36D81"/>
    <w:rsid w:val="00E435A7"/>
    <w:rsid w:val="00E51144"/>
    <w:rsid w:val="00E536CD"/>
    <w:rsid w:val="00E63701"/>
    <w:rsid w:val="00E76171"/>
    <w:rsid w:val="00E77FEE"/>
    <w:rsid w:val="00EB43B1"/>
    <w:rsid w:val="00F05062"/>
    <w:rsid w:val="00F143F5"/>
    <w:rsid w:val="00F66BA1"/>
    <w:rsid w:val="00F76C37"/>
    <w:rsid w:val="00FA4845"/>
    <w:rsid w:val="00FB299C"/>
    <w:rsid w:val="00FB68FA"/>
    <w:rsid w:val="00FB70CB"/>
    <w:rsid w:val="00FD2E43"/>
    <w:rsid w:val="00FD4F9B"/>
    <w:rsid w:val="00FE38C1"/>
    <w:rsid w:val="00FF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3256"/>
  <w15:chartTrackingRefBased/>
  <w15:docId w15:val="{CAAA423E-8606-4BC0-8104-469511A0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250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92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2FB3"/>
    <w:pPr>
      <w:numPr>
        <w:numId w:val="4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2F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FB3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F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FB3"/>
    <w:rPr>
      <w:rFonts w:ascii="Segoe UI" w:hAnsi="Segoe UI" w:cs="Segoe UI"/>
      <w:sz w:val="18"/>
      <w:szCs w:val="18"/>
    </w:rPr>
  </w:style>
  <w:style w:type="character" w:customStyle="1" w:styleId="paragrafnr2">
    <w:name w:val="paragrafnr2"/>
    <w:basedOn w:val="DefaultParagraphFont"/>
    <w:rsid w:val="00331A1D"/>
  </w:style>
  <w:style w:type="paragraph" w:customStyle="1" w:styleId="liste1">
    <w:name w:val="liste1"/>
    <w:basedOn w:val="Normal"/>
    <w:rsid w:val="00434814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liste1nr2">
    <w:name w:val="liste1nr2"/>
    <w:basedOn w:val="DefaultParagraphFont"/>
    <w:rsid w:val="00434814"/>
  </w:style>
  <w:style w:type="paragraph" w:styleId="Revision">
    <w:name w:val="Revision"/>
    <w:hidden/>
    <w:uiPriority w:val="99"/>
    <w:semiHidden/>
    <w:rsid w:val="009A49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471C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236A31"/>
    <w:rPr>
      <w:rFonts w:ascii="EUAlbertina" w:hAnsi="EUAlbertina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3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7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4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97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7306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05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813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7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3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4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0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45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8364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232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1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4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2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4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8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8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428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852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55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2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1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8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24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4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98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5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4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498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18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7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7910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7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02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9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C6402-A31B-4FE7-98AB-19443CA92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SUM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Brunak</dc:creator>
  <cp:keywords/>
  <dc:description/>
  <cp:lastModifiedBy>Liana Brili</cp:lastModifiedBy>
  <cp:revision>8</cp:revision>
  <dcterms:created xsi:type="dcterms:W3CDTF">2021-03-24T09:43:00Z</dcterms:created>
  <dcterms:modified xsi:type="dcterms:W3CDTF">2021-11-03T16:34:00Z</dcterms:modified>
</cp:coreProperties>
</file>