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mars 2021. Nº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Règlement sur l’étiquetage et les avertissements sanitaires des succédanés du tabac</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 xml:space="preserve">Conformément à la section 19a, paragraphe 2, et à la section 45, paragraphe 2, de la loi sur les produits du tabac, etc., cf. règlement n° 965 du 26 août 2019, telle que modifiée par la loi n° 2071 du 21 décembre 2020, il est établi ce qui </w:t>
      </w:r>
      <w:proofErr w:type="gramStart"/>
      <w:r>
        <w:t>suit:</w:t>
      </w:r>
      <w:proofErr w:type="gramEnd"/>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Partie 1</w:t>
      </w:r>
    </w:p>
    <w:p w14:paraId="5AC70E84" w14:textId="77777777" w:rsidR="0012504C" w:rsidRPr="0000570D" w:rsidRDefault="0012504C" w:rsidP="0012504C">
      <w:pPr>
        <w:autoSpaceDE w:val="0"/>
        <w:autoSpaceDN w:val="0"/>
        <w:adjustRightInd w:val="0"/>
        <w:spacing w:after="0" w:line="240" w:lineRule="auto"/>
        <w:jc w:val="center"/>
        <w:rPr>
          <w:i/>
        </w:rPr>
      </w:pPr>
      <w:r>
        <w:rPr>
          <w:i/>
        </w:rPr>
        <w:t>Définitions</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Section 1.</w:t>
      </w:r>
      <w:r>
        <w:t xml:space="preserve"> Aux fins du présent règlement, par succédané du tabac on entend: </w:t>
      </w:r>
      <w:r>
        <w:br/>
        <w:t xml:space="preserve">Produit contenant de la nicotine qui n’est pas un produit du tabac, cf. paragraphe 2, ni une cigarette électronique, cf. section 2, paragraphe 1, de la loi sur les cigarettes électroniques, etc., et qui n’est pas autorisé par une autorisation de mise sur le marché en vertu de la loi sur les médicaments ou des règles du droit de l’Union européenne établissant des procédures européennes pour l’autorisation des médicaments à usage humain, et dispositif destiné à être utilisé avec le produit.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Partie 2</w:t>
      </w:r>
    </w:p>
    <w:p w14:paraId="41B96C41" w14:textId="0A86CFCD" w:rsidR="0012504C" w:rsidRDefault="0012504C" w:rsidP="0012504C">
      <w:pPr>
        <w:autoSpaceDE w:val="0"/>
        <w:autoSpaceDN w:val="0"/>
        <w:adjustRightInd w:val="0"/>
        <w:spacing w:after="0" w:line="240" w:lineRule="auto"/>
        <w:jc w:val="center"/>
        <w:rPr>
          <w:i/>
        </w:rPr>
      </w:pPr>
      <w:r>
        <w:rPr>
          <w:i/>
        </w:rPr>
        <w:t xml:space="preserve">Identification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Section 2.</w:t>
      </w:r>
      <w:r>
        <w:t xml:space="preserve"> Toute unité de conditionnement et tout emballage extérieur de succédanés du tabac doivent </w:t>
      </w:r>
      <w:proofErr w:type="gramStart"/>
      <w:r>
        <w:t>contenir:</w:t>
      </w:r>
      <w:proofErr w:type="gramEnd"/>
    </w:p>
    <w:p w14:paraId="2577DC3B" w14:textId="6492A0FC" w:rsidR="00F05062" w:rsidRPr="00F05062" w:rsidRDefault="00F05062" w:rsidP="00786C89">
      <w:pPr>
        <w:spacing w:after="0" w:line="240" w:lineRule="auto"/>
      </w:pPr>
      <w:r>
        <w:t xml:space="preserve">1) une liste de tous les ingrédients contenus dans le produit par ordre décroissant de </w:t>
      </w:r>
      <w:proofErr w:type="gramStart"/>
      <w:r>
        <w:t>poids;</w:t>
      </w:r>
      <w:proofErr w:type="gramEnd"/>
    </w:p>
    <w:p w14:paraId="4E66C84B" w14:textId="2F295A70" w:rsidR="0058303B" w:rsidRPr="00F05062" w:rsidRDefault="0058303B" w:rsidP="00786C89">
      <w:pPr>
        <w:spacing w:after="0" w:line="240" w:lineRule="auto"/>
      </w:pPr>
      <w:r>
        <w:t xml:space="preserve">2) le numéro de </w:t>
      </w:r>
      <w:proofErr w:type="gramStart"/>
      <w:r>
        <w:t>lot;</w:t>
      </w:r>
      <w:proofErr w:type="gramEnd"/>
    </w:p>
    <w:p w14:paraId="33A17C50" w14:textId="3615E3EF" w:rsidR="00F05062" w:rsidRPr="00F05062" w:rsidRDefault="00A87EE1" w:rsidP="00786C89">
      <w:pPr>
        <w:spacing w:after="0" w:line="240" w:lineRule="auto"/>
      </w:pPr>
      <w:r>
        <w:t>3) une recommandation pour garder le produit hors de la portée et de la vue des enfants.</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Section 3.</w:t>
      </w:r>
      <w:r>
        <w:t xml:space="preserve"> Toute personne qui met un succédané du tabac sur le marché au Danemark veille à ce que chaque unité de conditionnement et tout emballage extérieur éventuel ne contiennent pas d’élément ou de dispositif </w:t>
      </w:r>
      <w:proofErr w:type="gramStart"/>
      <w:r>
        <w:t>qui:</w:t>
      </w:r>
      <w:proofErr w:type="gramEnd"/>
    </w:p>
    <w:p w14:paraId="542AC7D3" w14:textId="597A0206" w:rsidR="0012504C" w:rsidRPr="0000570D" w:rsidRDefault="0012504C" w:rsidP="00CC6C07">
      <w:pPr>
        <w:spacing w:after="0"/>
      </w:pPr>
      <w:r>
        <w:t xml:space="preserve">1) incite à sa consommation ou donne une impression erronée quant aux caractéristiques, effets sur la santé, risques ou émissions du </w:t>
      </w:r>
      <w:proofErr w:type="gramStart"/>
      <w:r>
        <w:t>produit;</w:t>
      </w:r>
      <w:proofErr w:type="gramEnd"/>
    </w:p>
    <w:p w14:paraId="0840C571" w14:textId="7C62C2E7" w:rsidR="0012504C" w:rsidRPr="0000570D" w:rsidRDefault="0012504C" w:rsidP="00CC6C07">
      <w:pPr>
        <w:spacing w:after="0"/>
      </w:pPr>
      <w:r>
        <w:t xml:space="preserve">2) donne l’impression qu’un succédané du tabac déterminé est moins nocif que d’autres </w:t>
      </w:r>
      <w:proofErr w:type="gramStart"/>
      <w:r>
        <w:t>produits;</w:t>
      </w:r>
      <w:proofErr w:type="gramEnd"/>
    </w:p>
    <w:p w14:paraId="37E34715" w14:textId="496886AF" w:rsidR="0012504C" w:rsidRPr="0000570D" w:rsidRDefault="00740AC2" w:rsidP="00CC6C07">
      <w:pPr>
        <w:spacing w:after="0"/>
      </w:pPr>
      <w:r>
        <w:t xml:space="preserve">3) donne l’impression qu’un succédané du tabac déterminé présente des propriétés </w:t>
      </w:r>
      <w:proofErr w:type="spellStart"/>
      <w:r>
        <w:t>vitalisantes</w:t>
      </w:r>
      <w:proofErr w:type="spellEnd"/>
      <w:r>
        <w:t xml:space="preserve">, énergisantes, curatives, rajeunissantes, naturelles, biologiques ou a des effets bénéfiques sur la santé ou le mode de </w:t>
      </w:r>
      <w:proofErr w:type="gramStart"/>
      <w:r>
        <w:t>vie;</w:t>
      </w:r>
      <w:proofErr w:type="gramEnd"/>
    </w:p>
    <w:p w14:paraId="252AD1F6" w14:textId="77777777" w:rsidR="0012504C" w:rsidRPr="0000570D" w:rsidRDefault="00740AC2" w:rsidP="00CC6C07">
      <w:pPr>
        <w:spacing w:after="0"/>
      </w:pPr>
      <w:r>
        <w:t xml:space="preserve">4) ressemble à un produit alimentaire ou </w:t>
      </w:r>
      <w:proofErr w:type="gramStart"/>
      <w:r>
        <w:t>cosmétique;</w:t>
      </w:r>
      <w:proofErr w:type="gramEnd"/>
      <w:r>
        <w:t xml:space="preserve"> ou</w:t>
      </w:r>
    </w:p>
    <w:p w14:paraId="76C5A254" w14:textId="77777777" w:rsidR="0012504C" w:rsidRPr="0000570D" w:rsidRDefault="00740AC2" w:rsidP="00CC6C07">
      <w:pPr>
        <w:spacing w:after="0"/>
      </w:pPr>
      <w:r>
        <w:t>5) donne l’impression qu’un succédané du tabac déterminé est plus facilement biodégradable ou présente d’autres avantages pour l’environnement.</w:t>
      </w:r>
    </w:p>
    <w:p w14:paraId="16F17A29" w14:textId="77777777" w:rsidR="00331A1D" w:rsidRPr="0000570D" w:rsidRDefault="00D40080" w:rsidP="00CC6C07">
      <w:pPr>
        <w:spacing w:after="0" w:line="240" w:lineRule="auto"/>
      </w:pPr>
      <w:r>
        <w:rPr>
          <w:i/>
        </w:rPr>
        <w:t>(2)</w:t>
      </w:r>
      <w:r>
        <w:t xml:space="preserve"> Les éléments et dispositifs qui sont interdits en vertu de la section 3, paragraphes 1 à 5, comprennent, sans toutefois s'y limiter, les messages, symboles, noms, marques commerciales, signes figuratifs ou autres.</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Section 4.</w:t>
      </w:r>
      <w:r>
        <w:t xml:space="preserve"> Toute personne qui met des succédanés du tabac sur le marché au Danemark veille à ce que chaque unité de conditionnement et tout emballage extérieur ne contiennent pas de bons imprimés, d’offres de réduction, de distribution gratuite, de promotion de type</w:t>
      </w:r>
      <w:proofErr w:type="gramStart"/>
      <w:r>
        <w:t xml:space="preserve"> «deux</w:t>
      </w:r>
      <w:proofErr w:type="gramEnd"/>
      <w:r>
        <w:t xml:space="preserve"> pour le prix d’un» ou d’autres mesures de promotion de vente similaires, ou n’y soient associés d’une quelconque façon.</w:t>
      </w:r>
    </w:p>
    <w:p w14:paraId="7941AD9C" w14:textId="77777777" w:rsidR="00785D60" w:rsidRPr="0000570D" w:rsidRDefault="00785D60" w:rsidP="0012504C"/>
    <w:p w14:paraId="67AE3514" w14:textId="77777777" w:rsidR="00434814" w:rsidRPr="009A4968" w:rsidRDefault="003C37AA" w:rsidP="009A4968">
      <w:pPr>
        <w:autoSpaceDE w:val="0"/>
        <w:autoSpaceDN w:val="0"/>
        <w:adjustRightInd w:val="0"/>
        <w:spacing w:after="0" w:line="240" w:lineRule="auto"/>
        <w:jc w:val="center"/>
      </w:pPr>
      <w:r>
        <w:t>Partie 3</w:t>
      </w:r>
    </w:p>
    <w:p w14:paraId="21372067" w14:textId="38AC81D0" w:rsidR="003C37AA" w:rsidRPr="009A4968" w:rsidRDefault="003C37AA" w:rsidP="009A4968">
      <w:pPr>
        <w:autoSpaceDE w:val="0"/>
        <w:autoSpaceDN w:val="0"/>
        <w:adjustRightInd w:val="0"/>
        <w:spacing w:after="0" w:line="240" w:lineRule="auto"/>
        <w:jc w:val="center"/>
        <w:rPr>
          <w:i/>
        </w:rPr>
      </w:pPr>
      <w:r>
        <w:rPr>
          <w:i/>
        </w:rPr>
        <w:t>Avertissements sanitaires sur les succédanés du tabac</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Section 5.</w:t>
      </w:r>
      <w:r>
        <w:t xml:space="preserve"> Chaque unité de conditionnement ainsi que tout emballage extérieur des succédanés du tabac portent l’avertissement sanitaire suivant en langue </w:t>
      </w:r>
      <w:proofErr w:type="gramStart"/>
      <w:r>
        <w:t>danoise:</w:t>
      </w:r>
      <w:proofErr w:type="gramEnd"/>
      <w:r>
        <w:t xml:space="preserve"> «Ce produit contient de la nicotine, qui est une substance très addictive.»</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Section 6.</w:t>
      </w:r>
      <w:r>
        <w:t xml:space="preserve"> L’avertissement sanitaire sur chaque unité de conditionnement et tout emballage extérieur de succédanés du </w:t>
      </w:r>
      <w:proofErr w:type="gramStart"/>
      <w:r>
        <w:t>tabac:</w:t>
      </w:r>
      <w:proofErr w:type="gramEnd"/>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proofErr w:type="gramStart"/>
      <w:r>
        <w:t>apparaît</w:t>
      </w:r>
      <w:proofErr w:type="gramEnd"/>
      <w:r>
        <w:t xml:space="preserve"> sur les trois surfaces les plus grandes de l’unité de conditionnement et de tout emballage extérieur;</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proofErr w:type="gramStart"/>
      <w:r>
        <w:t>recouvre</w:t>
      </w:r>
      <w:proofErr w:type="gramEnd"/>
      <w:r>
        <w:t xml:space="preserve"> 30 % de la surface correspondante de l’unité de conditionnement et de tout emballage extérieur.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proofErr w:type="gramStart"/>
      <w:r>
        <w:t>est</w:t>
      </w:r>
      <w:proofErr w:type="gramEnd"/>
      <w:r>
        <w:t xml:space="preserve"> imprimé en gras dans la police </w:t>
      </w:r>
      <w:proofErr w:type="spellStart"/>
      <w:r>
        <w:t>Helvetica</w:t>
      </w:r>
      <w:proofErr w:type="spellEnd"/>
      <w:r>
        <w:t xml:space="preserve"> en blanc sur fond blanc,</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proofErr w:type="gramStart"/>
      <w:r>
        <w:t>apparaît</w:t>
      </w:r>
      <w:proofErr w:type="gramEnd"/>
      <w:r>
        <w:t xml:space="preserve"> en caractères d’une taille telle qu’ils couvrent la plus grande partie possible de la surface réservée à l’avertissement sanitaire lorsque le paquet est fermé;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proofErr w:type="gramStart"/>
      <w:r>
        <w:t>est</w:t>
      </w:r>
      <w:proofErr w:type="gramEnd"/>
      <w:r>
        <w:t xml:space="preserve"> centré sur la zone réservée à l’avertissement;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proofErr w:type="gramStart"/>
      <w:r>
        <w:t>être</w:t>
      </w:r>
      <w:proofErr w:type="gramEnd"/>
      <w:r>
        <w:t xml:space="preserve"> en ligne droite et dans le même sens de lecture que le texte principal de la surface réservée à l’avertissement;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proofErr w:type="gramStart"/>
      <w:r>
        <w:t>sur</w:t>
      </w:r>
      <w:proofErr w:type="gramEnd"/>
      <w:r>
        <w:t xml:space="preserve"> les emballages en forme de boîte et tout emballage extérieur, est placé parallèlement au bord latéral de l’unité de conditionnement ou de l’emballage extérieur;</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Les dimensions de l’avertissement sanitaire sont calculées par rapport à la surface respective lorsque l’emballage est fermé.</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Section 7.</w:t>
      </w:r>
      <w:r>
        <w:t xml:space="preserve"> Chaque avertissement sanitaire présent sur une unité de conditionnement ou tout emballage extérieur est imprimé ou collé de façon inamovible, indélébile et pleinement visible et n’est pas dissimulé ou interrompu, partiellement ou en totalité, par des timbres fiscaux, des suremballages, des enveloppes, des cartons ou des boîtes ou tout autre élément lors de la mise sur le marché du succédané du tabac.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Section 8.</w:t>
      </w:r>
      <w:r>
        <w:t xml:space="preserve"> L’avertissement sanitaire ne peut pas être commenté, reformulé ni contenir de référence de quelque nature que ce soit sur l’unité de conditionnement ou tout emballage extérieur.</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Section 9.</w:t>
      </w:r>
      <w:r>
        <w:t xml:space="preserve"> Chaque avertissement sanitaire doit rester intact après l’ouverture de l’unité de conditionnement.</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Pour au moins l’un des autres avertissements sanitaires, la lisibilité et la visibilité du texte doivent rester intactes en cas de rupture par l’ouverture du paquet unitaire.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Section 10.</w:t>
      </w:r>
      <w:r>
        <w:t xml:space="preserve"> Les images d’unités de conditionnement et de tout emballage extérieur destinées aux consommateurs sont conformes aux dispositions de la présente partie.</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Section 11. </w:t>
      </w:r>
      <w:r>
        <w:t>Sauf si une peine plus lourde est prévue par une autre législation, quiconque enfreint les règles des sections 2 à 10 encourt une amende.</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 </w:t>
      </w:r>
      <w:r>
        <w:t>(les personnes morales) pourront se voir infliger des sanctions pénales, conformément aux règles de la partie 5 du code pénal danois.</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38686C">
      <w:pPr>
        <w:pageBreakBefore/>
        <w:autoSpaceDE w:val="0"/>
        <w:autoSpaceDN w:val="0"/>
        <w:adjustRightInd w:val="0"/>
        <w:spacing w:after="0" w:line="240" w:lineRule="auto"/>
        <w:jc w:val="center"/>
        <w:rPr>
          <w:rFonts w:eastAsia="TimesNewRomanPSMT" w:cstheme="minorHAnsi"/>
        </w:rPr>
      </w:pPr>
      <w:r>
        <w:lastRenderedPageBreak/>
        <w:t>Partie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Entrée en vigueur</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Section 12. </w:t>
      </w:r>
      <w:r>
        <w:t>L’ordonnance entre en vigueur le 1er juillet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Ministère de la santé, le 18 mars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 xml:space="preserve">Magnus </w:t>
      </w:r>
      <w:proofErr w:type="spellStart"/>
      <w:r>
        <w:rPr>
          <w:sz w:val="24"/>
        </w:rPr>
        <w:t>Heunicke</w:t>
      </w:r>
      <w:proofErr w:type="spellEnd"/>
      <w:r>
        <w:rPr>
          <w:sz w:val="24"/>
        </w:rPr>
        <w:t xml:space="preserve"> / </w:t>
      </w:r>
      <w:proofErr w:type="spellStart"/>
      <w:r>
        <w:rPr>
          <w:sz w:val="24"/>
        </w:rPr>
        <w:t>Zelle</w:t>
      </w:r>
      <w:proofErr w:type="spellEnd"/>
      <w:r>
        <w:rPr>
          <w:sz w:val="24"/>
        </w:rPr>
        <w:t xml:space="preserv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8686C"/>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844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9</cp:revision>
  <dcterms:created xsi:type="dcterms:W3CDTF">2021-03-24T09:43:00Z</dcterms:created>
  <dcterms:modified xsi:type="dcterms:W3CDTF">2021-11-03T16:35:00Z</dcterms:modified>
</cp:coreProperties>
</file>