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7C" w:rsidRPr="00B23501" w:rsidRDefault="0000457C" w:rsidP="0000457C">
      <w:pPr>
        <w:pStyle w:val="12PromKlEinlSatz"/>
        <w:keepNext w:val="0"/>
        <w:spacing w:before="0" w:after="120" w:line="240" w:lineRule="auto"/>
        <w:ind w:firstLine="0"/>
        <w:jc w:val="center"/>
        <w:rPr>
          <w:rFonts w:ascii="Courier New" w:hAnsi="Courier New"/>
          <w:snapToGrid/>
        </w:rPr>
      </w:pPr>
      <w:r>
        <w:rPr>
          <w:rFonts w:ascii="Courier New" w:hAnsi="Courier New"/>
          <w:snapToGrid/>
        </w:rPr>
        <w:t>1. ------IND- 2019 0280 EE-</w:t>
      </w:r>
      <w:bookmarkStart w:id="0" w:name="_GoBack"/>
      <w:bookmarkEnd w:id="0"/>
      <w:r>
        <w:rPr>
          <w:rFonts w:ascii="Courier New" w:hAnsi="Courier New"/>
          <w:snapToGrid/>
        </w:rPr>
        <w:t xml:space="preserve"> IT- ------ 20190621 --- --- PROJET</w:t>
      </w:r>
    </w:p>
    <w:p w:rsidR="00E97C8D" w:rsidRPr="000F1F61" w:rsidRDefault="0000457C" w:rsidP="0000457C">
      <w:pPr>
        <w:pStyle w:val="Default"/>
        <w:jc w:val="right"/>
      </w:pPr>
      <w:r>
        <w:t>PROGETTO</w:t>
      </w:r>
    </w:p>
    <w:p w:rsidR="00E97C8D" w:rsidRDefault="00E97C8D" w:rsidP="0000457C">
      <w:pPr>
        <w:pStyle w:val="Default"/>
        <w:jc w:val="right"/>
      </w:pPr>
      <w:r>
        <w:t>…….2019</w:t>
      </w:r>
    </w:p>
    <w:p w:rsidR="006F0FE1" w:rsidRPr="006F0FE1" w:rsidRDefault="006F0FE1" w:rsidP="0000457C">
      <w:pPr>
        <w:pStyle w:val="Default"/>
        <w:ind w:left="7788"/>
        <w:jc w:val="center"/>
      </w:pPr>
    </w:p>
    <w:p w:rsidR="00DF1C9F" w:rsidRPr="006F0FE1" w:rsidRDefault="00DF1C9F" w:rsidP="0000457C">
      <w:pPr>
        <w:pStyle w:val="eelnupealkiri"/>
        <w:widowControl/>
        <w:rPr>
          <w:szCs w:val="32"/>
        </w:rPr>
      </w:pPr>
      <w:r>
        <w:t>Legge recante modifica della legge sul tabacco</w:t>
      </w:r>
    </w:p>
    <w:p w:rsidR="00DF1C9F" w:rsidRPr="000F1F61" w:rsidRDefault="00DF1C9F" w:rsidP="0000457C">
      <w:pPr>
        <w:pStyle w:val="muudatustesissejuhatus"/>
        <w:keepNext/>
        <w:keepLines/>
        <w:widowControl/>
      </w:pPr>
      <w:r>
        <w:t>La legge sul tabacco è modificata come segue:</w:t>
      </w:r>
    </w:p>
    <w:p w:rsidR="00DF1C9F" w:rsidRDefault="00DF1C9F" w:rsidP="0000457C">
      <w:pPr>
        <w:pStyle w:val="muutmisksk"/>
        <w:keepNext/>
        <w:keepLines/>
        <w:widowControl/>
      </w:pPr>
      <w:r>
        <w:rPr>
          <w:b/>
        </w:rPr>
        <w:t>1)</w:t>
      </w:r>
      <w:r>
        <w:t xml:space="preserve"> l'articolo 3, paragrafo 2, è modificato e formulato come segue:</w:t>
      </w:r>
    </w:p>
    <w:p w:rsidR="00F3659F" w:rsidRDefault="00F3659F" w:rsidP="0000457C">
      <w:pPr>
        <w:pStyle w:val="muutmisksk"/>
        <w:widowControl/>
      </w:pPr>
      <w:r>
        <w:t>"2. I prodotti del tabacco sono classificati come prodotti da fumo e prodotti del tabacco non da fumo e riscaldati";</w:t>
      </w:r>
    </w:p>
    <w:p w:rsidR="00CB4A82" w:rsidRDefault="00CB4A82" w:rsidP="0000457C">
      <w:pPr>
        <w:pStyle w:val="muutmisksk"/>
        <w:keepNext/>
        <w:keepLines/>
        <w:widowControl/>
      </w:pPr>
      <w:r>
        <w:rPr>
          <w:b/>
        </w:rPr>
        <w:t>2)</w:t>
      </w:r>
      <w:r>
        <w:t xml:space="preserve"> l'articolo 3, paragrafo 4, è modificato e formulato come segue:</w:t>
      </w:r>
    </w:p>
    <w:p w:rsidR="00F3659F" w:rsidRDefault="00FA49AA" w:rsidP="0000457C">
      <w:pPr>
        <w:pStyle w:val="muutmisksk"/>
        <w:widowControl/>
      </w:pPr>
      <w:r>
        <w:t>"4. Un prodotto del tabacco non da fumo è un prodotto del tabacco (che include tabacco da masticare, tabacco da fiuto e tabacco per uso orale) che non comporta un processo di combustione e non è un prodotto a tabacco riscaldato.";</w:t>
      </w:r>
    </w:p>
    <w:p w:rsidR="00F3659F" w:rsidRDefault="006405C9" w:rsidP="0000457C">
      <w:pPr>
        <w:pStyle w:val="muutmisksk"/>
        <w:keepNext/>
        <w:keepLines/>
        <w:widowControl/>
      </w:pPr>
      <w:r>
        <w:rPr>
          <w:b/>
        </w:rPr>
        <w:t xml:space="preserve">3) </w:t>
      </w:r>
      <w:r>
        <w:t>all'articolo 3 è aggiunto il paragrafo 6, formulato come segue:</w:t>
      </w:r>
    </w:p>
    <w:p w:rsidR="00302BE2" w:rsidRDefault="00F3659F" w:rsidP="0000457C">
      <w:pPr>
        <w:pStyle w:val="muutmisksk"/>
        <w:widowControl/>
      </w:pPr>
      <w:r>
        <w:t>"6. Un prodotto a tabacco riscaldato è un prodotto del tabacco di nuova generazione che non comporta un processo di combustione del tabacco ed è consumato utilizzando un accessorio per riscaldare il tabacco.";</w:t>
      </w:r>
    </w:p>
    <w:p w:rsidR="00B0041E" w:rsidRDefault="006405C9" w:rsidP="0000457C">
      <w:pPr>
        <w:pStyle w:val="muutmisksk"/>
        <w:keepNext/>
        <w:keepLines/>
        <w:widowControl/>
      </w:pPr>
      <w:r>
        <w:rPr>
          <w:b/>
        </w:rPr>
        <w:t>4)</w:t>
      </w:r>
      <w:r>
        <w:t xml:space="preserve"> la prima frase dell'articolo 8, paragrafo 5, è formulata come segue:</w:t>
      </w:r>
    </w:p>
    <w:p w:rsidR="00B0041E" w:rsidRDefault="00B0041E" w:rsidP="0000457C">
      <w:pPr>
        <w:pStyle w:val="muutmisksk"/>
        <w:widowControl/>
      </w:pPr>
      <w:r>
        <w:t>"Le sigarette, il tabacco da fumo per arrotolare le sigarette, nonché i prodotti a tabacco riscaldato non possono avere un aroma caratteristico.";</w:t>
      </w:r>
    </w:p>
    <w:p w:rsidR="000C419A" w:rsidRDefault="000C419A" w:rsidP="0000457C">
      <w:pPr>
        <w:pStyle w:val="muutmisksk"/>
        <w:keepNext/>
        <w:keepLines/>
        <w:widowControl/>
      </w:pPr>
      <w:r>
        <w:rPr>
          <w:b/>
        </w:rPr>
        <w:t>5)</w:t>
      </w:r>
      <w:r>
        <w:t xml:space="preserve"> la prima frase dell'articolo 8, paragrafo 6, è formulata come segue:</w:t>
      </w:r>
    </w:p>
    <w:p w:rsidR="000C419A" w:rsidRDefault="000C419A" w:rsidP="0000457C">
      <w:pPr>
        <w:pStyle w:val="muutmisksk"/>
        <w:widowControl/>
      </w:pPr>
      <w:r>
        <w:t>"Il contenuto delle sigarette, del tabacco da fumo per arrotolare le sigarette, nonché dei prodotti a tabacco riscaldato, quali filtri, carte, imballaggi e capsule, non può essere aromatizzato.";</w:t>
      </w:r>
    </w:p>
    <w:p w:rsidR="00F3659F" w:rsidRDefault="00544F55" w:rsidP="0000457C">
      <w:pPr>
        <w:pStyle w:val="muutmisksk"/>
        <w:keepNext/>
        <w:keepLines/>
        <w:widowControl/>
      </w:pPr>
      <w:r>
        <w:rPr>
          <w:b/>
        </w:rPr>
        <w:t>6)</w:t>
      </w:r>
      <w:r>
        <w:t xml:space="preserve"> la prima frase dell'articolo 12, paragrafo 5, è formulata come segue:</w:t>
      </w:r>
    </w:p>
    <w:p w:rsidR="00F3659F" w:rsidRDefault="002A4570" w:rsidP="0000457C">
      <w:pPr>
        <w:pStyle w:val="muutmisksk"/>
        <w:widowControl/>
      </w:pPr>
      <w:r>
        <w:t>"Le informazioni di cui al paragrafo 1 del presente articolo possono essere presenti sugli adesivi posti sugli imballaggi primari e combinati del prodotto del tabacco, eccetto che per le sigarette e il tabacco da fumo per arrotolare le sigarette.";</w:t>
      </w:r>
    </w:p>
    <w:p w:rsidR="00CB4A82" w:rsidRDefault="00544F55" w:rsidP="0000457C">
      <w:pPr>
        <w:pStyle w:val="muutmisksk"/>
        <w:keepNext/>
        <w:keepLines/>
        <w:widowControl/>
      </w:pPr>
      <w:r>
        <w:rPr>
          <w:b/>
        </w:rPr>
        <w:t>7)</w:t>
      </w:r>
      <w:r>
        <w:t xml:space="preserve"> il titolo dell’articolo 13 è modificato e formulato come segue:</w:t>
      </w:r>
    </w:p>
    <w:p w:rsidR="00CB4A82" w:rsidRDefault="00CB4A82" w:rsidP="0000457C">
      <w:pPr>
        <w:pStyle w:val="muutmisksk"/>
        <w:widowControl/>
      </w:pPr>
      <w:r>
        <w:t>"</w:t>
      </w:r>
      <w:r>
        <w:rPr>
          <w:b/>
        </w:rPr>
        <w:t>Articolo 13. Avvertenze per la salute per i prodotti del tabacco da fumo</w:t>
      </w:r>
      <w:r>
        <w:t>";</w:t>
      </w:r>
    </w:p>
    <w:p w:rsidR="00CB4A82" w:rsidRDefault="00544F55" w:rsidP="0000457C">
      <w:pPr>
        <w:pStyle w:val="muutmisksk"/>
        <w:keepNext/>
        <w:keepLines/>
        <w:widowControl/>
      </w:pPr>
      <w:r>
        <w:rPr>
          <w:b/>
        </w:rPr>
        <w:t>8)</w:t>
      </w:r>
      <w:r>
        <w:t xml:space="preserve"> l'articolo 13, paragrafo 1, è modificato e formulato come segue:</w:t>
      </w:r>
    </w:p>
    <w:p w:rsidR="00CB4A82" w:rsidRDefault="00CB4A82" w:rsidP="0000457C">
      <w:pPr>
        <w:pStyle w:val="muutmisksk"/>
        <w:widowControl/>
      </w:pPr>
      <w:r>
        <w:t>"1. Le avvertenze per la salute dei prodotti del tabacco da fumo sono suddivise in avvertenze generali, messaggi informativi e avvertenze combinate per la salute.";</w:t>
      </w:r>
    </w:p>
    <w:p w:rsidR="00CB4A82" w:rsidRDefault="00544F55" w:rsidP="0000457C">
      <w:pPr>
        <w:pStyle w:val="muutmisksk"/>
        <w:keepNext/>
        <w:keepLines/>
        <w:widowControl/>
      </w:pPr>
      <w:r>
        <w:rPr>
          <w:b/>
        </w:rPr>
        <w:lastRenderedPageBreak/>
        <w:t>9)</w:t>
      </w:r>
      <w:r>
        <w:t xml:space="preserve"> la legge è integrata dell'articolo 13</w:t>
      </w:r>
      <w:r>
        <w:rPr>
          <w:vertAlign w:val="superscript"/>
        </w:rPr>
        <w:t>1</w:t>
      </w:r>
      <w:r>
        <w:t>, come segue:</w:t>
      </w:r>
    </w:p>
    <w:p w:rsidR="00CB4A82" w:rsidRDefault="00CB4A82" w:rsidP="0000457C">
      <w:pPr>
        <w:pStyle w:val="muutmisksk"/>
        <w:widowControl/>
        <w:rPr>
          <w:b/>
        </w:rPr>
      </w:pPr>
      <w:r>
        <w:t>"</w:t>
      </w:r>
      <w:r>
        <w:rPr>
          <w:b/>
        </w:rPr>
        <w:t>13</w:t>
      </w:r>
      <w:r>
        <w:rPr>
          <w:b/>
          <w:vertAlign w:val="superscript"/>
        </w:rPr>
        <w:t>1</w:t>
      </w:r>
      <w:r>
        <w:rPr>
          <w:b/>
        </w:rPr>
        <w:t>. Avvertenza per la salute per i prodotti a tabacco riscaldato</w:t>
      </w:r>
    </w:p>
    <w:p w:rsidR="00FA49AA" w:rsidRDefault="00FA49AA" w:rsidP="0000457C">
      <w:pPr>
        <w:pStyle w:val="muutmisksk"/>
        <w:widowControl/>
      </w:pPr>
      <w:r>
        <w:t>1. Ciascun imballaggio primario e combinato di un prodotto a tabacco riscaldato deve riportare le seguenti avvertenze per la salute:</w:t>
      </w:r>
    </w:p>
    <w:p w:rsidR="00FA49AA" w:rsidRDefault="00FA49AA" w:rsidP="0000457C">
      <w:pPr>
        <w:pStyle w:val="muudetavtekst"/>
      </w:pPr>
      <w:r>
        <w:t>"Questo prodotto del tabacco nuoce alla tua salute e crea dipendenza".</w:t>
      </w:r>
    </w:p>
    <w:p w:rsidR="00FA49AA" w:rsidRDefault="00D5650D" w:rsidP="0000457C">
      <w:pPr>
        <w:pStyle w:val="muutmisksk"/>
        <w:widowControl/>
      </w:pPr>
      <w:r>
        <w:t>2. Le avvertenze per la salute di cui al paragrafo 1 del presente articolo devono essere conformi ai requisiti di cui all'articolo 16, paragrafi 6, 10, 11 e 12 della presente legge.</w:t>
      </w:r>
    </w:p>
    <w:p w:rsidR="00FA49AA" w:rsidRDefault="00D5650D" w:rsidP="0000457C">
      <w:pPr>
        <w:pStyle w:val="muutmisksk"/>
        <w:widowControl/>
      </w:pPr>
      <w:r>
        <w:t>3. Oltre alle disposizioni di cui al paragrafo 2 del presente articolo, un'avvertenza per la salute per i prodotti a tabacco riscaldato deve:</w:t>
      </w:r>
    </w:p>
    <w:p w:rsidR="00FA49AA" w:rsidRDefault="00D5650D" w:rsidP="0000457C">
      <w:pPr>
        <w:pStyle w:val="muudetavtekst"/>
      </w:pPr>
      <w:r>
        <w:t>1) essere parallela sulle confezioni dalla forma parallelepipeda e sull'eventuale imballaggio combinato al bordo laterale dell'imballaggio primario o dell'imballaggio combinato. Il testo delle avvertenze per la salute deve essere parallelo al testo principale sulla superficie che gli è riservata; e</w:t>
      </w:r>
    </w:p>
    <w:p w:rsidR="00FA49AA" w:rsidRDefault="00D5650D" w:rsidP="0000457C">
      <w:pPr>
        <w:pStyle w:val="muudetavtekst"/>
      </w:pPr>
      <w:r>
        <w:t>2) figurare sulle due superfici maggiori dell'imballaggio primario e dell'eventuale imballaggio combinato;</w:t>
      </w:r>
    </w:p>
    <w:p w:rsidR="00CB4A82" w:rsidRDefault="00D5650D" w:rsidP="0000457C">
      <w:pPr>
        <w:pStyle w:val="muudetavtekst"/>
      </w:pPr>
      <w:r>
        <w:t>3) coprire il 30 % delle superfici dell'imballaggio primario e dell'eventuale imballaggio combinato.";</w:t>
      </w:r>
    </w:p>
    <w:p w:rsidR="00D5650D" w:rsidRDefault="00544F55" w:rsidP="0000457C">
      <w:pPr>
        <w:pStyle w:val="muutmisksk"/>
        <w:keepNext/>
        <w:keepLines/>
        <w:widowControl/>
      </w:pPr>
      <w:r>
        <w:rPr>
          <w:b/>
        </w:rPr>
        <w:t>10)</w:t>
      </w:r>
      <w:r>
        <w:t xml:space="preserve"> l'articolo 27, paragrafo 1, è modificato e formulato come segue:</w:t>
      </w:r>
    </w:p>
    <w:p w:rsidR="00D5650D" w:rsidRDefault="00D5650D" w:rsidP="0000457C">
      <w:pPr>
        <w:pStyle w:val="muutmisksk"/>
        <w:widowControl/>
      </w:pPr>
      <w:r>
        <w:t>1. A una persona di età inferiore ai 18 anni (in prosieguo "minore") non è consentito fumare o utilizzare prodotti del tabacco o prodotti utilizzati nello stesso modo dei prodotti del tabacco.";</w:t>
      </w:r>
    </w:p>
    <w:p w:rsidR="00D5650D" w:rsidRDefault="00544F55" w:rsidP="0000457C">
      <w:pPr>
        <w:pStyle w:val="muutmisksk"/>
        <w:keepNext/>
        <w:keepLines/>
        <w:widowControl/>
      </w:pPr>
      <w:r>
        <w:rPr>
          <w:b/>
        </w:rPr>
        <w:t>11)</w:t>
      </w:r>
      <w:r>
        <w:t xml:space="preserve"> l'articolo 29, paragrafo 2, è modificato e formulato come segue:</w:t>
      </w:r>
    </w:p>
    <w:p w:rsidR="00D5650D" w:rsidRDefault="001B35A3" w:rsidP="0000457C">
      <w:pPr>
        <w:pStyle w:val="muutmisksk"/>
        <w:widowControl/>
      </w:pPr>
      <w:r>
        <w:t>"2. Il divieto stabilito al paragrafo 1 del presente articolo si applica alle sigarette elettroniche e ai prodotti a tabacco riscaldato, mentre quanto stabilito al paragrafo 1, punti 1 e 2 si applica anche ad altri prodotti utilizzati nello stesso modo dei prodotti del tabacco.";</w:t>
      </w:r>
    </w:p>
    <w:p w:rsidR="00D5650D" w:rsidRDefault="00544F55" w:rsidP="0000457C">
      <w:pPr>
        <w:pStyle w:val="muutmisksk"/>
        <w:keepNext/>
        <w:keepLines/>
        <w:widowControl/>
      </w:pPr>
      <w:r>
        <w:rPr>
          <w:b/>
        </w:rPr>
        <w:t>12)</w:t>
      </w:r>
      <w:r>
        <w:t xml:space="preserve"> l'articolo 30, paragrafo 5, è modificato e formulato come segue:</w:t>
      </w:r>
    </w:p>
    <w:p w:rsidR="00D5650D" w:rsidRDefault="009F6B90" w:rsidP="0000457C">
      <w:pPr>
        <w:pStyle w:val="muutmisksk"/>
        <w:widowControl/>
      </w:pPr>
      <w:r>
        <w:t>"5. Le restrizioni stabilite al paragrafo 2 del presente articolo si applicano anche al consumo di sigarette elettroniche e di prodotti a tabacco riscaldato.";</w:t>
      </w:r>
    </w:p>
    <w:p w:rsidR="00C3258B" w:rsidRDefault="00544F55" w:rsidP="0000457C">
      <w:pPr>
        <w:pStyle w:val="muutmisksk"/>
        <w:keepNext/>
        <w:keepLines/>
        <w:widowControl/>
      </w:pPr>
      <w:r>
        <w:rPr>
          <w:b/>
        </w:rPr>
        <w:t xml:space="preserve">13) </w:t>
      </w:r>
      <w:r>
        <w:t>l'articolo 31 è modificato e formulato come segue:</w:t>
      </w:r>
    </w:p>
    <w:p w:rsidR="00C3258B" w:rsidRPr="00C3258B" w:rsidRDefault="00C3258B" w:rsidP="0000457C">
      <w:pPr>
        <w:pStyle w:val="muutmisksk"/>
        <w:widowControl/>
        <w:rPr>
          <w:b/>
        </w:rPr>
      </w:pPr>
      <w:r>
        <w:t>"</w:t>
      </w:r>
      <w:r>
        <w:rPr>
          <w:b/>
        </w:rPr>
        <w:t>Articolo 31. Consumo di prodotti a tabacco riscaldato nelle strutture di ristorazione</w:t>
      </w:r>
    </w:p>
    <w:p w:rsidR="00C3258B" w:rsidRDefault="00C3258B" w:rsidP="0000457C">
      <w:pPr>
        <w:pStyle w:val="muutmisksk"/>
        <w:widowControl/>
      </w:pPr>
      <w:r>
        <w:t>1. Nelle strutture di ristorazione, è consentito fumare e consumare prodotti a tabacco riscaldato solamente in aree riservate in modo specifico ai fumatori (sale fumatori) o in aree esterne ampliate stagionalmente situate nelle immediate vicinanze della struttura di ristorazione.</w:t>
      </w:r>
    </w:p>
    <w:p w:rsidR="00C3258B" w:rsidRDefault="00C3258B" w:rsidP="0000457C">
      <w:pPr>
        <w:pStyle w:val="muutmisksk"/>
        <w:widowControl/>
      </w:pPr>
      <w:r>
        <w:t>2. Le sale fumatori di cui al paragrafo 1 del presente articolo non devono essere destinate alla vendita di cibi e bevande e alla loro preparazione o al loro consumo nei locali.</w:t>
      </w:r>
    </w:p>
    <w:p w:rsidR="00C3258B" w:rsidRDefault="00C3258B" w:rsidP="0000457C">
      <w:pPr>
        <w:pStyle w:val="muutmisksk"/>
        <w:widowControl/>
      </w:pPr>
      <w:r>
        <w:lastRenderedPageBreak/>
        <w:t>3. Il venditore ha il diritto di negare il servizio a una persona che ignora i divieti e le restrizioni in materia di consumo di prodotti a tabacco riscaldato nelle strutture di ristorazione e di chiedere a tale persona di lasciare il locale.";</w:t>
      </w:r>
    </w:p>
    <w:p w:rsidR="009F6B90" w:rsidRDefault="00C3258B" w:rsidP="0000457C">
      <w:pPr>
        <w:pStyle w:val="muutmisksk"/>
        <w:keepNext/>
        <w:keepLines/>
        <w:widowControl/>
      </w:pPr>
      <w:r>
        <w:rPr>
          <w:b/>
        </w:rPr>
        <w:t>14)</w:t>
      </w:r>
      <w:r>
        <w:t xml:space="preserve"> il testo dell'articolo 47 è modificato e formulato come segue:</w:t>
      </w:r>
    </w:p>
    <w:p w:rsidR="009F6B90" w:rsidRDefault="009F6B90" w:rsidP="0000457C">
      <w:pPr>
        <w:pStyle w:val="muutmisksk"/>
        <w:widowControl/>
      </w:pPr>
      <w:r>
        <w:t>"Il consumo di prodotti del tabacco o di prodotti utilizzati nello stesso modo dei prodotti del tabacco da parte di un minore è punibile con un'ammenda fino a 10 unità d'ammenda.";</w:t>
      </w:r>
    </w:p>
    <w:p w:rsidR="009C5189" w:rsidRDefault="00C3258B" w:rsidP="0000457C">
      <w:pPr>
        <w:pStyle w:val="muutmisksk"/>
        <w:keepNext/>
        <w:keepLines/>
        <w:widowControl/>
      </w:pPr>
      <w:r>
        <w:rPr>
          <w:b/>
        </w:rPr>
        <w:t>15)</w:t>
      </w:r>
      <w:r>
        <w:t xml:space="preserve"> il testo dell'articolo 49 è modificato e formulato come segue:</w:t>
      </w:r>
    </w:p>
    <w:p w:rsidR="009C5189" w:rsidRDefault="009C5189" w:rsidP="0000457C">
      <w:pPr>
        <w:pStyle w:val="muutmisksk"/>
        <w:widowControl/>
      </w:pPr>
      <w:r>
        <w:t>"Il consumo di prodotti a tabacco riscaldato o di prodotti utilizzati nello stesso modo dei prodotti del tabacco in un luogo in cui il consumo di suddetti prodotti è vietato, è punibile con un'ammenda fino a 20 unità d'ammenda.";</w:t>
      </w:r>
    </w:p>
    <w:p w:rsidR="009C5189" w:rsidRDefault="00C3258B" w:rsidP="0000457C">
      <w:pPr>
        <w:pStyle w:val="muutmisksk"/>
        <w:keepNext/>
        <w:keepLines/>
        <w:widowControl/>
      </w:pPr>
      <w:r>
        <w:rPr>
          <w:b/>
        </w:rPr>
        <w:t>16)</w:t>
      </w:r>
      <w:r>
        <w:t xml:space="preserve"> l'articolo 50, paragrafo 1, è modificato e formulato come segue:</w:t>
      </w:r>
    </w:p>
    <w:p w:rsidR="009C5189" w:rsidRDefault="009C5189" w:rsidP="0000457C">
      <w:pPr>
        <w:pStyle w:val="muutmisksk"/>
        <w:widowControl/>
      </w:pPr>
      <w:r>
        <w:t>"Il consenso al consumo di prodotti a tabacco riscaldato o di prodotti utilizzati nello stesso modo dei prodotti del tabacco in un luogo in cui per legge il consumo di suddetti prodotti è vietato, nonché la violazione dei requisiti per le sale fumatori, sono punibili con un'ammenda fino a 200 unità d'ammenda."</w:t>
      </w:r>
    </w:p>
    <w:p w:rsidR="000F1F61" w:rsidRDefault="000F1F61" w:rsidP="0000457C">
      <w:pPr>
        <w:pStyle w:val="muutmisksk"/>
        <w:widowControl/>
      </w:pPr>
      <w:r>
        <w:t>Presidente del parlamento estone</w:t>
      </w:r>
    </w:p>
    <w:p w:rsidR="000F1F61" w:rsidRDefault="000F1F61" w:rsidP="0000457C">
      <w:pPr>
        <w:pStyle w:val="muutmisksk"/>
        <w:widowControl/>
      </w:pPr>
      <w:r>
        <w:t>Tallinn, ........................... 2019</w:t>
      </w:r>
    </w:p>
    <w:p w:rsidR="000F1F61" w:rsidRPr="000F1F61" w:rsidRDefault="000F1F61" w:rsidP="0000457C">
      <w:pPr>
        <w:pStyle w:val="muutmisksk"/>
        <w:widowControl/>
      </w:pPr>
      <w:r>
        <w:t>Introdotta dal governo della Repubblica il....................... 2019</w:t>
      </w:r>
    </w:p>
    <w:p w:rsidR="000F1F61" w:rsidRPr="000F1F61" w:rsidRDefault="000F1F61" w:rsidP="0000457C">
      <w:pPr>
        <w:pStyle w:val="muutmisksk"/>
        <w:widowControl/>
      </w:pPr>
      <w:r>
        <w:t>Firma digitale</w:t>
      </w:r>
    </w:p>
    <w:sectPr w:rsidR="000F1F61" w:rsidRPr="000F1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3E7" w:rsidRDefault="006503E7" w:rsidP="0000457C">
      <w:pPr>
        <w:spacing w:after="0" w:line="240" w:lineRule="auto"/>
      </w:pPr>
      <w:r>
        <w:separator/>
      </w:r>
    </w:p>
  </w:endnote>
  <w:endnote w:type="continuationSeparator" w:id="0">
    <w:p w:rsidR="006503E7" w:rsidRDefault="006503E7" w:rsidP="0000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3E7" w:rsidRDefault="006503E7" w:rsidP="0000457C">
      <w:pPr>
        <w:spacing w:after="0" w:line="240" w:lineRule="auto"/>
      </w:pPr>
      <w:r>
        <w:separator/>
      </w:r>
    </w:p>
  </w:footnote>
  <w:footnote w:type="continuationSeparator" w:id="0">
    <w:p w:rsidR="006503E7" w:rsidRDefault="006503E7" w:rsidP="00004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9F"/>
    <w:rsid w:val="0000457C"/>
    <w:rsid w:val="00056899"/>
    <w:rsid w:val="000707A0"/>
    <w:rsid w:val="00083F9E"/>
    <w:rsid w:val="0009318D"/>
    <w:rsid w:val="000C419A"/>
    <w:rsid w:val="000F1F61"/>
    <w:rsid w:val="00117FE9"/>
    <w:rsid w:val="001A0F14"/>
    <w:rsid w:val="001B35A3"/>
    <w:rsid w:val="0028759C"/>
    <w:rsid w:val="00292FDA"/>
    <w:rsid w:val="002A4570"/>
    <w:rsid w:val="00302BE2"/>
    <w:rsid w:val="00316DFA"/>
    <w:rsid w:val="00342FCA"/>
    <w:rsid w:val="004371FC"/>
    <w:rsid w:val="004628AB"/>
    <w:rsid w:val="004A3CE7"/>
    <w:rsid w:val="004B08D1"/>
    <w:rsid w:val="004E2E5A"/>
    <w:rsid w:val="004F68F8"/>
    <w:rsid w:val="00544F55"/>
    <w:rsid w:val="00576D82"/>
    <w:rsid w:val="006405C9"/>
    <w:rsid w:val="006503E7"/>
    <w:rsid w:val="006A413B"/>
    <w:rsid w:val="006F0FE1"/>
    <w:rsid w:val="00702706"/>
    <w:rsid w:val="0074406D"/>
    <w:rsid w:val="00762D57"/>
    <w:rsid w:val="00763AA4"/>
    <w:rsid w:val="00764587"/>
    <w:rsid w:val="00787AB4"/>
    <w:rsid w:val="007B3F29"/>
    <w:rsid w:val="007C37B1"/>
    <w:rsid w:val="00830A4B"/>
    <w:rsid w:val="008C30DF"/>
    <w:rsid w:val="008D1695"/>
    <w:rsid w:val="00917A01"/>
    <w:rsid w:val="00937BD8"/>
    <w:rsid w:val="00952903"/>
    <w:rsid w:val="00982C65"/>
    <w:rsid w:val="00986D51"/>
    <w:rsid w:val="009C5189"/>
    <w:rsid w:val="009F6B90"/>
    <w:rsid w:val="00A228FC"/>
    <w:rsid w:val="00A32CCA"/>
    <w:rsid w:val="00B0041E"/>
    <w:rsid w:val="00BC7517"/>
    <w:rsid w:val="00BD2AD3"/>
    <w:rsid w:val="00C3258B"/>
    <w:rsid w:val="00C57B18"/>
    <w:rsid w:val="00C71875"/>
    <w:rsid w:val="00C71CDF"/>
    <w:rsid w:val="00C74A67"/>
    <w:rsid w:val="00CB4A82"/>
    <w:rsid w:val="00CF6953"/>
    <w:rsid w:val="00D5650D"/>
    <w:rsid w:val="00DD0CD1"/>
    <w:rsid w:val="00DF1C9F"/>
    <w:rsid w:val="00E271A0"/>
    <w:rsid w:val="00E51B56"/>
    <w:rsid w:val="00E97C8D"/>
    <w:rsid w:val="00EA1E2C"/>
    <w:rsid w:val="00EB24C5"/>
    <w:rsid w:val="00F313F5"/>
    <w:rsid w:val="00F3659F"/>
    <w:rsid w:val="00F44C04"/>
    <w:rsid w:val="00F7405A"/>
    <w:rsid w:val="00F757D9"/>
    <w:rsid w:val="00FA49AA"/>
    <w:rsid w:val="00FB29EC"/>
    <w:rsid w:val="00FB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C1B115-A325-4B04-8B0E-3279353A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lnupealkiri">
    <w:name w:val="eelnõu pealkiri"/>
    <w:basedOn w:val="Normal"/>
    <w:qFormat/>
    <w:rsid w:val="00DF1C9F"/>
    <w:pPr>
      <w:widowControl w:val="0"/>
      <w:autoSpaceDN w:val="0"/>
      <w:adjustRightInd w:val="0"/>
      <w:spacing w:before="120" w:after="480" w:line="240" w:lineRule="auto"/>
      <w:jc w:val="center"/>
    </w:pPr>
    <w:rPr>
      <w:rFonts w:ascii="Times New Roman" w:eastAsia="Times New Roman" w:hAnsi="Times New Roman"/>
      <w:b/>
      <w:sz w:val="32"/>
      <w:szCs w:val="24"/>
    </w:rPr>
  </w:style>
  <w:style w:type="paragraph" w:customStyle="1" w:styleId="pealkiri">
    <w:name w:val="§_pealkiri"/>
    <w:basedOn w:val="Normal"/>
    <w:qFormat/>
    <w:rsid w:val="00DF1C9F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muutmisksk">
    <w:name w:val="muutmiskäsk"/>
    <w:basedOn w:val="Normal"/>
    <w:qFormat/>
    <w:rsid w:val="00DF1C9F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uudatustesissejuhatus">
    <w:name w:val="muudatuste sissejuhatus"/>
    <w:basedOn w:val="Normal"/>
    <w:next w:val="muutmisksk"/>
    <w:qFormat/>
    <w:rsid w:val="00DF1C9F"/>
    <w:pPr>
      <w:widowControl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uudetavtekst">
    <w:name w:val="muudetav tekst"/>
    <w:basedOn w:val="Normal"/>
    <w:qFormat/>
    <w:rsid w:val="00DF1C9F"/>
    <w:pPr>
      <w:suppressAutoHyphens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uudetavtekstboldis">
    <w:name w:val="muudetav tekst boldis"/>
    <w:basedOn w:val="muudetavtekst"/>
    <w:qFormat/>
    <w:rsid w:val="00DF1C9F"/>
    <w:pPr>
      <w:jc w:val="left"/>
    </w:pPr>
    <w:rPr>
      <w:rFonts w:eastAsia="MS Gothic"/>
      <w:b/>
    </w:rPr>
  </w:style>
  <w:style w:type="paragraph" w:customStyle="1" w:styleId="muudetavtekstalljoonega">
    <w:name w:val="muudetav tekst alljoonega"/>
    <w:basedOn w:val="muudetavtekst"/>
    <w:qFormat/>
    <w:rsid w:val="00DF1C9F"/>
    <w:rPr>
      <w:u w:val="single"/>
    </w:rPr>
  </w:style>
  <w:style w:type="paragraph" w:customStyle="1" w:styleId="muutmiskskalljoonega">
    <w:name w:val="muutmiskäsk alljoonega"/>
    <w:basedOn w:val="muutmisksk"/>
    <w:qFormat/>
    <w:rsid w:val="00DF1C9F"/>
    <w:rPr>
      <w:u w:val="single"/>
    </w:rPr>
  </w:style>
  <w:style w:type="paragraph" w:customStyle="1" w:styleId="justumisetekst">
    <w:name w:val="jõustumise tekst"/>
    <w:basedOn w:val="muudetavtekst"/>
    <w:next w:val="Normal"/>
    <w:qFormat/>
    <w:rsid w:val="00DF1C9F"/>
    <w:pPr>
      <w:spacing w:before="120" w:after="120"/>
    </w:pPr>
  </w:style>
  <w:style w:type="character" w:customStyle="1" w:styleId="tyhik">
    <w:name w:val="tyhik"/>
    <w:rsid w:val="00DF1C9F"/>
    <w:rPr>
      <w:rFonts w:ascii="Times New Roman" w:hAnsi="Times New Roman" w:cs="Times New Roman" w:hint="default"/>
    </w:rPr>
  </w:style>
  <w:style w:type="paragraph" w:customStyle="1" w:styleId="Default">
    <w:name w:val="Default"/>
    <w:rsid w:val="00E97C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71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8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718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8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18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1875"/>
    <w:rPr>
      <w:rFonts w:ascii="Segoe UI" w:hAnsi="Segoe UI" w:cs="Segoe UI"/>
      <w:sz w:val="18"/>
      <w:szCs w:val="18"/>
    </w:rPr>
  </w:style>
  <w:style w:type="paragraph" w:customStyle="1" w:styleId="12PromKlEinlSatz">
    <w:name w:val="12_PromKl_EinlSatz"/>
    <w:basedOn w:val="Normal"/>
    <w:next w:val="Normal"/>
    <w:rsid w:val="0000457C"/>
    <w:pPr>
      <w:keepNext/>
      <w:spacing w:before="160" w:after="0" w:line="220" w:lineRule="exact"/>
      <w:ind w:firstLine="397"/>
      <w:jc w:val="both"/>
    </w:pPr>
    <w:rPr>
      <w:rFonts w:ascii="Times New Roman" w:eastAsia="Times New Roman" w:hAnsi="Times New Roman"/>
      <w:snapToGrid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57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0457C"/>
    <w:rPr>
      <w:sz w:val="22"/>
      <w:szCs w:val="22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00457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0457C"/>
    <w:rPr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40281-0624-475B-A947-A1010D32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RIK</Company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 Sarapuu</dc:creator>
  <cp:keywords/>
  <dc:description/>
  <cp:lastModifiedBy>Liu, Lei</cp:lastModifiedBy>
  <cp:revision>4</cp:revision>
  <cp:lastPrinted>2019-03-26T14:28:00Z</cp:lastPrinted>
  <dcterms:created xsi:type="dcterms:W3CDTF">2019-06-14T14:56:00Z</dcterms:created>
  <dcterms:modified xsi:type="dcterms:W3CDTF">2019-06-21T13:06:00Z</dcterms:modified>
</cp:coreProperties>
</file>