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2D4044" w:rsidRDefault="0000457C" w:rsidP="0000457C">
      <w:pPr>
        <w:pStyle w:val="12PromKlEinlSatz"/>
        <w:keepNext w:val="0"/>
        <w:spacing w:before="0" w:after="120" w:line="240" w:lineRule="auto"/>
        <w:ind w:firstLine="0"/>
        <w:jc w:val="center"/>
        <w:rPr>
          <w:rFonts w:ascii="Courier New" w:hAnsi="Courier New"/>
          <w:snapToGrid/>
        </w:rPr>
      </w:pPr>
      <w:r w:rsidRPr="002D4044">
        <w:rPr>
          <w:rFonts w:ascii="Courier New" w:hAnsi="Courier New"/>
          <w:snapToGrid/>
        </w:rPr>
        <w:t>1. ------IND- 2019 0280 EE- SK- ------ 20190621 --- --- PROJET</w:t>
      </w:r>
    </w:p>
    <w:p w:rsidR="00E97C8D" w:rsidRPr="002D4044" w:rsidRDefault="0000457C" w:rsidP="0000457C">
      <w:pPr>
        <w:pStyle w:val="Default"/>
        <w:jc w:val="right"/>
      </w:pPr>
      <w:r w:rsidRPr="002D4044">
        <w:t>NÁVRH</w:t>
      </w:r>
    </w:p>
    <w:p w:rsidR="00E97C8D" w:rsidRPr="002D4044" w:rsidRDefault="00E97C8D" w:rsidP="0000457C">
      <w:pPr>
        <w:pStyle w:val="Default"/>
        <w:jc w:val="right"/>
      </w:pPr>
      <w:r w:rsidRPr="002D4044">
        <w:t>…….2019</w:t>
      </w:r>
    </w:p>
    <w:p w:rsidR="006F0FE1" w:rsidRPr="002D4044" w:rsidRDefault="006F0FE1" w:rsidP="0000457C">
      <w:pPr>
        <w:pStyle w:val="Default"/>
        <w:ind w:left="7788"/>
        <w:jc w:val="center"/>
      </w:pPr>
    </w:p>
    <w:p w:rsidR="00DF1C9F" w:rsidRPr="002D4044" w:rsidRDefault="00DF1C9F" w:rsidP="0000457C">
      <w:pPr>
        <w:pStyle w:val="eelnupealkiri"/>
        <w:widowControl/>
        <w:rPr>
          <w:szCs w:val="32"/>
        </w:rPr>
      </w:pPr>
      <w:r w:rsidRPr="002D4044">
        <w:t>Zákon, ktorým sa mení zákon o tabaku</w:t>
      </w:r>
    </w:p>
    <w:p w:rsidR="00DF1C9F" w:rsidRPr="002D4044" w:rsidRDefault="00DF1C9F" w:rsidP="0000457C">
      <w:pPr>
        <w:pStyle w:val="muudatustesissejuhatus"/>
        <w:keepNext/>
        <w:keepLines/>
        <w:widowControl/>
      </w:pPr>
      <w:r w:rsidRPr="002D4044">
        <w:t>Zákon o tabaku sa mení takto:</w:t>
      </w:r>
    </w:p>
    <w:p w:rsidR="00DF1C9F" w:rsidRPr="002D4044" w:rsidRDefault="00DF1C9F" w:rsidP="0000457C">
      <w:pPr>
        <w:pStyle w:val="muutmisksk"/>
        <w:keepNext/>
        <w:keepLines/>
        <w:widowControl/>
      </w:pPr>
      <w:r w:rsidRPr="002D4044">
        <w:rPr>
          <w:b/>
        </w:rPr>
        <w:t>1)</w:t>
      </w:r>
      <w:r w:rsidRPr="002D4044">
        <w:t xml:space="preserve"> § 3 ods. 2 sa mení a znie takto:</w:t>
      </w:r>
    </w:p>
    <w:p w:rsidR="00F3659F" w:rsidRPr="002D4044" w:rsidRDefault="00F3659F" w:rsidP="0000457C">
      <w:pPr>
        <w:pStyle w:val="muutmisksk"/>
        <w:widowControl/>
      </w:pPr>
      <w:r w:rsidRPr="002D4044">
        <w:t>„(2) Tabakové výrobky sú kategorizované ako výrobky na fajčenie ako aj bezdymové a zahrievané tabakové výrobky.“;</w:t>
      </w:r>
    </w:p>
    <w:p w:rsidR="00CB4A82" w:rsidRPr="002D4044" w:rsidRDefault="00CB4A82" w:rsidP="0000457C">
      <w:pPr>
        <w:pStyle w:val="muutmisksk"/>
        <w:keepNext/>
        <w:keepLines/>
        <w:widowControl/>
      </w:pPr>
      <w:r w:rsidRPr="002D4044">
        <w:rPr>
          <w:b/>
        </w:rPr>
        <w:t>2)</w:t>
      </w:r>
      <w:r w:rsidRPr="002D4044">
        <w:t xml:space="preserve"> § 3 ods. 4 sa mení a znie takto:</w:t>
      </w:r>
    </w:p>
    <w:p w:rsidR="00F3659F" w:rsidRPr="002D4044" w:rsidRDefault="00FA49AA" w:rsidP="0000457C">
      <w:pPr>
        <w:pStyle w:val="muutmisksk"/>
        <w:widowControl/>
      </w:pPr>
      <w:r w:rsidRPr="002D4044">
        <w:t>„(4) Bezdymový tabakový výrobok je tabakový výrobok, ktorý sa nespotrebúva počas procesu horenia, vrátane žuvacieho tabaku, šnupavého tabaku a tabaku na orálne použitie a nie je zahrievaným tabakovým výrobkom.“;</w:t>
      </w:r>
    </w:p>
    <w:p w:rsidR="00F3659F" w:rsidRPr="002D4044" w:rsidRDefault="006405C9" w:rsidP="0000457C">
      <w:pPr>
        <w:pStyle w:val="muutmisksk"/>
        <w:keepNext/>
        <w:keepLines/>
        <w:widowControl/>
      </w:pPr>
      <w:r w:rsidRPr="002D4044">
        <w:rPr>
          <w:b/>
        </w:rPr>
        <w:t>3)</w:t>
      </w:r>
      <w:r w:rsidRPr="002D4044">
        <w:t xml:space="preserve"> do § 3 sa vkladá ods. 6 s týmto znením:</w:t>
      </w:r>
    </w:p>
    <w:p w:rsidR="00302BE2" w:rsidRPr="002D4044" w:rsidRDefault="00F3659F" w:rsidP="0000457C">
      <w:pPr>
        <w:pStyle w:val="muutmisksk"/>
        <w:widowControl/>
      </w:pPr>
      <w:r w:rsidRPr="002D4044">
        <w:t>„(6) Zahrievaný tabakový výrobok je novou kategóriou tabakových výrobkov, ktoré sa spotrebúvajú bez procesu horenia tabaku a s použitím príslušenstva na zahrievanie tabaku.“;</w:t>
      </w:r>
    </w:p>
    <w:p w:rsidR="00B0041E" w:rsidRPr="002D4044" w:rsidRDefault="006405C9" w:rsidP="0000457C">
      <w:pPr>
        <w:pStyle w:val="muutmisksk"/>
        <w:keepNext/>
        <w:keepLines/>
        <w:widowControl/>
      </w:pPr>
      <w:r w:rsidRPr="002D4044">
        <w:rPr>
          <w:b/>
        </w:rPr>
        <w:t>4)</w:t>
      </w:r>
      <w:r w:rsidRPr="002D4044">
        <w:t xml:space="preserve"> prvá veta v § 8 ods. 5 má toto znenie:</w:t>
      </w:r>
    </w:p>
    <w:p w:rsidR="00B0041E" w:rsidRPr="002D4044" w:rsidRDefault="00B0041E" w:rsidP="0000457C">
      <w:pPr>
        <w:pStyle w:val="muutmisksk"/>
        <w:widowControl/>
      </w:pPr>
      <w:r w:rsidRPr="002D4044">
        <w:t>„Cigarety, tabak na fajčenie určený na vlastnoručné zhotovenie cigariet ako aj zahrievaný tabakový výrobok nemôžu mať charakteristickú arómu.“;</w:t>
      </w:r>
    </w:p>
    <w:p w:rsidR="000C419A" w:rsidRPr="002D4044" w:rsidRDefault="000C419A" w:rsidP="0000457C">
      <w:pPr>
        <w:pStyle w:val="muutmisksk"/>
        <w:keepNext/>
        <w:keepLines/>
        <w:widowControl/>
      </w:pPr>
      <w:r w:rsidRPr="002D4044">
        <w:rPr>
          <w:b/>
        </w:rPr>
        <w:t>5)</w:t>
      </w:r>
      <w:r w:rsidRPr="002D4044">
        <w:t xml:space="preserve"> prvá veta v § 8 ods. 6 má toto znenie:</w:t>
      </w:r>
    </w:p>
    <w:p w:rsidR="000C419A" w:rsidRPr="002D4044" w:rsidRDefault="000C419A" w:rsidP="0000457C">
      <w:pPr>
        <w:pStyle w:val="muutmisksk"/>
        <w:widowControl/>
      </w:pPr>
      <w:r w:rsidRPr="002D4044">
        <w:t>„Obsah cigariet, tabaku na fajčenie určen</w:t>
      </w:r>
      <w:r w:rsidR="002D4044" w:rsidRPr="002D4044">
        <w:t>ého</w:t>
      </w:r>
      <w:r w:rsidRPr="002D4044">
        <w:t xml:space="preserve"> na vlastnoručné zhotovenie cigariet ako aj zahrievané tabakové výrobky, ako sú filtre, papiere a kapsuly, nemôžu byť ochutené.“;</w:t>
      </w:r>
    </w:p>
    <w:p w:rsidR="00F3659F" w:rsidRPr="002D4044" w:rsidRDefault="00544F55" w:rsidP="0000457C">
      <w:pPr>
        <w:pStyle w:val="muutmisksk"/>
        <w:keepNext/>
        <w:keepLines/>
        <w:widowControl/>
      </w:pPr>
      <w:r w:rsidRPr="002D4044">
        <w:rPr>
          <w:b/>
        </w:rPr>
        <w:t>6)</w:t>
      </w:r>
      <w:r w:rsidRPr="002D4044">
        <w:t xml:space="preserve"> prvá veta v § 12 ods. 5 má toto znenie:</w:t>
      </w:r>
    </w:p>
    <w:p w:rsidR="00F3659F" w:rsidRPr="002D4044" w:rsidRDefault="002A4570" w:rsidP="0000457C">
      <w:pPr>
        <w:pStyle w:val="muutmisksk"/>
        <w:widowControl/>
      </w:pPr>
      <w:r w:rsidRPr="002D4044">
        <w:t xml:space="preserve">„Informácie v odseku 1 </w:t>
      </w:r>
      <w:r w:rsidR="002D4044" w:rsidRPr="002D4044">
        <w:t>t</w:t>
      </w:r>
      <w:r w:rsidRPr="002D4044">
        <w:t>oh</w:t>
      </w:r>
      <w:r w:rsidR="002D4044" w:rsidRPr="002D4044">
        <w:t>t</w:t>
      </w:r>
      <w:r w:rsidRPr="002D4044">
        <w:t>o oddielu sa nemôž</w:t>
      </w:r>
      <w:r w:rsidR="002D4044" w:rsidRPr="002D4044">
        <w:t>u</w:t>
      </w:r>
      <w:r w:rsidRPr="002D4044">
        <w:t xml:space="preserve"> uvádzať </w:t>
      </w:r>
      <w:r w:rsidR="002D4044" w:rsidRPr="002D4044">
        <w:t xml:space="preserve">na </w:t>
      </w:r>
      <w:r w:rsidRPr="002D4044">
        <w:t>nálepkách na jednotlivých obaloch a kombinovanom balení tabakových výrobkov</w:t>
      </w:r>
      <w:r w:rsidR="002D4044" w:rsidRPr="002D4044">
        <w:t>,</w:t>
      </w:r>
      <w:r w:rsidRPr="002D4044">
        <w:t xml:space="preserve"> okrem cigariet a tabaku na fajčenie určeného na vlastnoručné zhotovenie cigariet.“;</w:t>
      </w:r>
    </w:p>
    <w:p w:rsidR="00CB4A82" w:rsidRPr="002D4044" w:rsidRDefault="00544F55" w:rsidP="0000457C">
      <w:pPr>
        <w:pStyle w:val="muutmisksk"/>
        <w:keepNext/>
        <w:keepLines/>
        <w:widowControl/>
      </w:pPr>
      <w:r w:rsidRPr="002D4044">
        <w:rPr>
          <w:b/>
        </w:rPr>
        <w:t>7</w:t>
      </w:r>
      <w:r w:rsidRPr="002D4044">
        <w:t>) nadpis § 13 sa mení a znie takto:</w:t>
      </w:r>
    </w:p>
    <w:p w:rsidR="00CB4A82" w:rsidRPr="002D4044" w:rsidRDefault="00CB4A82" w:rsidP="0000457C">
      <w:pPr>
        <w:pStyle w:val="muutmisksk"/>
        <w:widowControl/>
      </w:pPr>
      <w:r w:rsidRPr="002D4044">
        <w:t>„</w:t>
      </w:r>
      <w:r w:rsidRPr="002D4044">
        <w:rPr>
          <w:b/>
        </w:rPr>
        <w:t>§ 13 Zdravotné varovania pre tabakové výrobky na fajčenie</w:t>
      </w:r>
      <w:r w:rsidRPr="002D4044">
        <w:t>“;</w:t>
      </w:r>
    </w:p>
    <w:p w:rsidR="00CB4A82" w:rsidRPr="002D4044" w:rsidRDefault="00544F55" w:rsidP="0000457C">
      <w:pPr>
        <w:pStyle w:val="muutmisksk"/>
        <w:keepNext/>
        <w:keepLines/>
        <w:widowControl/>
      </w:pPr>
      <w:r w:rsidRPr="002D4044">
        <w:rPr>
          <w:b/>
        </w:rPr>
        <w:t>8)</w:t>
      </w:r>
      <w:r w:rsidRPr="002D4044">
        <w:t xml:space="preserve"> § 13 ods. 1 sa mení a znie takto:</w:t>
      </w:r>
    </w:p>
    <w:p w:rsidR="00CB4A82" w:rsidRPr="002D4044" w:rsidRDefault="00CB4A82" w:rsidP="0000457C">
      <w:pPr>
        <w:pStyle w:val="muutmisksk"/>
        <w:widowControl/>
      </w:pPr>
      <w:r w:rsidRPr="002D4044">
        <w:t>„(1) Zdravotné varovania pre tabakové výrobky na fajčenie sa rozdeľujú na všeobecné varovania, informačné odkazy a kombinované zdravotné varovania.“;</w:t>
      </w:r>
    </w:p>
    <w:p w:rsidR="00CB4A82" w:rsidRPr="002D4044" w:rsidRDefault="00544F55" w:rsidP="0000457C">
      <w:pPr>
        <w:pStyle w:val="muutmisksk"/>
        <w:keepNext/>
        <w:keepLines/>
        <w:widowControl/>
      </w:pPr>
      <w:r w:rsidRPr="002D4044">
        <w:rPr>
          <w:b/>
        </w:rPr>
        <w:lastRenderedPageBreak/>
        <w:t>9)</w:t>
      </w:r>
      <w:r w:rsidRPr="002D4044">
        <w:t xml:space="preserve"> Zákon sa dopĺňa o § 13</w:t>
      </w:r>
      <w:r w:rsidRPr="002D4044">
        <w:rPr>
          <w:vertAlign w:val="superscript"/>
        </w:rPr>
        <w:t>1</w:t>
      </w:r>
      <w:r w:rsidRPr="002D4044">
        <w:t xml:space="preserve"> v tomto znení:</w:t>
      </w:r>
    </w:p>
    <w:p w:rsidR="00CB4A82" w:rsidRPr="002D4044" w:rsidRDefault="00CB4A82" w:rsidP="0000457C">
      <w:pPr>
        <w:pStyle w:val="muutmisksk"/>
        <w:widowControl/>
        <w:rPr>
          <w:b/>
        </w:rPr>
      </w:pPr>
      <w:r w:rsidRPr="002D4044">
        <w:t>„</w:t>
      </w:r>
      <w:r w:rsidRPr="002D4044">
        <w:rPr>
          <w:b/>
        </w:rPr>
        <w:t>13</w:t>
      </w:r>
      <w:r w:rsidRPr="002D4044">
        <w:rPr>
          <w:b/>
          <w:vertAlign w:val="superscript"/>
        </w:rPr>
        <w:t>1</w:t>
      </w:r>
      <w:r w:rsidRPr="002D4044">
        <w:rPr>
          <w:b/>
        </w:rPr>
        <w:t>. Zdravotné varovania pre zahrievané tabakové výrobky</w:t>
      </w:r>
    </w:p>
    <w:p w:rsidR="00FA49AA" w:rsidRPr="002D4044" w:rsidRDefault="00FA49AA" w:rsidP="0000457C">
      <w:pPr>
        <w:pStyle w:val="muutmisksk"/>
        <w:widowControl/>
      </w:pPr>
      <w:r w:rsidRPr="002D4044">
        <w:t>(1) Každý jednotlivý obal a kombinované balenie zahrievaného tabakového výrobku musí obsahovať toto zdravotné varovanie:</w:t>
      </w:r>
    </w:p>
    <w:p w:rsidR="00FA49AA" w:rsidRPr="002D4044" w:rsidRDefault="00FA49AA" w:rsidP="0000457C">
      <w:pPr>
        <w:pStyle w:val="muudetavtekst"/>
      </w:pPr>
      <w:r w:rsidRPr="002D4044">
        <w:t>‚Tento tabakový výrobok poškodzuje vaše zdravie a je návykový.‘.</w:t>
      </w:r>
    </w:p>
    <w:p w:rsidR="00FA49AA" w:rsidRPr="002D4044" w:rsidRDefault="00D5650D" w:rsidP="0000457C">
      <w:pPr>
        <w:pStyle w:val="muutmisksk"/>
        <w:widowControl/>
      </w:pPr>
      <w:r w:rsidRPr="002D4044">
        <w:t>(2) Zdravotné varovanie uvedené v odseku 1 tohto oddielu musí spĺňať požiadavky stanovené v § 16 ods. 6, 10, 11 a 12 tohto zákona.</w:t>
      </w:r>
    </w:p>
    <w:p w:rsidR="00FA49AA" w:rsidRPr="002D4044" w:rsidRDefault="00D5650D" w:rsidP="0000457C">
      <w:pPr>
        <w:pStyle w:val="muutmisksk"/>
        <w:widowControl/>
      </w:pPr>
      <w:r w:rsidRPr="002D4044">
        <w:t>(3) Okrem ustanovení odseku 2 tohto oddielu zdravotné varovanie pre zahrievané tabakové výrobky:</w:t>
      </w:r>
    </w:p>
    <w:p w:rsidR="00FA49AA" w:rsidRPr="002D4044" w:rsidRDefault="00D5650D" w:rsidP="0000457C">
      <w:pPr>
        <w:pStyle w:val="muudetavtekst"/>
      </w:pPr>
      <w:r w:rsidRPr="002D4044">
        <w:t xml:space="preserve">1) </w:t>
      </w:r>
      <w:r w:rsidR="002D4044" w:rsidRPr="002D4044">
        <w:t xml:space="preserve">bude </w:t>
      </w:r>
      <w:r w:rsidRPr="002D4044">
        <w:t>na baleniach tvaru kvádra a každom kombinovanom balení rovnobežné s bočným okrajom jednotlivého obalu alebo kombinovaného balenia. Text zdravotných varovaní musí byť rovnobežný s hlavným textom na ploche vyhradenej pre tieto varovania;</w:t>
      </w:r>
    </w:p>
    <w:p w:rsidR="00FA49AA" w:rsidRPr="002D4044" w:rsidRDefault="00D5650D" w:rsidP="0000457C">
      <w:pPr>
        <w:pStyle w:val="muudetavtekst"/>
      </w:pPr>
      <w:r w:rsidRPr="002D4044">
        <w:t>2) sa nachádza na dvoch najväčších povrchoch jednotlivého obalu a akéhokoľvek kombinovaného balenia;</w:t>
      </w:r>
    </w:p>
    <w:p w:rsidR="00CB4A82" w:rsidRPr="002D4044" w:rsidRDefault="00D5650D" w:rsidP="0000457C">
      <w:pPr>
        <w:pStyle w:val="muudetavtekst"/>
      </w:pPr>
      <w:r w:rsidRPr="002D4044">
        <w:t>3) pokrýva 30 % povrchov jednotlivého obalu a akéhokoľvek kombinovaného balenia.“;</w:t>
      </w:r>
    </w:p>
    <w:p w:rsidR="00D5650D" w:rsidRPr="002D4044" w:rsidRDefault="00544F55" w:rsidP="0000457C">
      <w:pPr>
        <w:pStyle w:val="muutmisksk"/>
        <w:keepNext/>
        <w:keepLines/>
        <w:widowControl/>
      </w:pPr>
      <w:r w:rsidRPr="002D4044">
        <w:rPr>
          <w:b/>
        </w:rPr>
        <w:t>10)</w:t>
      </w:r>
      <w:r w:rsidRPr="002D4044">
        <w:t xml:space="preserve"> § 27 ods. 1 sa mení a znie takto:</w:t>
      </w:r>
    </w:p>
    <w:p w:rsidR="00D5650D" w:rsidRPr="002D4044" w:rsidRDefault="00D5650D" w:rsidP="0000457C">
      <w:pPr>
        <w:pStyle w:val="muutmisksk"/>
        <w:widowControl/>
      </w:pPr>
      <w:r w:rsidRPr="002D4044">
        <w:t xml:space="preserve">„(1) Osobe mladšej ako 18 rokov (ďalej len </w:t>
      </w:r>
      <w:r w:rsidRPr="002D4044">
        <w:rPr>
          <w:i/>
        </w:rPr>
        <w:t>neplnoletá osoba</w:t>
      </w:r>
      <w:r w:rsidRPr="002D4044">
        <w:t>) nie je povolené fajčiť ani používať tabakové výrobky ani výrobky používané rovnakým spôsobom ako tabakové výrobky.“;</w:t>
      </w:r>
    </w:p>
    <w:p w:rsidR="00D5650D" w:rsidRPr="002D4044" w:rsidRDefault="00544F55" w:rsidP="0000457C">
      <w:pPr>
        <w:pStyle w:val="muutmisksk"/>
        <w:keepNext/>
        <w:keepLines/>
        <w:widowControl/>
      </w:pPr>
      <w:r w:rsidRPr="002D4044">
        <w:rPr>
          <w:b/>
        </w:rPr>
        <w:t>11)</w:t>
      </w:r>
      <w:r w:rsidRPr="002D4044">
        <w:t xml:space="preserve"> § 29 ods. 2 sa mení a znie takto:</w:t>
      </w:r>
    </w:p>
    <w:p w:rsidR="00D5650D" w:rsidRPr="002D4044" w:rsidRDefault="001B35A3" w:rsidP="0000457C">
      <w:pPr>
        <w:pStyle w:val="muutmisksk"/>
        <w:widowControl/>
      </w:pPr>
      <w:r w:rsidRPr="002D4044">
        <w:t>„(2) Zákaz stanovený v odseku 1 tohto oddielu sa vzťahuje na elektronickú cigaretu a zahrievaný tabakový výrobok a odsek 1 body 1 a 2 sa vzťahujú aj na iné výrobky používané rovnakým spôsobom ako tabakové výrobky.“;</w:t>
      </w:r>
    </w:p>
    <w:p w:rsidR="00D5650D" w:rsidRPr="002D4044" w:rsidRDefault="00544F55" w:rsidP="0000457C">
      <w:pPr>
        <w:pStyle w:val="muutmisksk"/>
        <w:keepNext/>
        <w:keepLines/>
        <w:widowControl/>
      </w:pPr>
      <w:r w:rsidRPr="002D4044">
        <w:rPr>
          <w:b/>
        </w:rPr>
        <w:t>12)</w:t>
      </w:r>
      <w:r w:rsidRPr="002D4044">
        <w:t xml:space="preserve"> § 30 ods. 5 sa mení a znie takto:</w:t>
      </w:r>
    </w:p>
    <w:p w:rsidR="00D5650D" w:rsidRPr="002D4044" w:rsidRDefault="009F6B90" w:rsidP="0000457C">
      <w:pPr>
        <w:pStyle w:val="muutmisksk"/>
        <w:widowControl/>
      </w:pPr>
      <w:r w:rsidRPr="002D4044">
        <w:t>„(5) Obmedzenia stanovené v odseku 2 tohto oddielu sa vzťahujú aj na spotrebu elektronických cigariet a zahrievaných tabakových výrobkov.“;</w:t>
      </w:r>
    </w:p>
    <w:p w:rsidR="00C3258B" w:rsidRPr="002D4044" w:rsidRDefault="00544F55" w:rsidP="0000457C">
      <w:pPr>
        <w:pStyle w:val="muutmisksk"/>
        <w:keepNext/>
        <w:keepLines/>
        <w:widowControl/>
      </w:pPr>
      <w:r w:rsidRPr="002D4044">
        <w:rPr>
          <w:b/>
        </w:rPr>
        <w:t>13)</w:t>
      </w:r>
      <w:r w:rsidRPr="002D4044">
        <w:t xml:space="preserve"> § 31 sa mení a znie takto:</w:t>
      </w:r>
    </w:p>
    <w:p w:rsidR="00C3258B" w:rsidRPr="002D4044" w:rsidRDefault="00C3258B" w:rsidP="0000457C">
      <w:pPr>
        <w:pStyle w:val="muutmisksk"/>
        <w:widowControl/>
        <w:rPr>
          <w:b/>
        </w:rPr>
      </w:pPr>
      <w:r w:rsidRPr="002D4044">
        <w:t>„</w:t>
      </w:r>
      <w:r w:rsidRPr="002D4044">
        <w:rPr>
          <w:b/>
        </w:rPr>
        <w:t>§ 31 Fajčenie a spotreba zahrievaných tabakových výrobkov v stravovacích zariadeniach</w:t>
      </w:r>
    </w:p>
    <w:p w:rsidR="00C3258B" w:rsidRPr="002D4044" w:rsidRDefault="00C3258B" w:rsidP="0000457C">
      <w:pPr>
        <w:pStyle w:val="muutmisksk"/>
        <w:widowControl/>
      </w:pPr>
      <w:r w:rsidRPr="002D4044">
        <w:t>(1) V stravovacích zariadeniach je fajčenie a spotreba zahrievaných tabakových výrobkov povolená v osobitne vyhradených priestoroch na fajčenie (fajčiarska miestnosť) alebo na sezónne rozšírenom vonkajšom priestore v bezprostrednej blízkosti stravovacieho zariadenia.</w:t>
      </w:r>
    </w:p>
    <w:p w:rsidR="00C3258B" w:rsidRPr="002D4044" w:rsidRDefault="00C3258B" w:rsidP="0000457C">
      <w:pPr>
        <w:pStyle w:val="muutmisksk"/>
        <w:widowControl/>
      </w:pPr>
      <w:r w:rsidRPr="002D4044">
        <w:t>(2) Fajčiarska miestnosť uvedená v odseku 1 tohto oddielu nebude slúžiť na predaj jedál, čo zahŕňa ich prípravu a servírovanie na konzumáciu v týchto priestoroch alebo ich servírovanie na konzumáciu v týchto priestoroch.</w:t>
      </w:r>
    </w:p>
    <w:p w:rsidR="00C3258B" w:rsidRPr="002D4044" w:rsidRDefault="00C3258B" w:rsidP="0000457C">
      <w:pPr>
        <w:pStyle w:val="muutmisksk"/>
        <w:widowControl/>
      </w:pPr>
      <w:r w:rsidRPr="002D4044">
        <w:lastRenderedPageBreak/>
        <w:t>(3) Predajca má právo odmietnuť poskytnúť služby osobe, ktorá ignoruje zákazy a obmedzenia fajčenia a spotreby zahrievaných tabakových výrobkov v stravovacom zariadení a môže ju požiadať, aby priestory opustila.“;</w:t>
      </w:r>
    </w:p>
    <w:p w:rsidR="009F6B90" w:rsidRPr="002D4044" w:rsidRDefault="00C3258B" w:rsidP="0000457C">
      <w:pPr>
        <w:pStyle w:val="muutmisksk"/>
        <w:keepNext/>
        <w:keepLines/>
        <w:widowControl/>
      </w:pPr>
      <w:r w:rsidRPr="002D4044">
        <w:rPr>
          <w:b/>
        </w:rPr>
        <w:t>14</w:t>
      </w:r>
      <w:r w:rsidRPr="002D4044">
        <w:t>) znenie § 47 sa mení takto:</w:t>
      </w:r>
    </w:p>
    <w:p w:rsidR="009F6B90" w:rsidRPr="002D4044" w:rsidRDefault="009F6B90" w:rsidP="0000457C">
      <w:pPr>
        <w:pStyle w:val="muutmisksk"/>
        <w:widowControl/>
      </w:pPr>
      <w:r w:rsidRPr="002D4044">
        <w:t xml:space="preserve">„Fajčenie alebo spotreba tabakového výrobku alebo výrobku </w:t>
      </w:r>
      <w:r w:rsidR="002D4044" w:rsidRPr="002D4044">
        <w:t>po</w:t>
      </w:r>
      <w:r w:rsidRPr="002D4044">
        <w:t>užívaného rovnakým spôsobom ako tabakové výrobky maloletou osobou je trestné až do výšky pokuty 10</w:t>
      </w:r>
      <w:r w:rsidR="00520BA0">
        <w:t> </w:t>
      </w:r>
      <w:bookmarkStart w:id="0" w:name="_GoBack"/>
      <w:bookmarkEnd w:id="0"/>
      <w:r w:rsidRPr="002D4044">
        <w:t>pokutových jednotiek.“;</w:t>
      </w:r>
    </w:p>
    <w:p w:rsidR="009C5189" w:rsidRPr="002D4044" w:rsidRDefault="00C3258B" w:rsidP="0000457C">
      <w:pPr>
        <w:pStyle w:val="muutmisksk"/>
        <w:keepNext/>
        <w:keepLines/>
        <w:widowControl/>
      </w:pPr>
      <w:r w:rsidRPr="002D4044">
        <w:rPr>
          <w:b/>
        </w:rPr>
        <w:t>15</w:t>
      </w:r>
      <w:r w:rsidRPr="002D4044">
        <w:t>) znenie § 49 sa mení takto:</w:t>
      </w:r>
    </w:p>
    <w:p w:rsidR="009C5189" w:rsidRPr="002D4044" w:rsidRDefault="009C5189" w:rsidP="0000457C">
      <w:pPr>
        <w:pStyle w:val="muutmisksk"/>
        <w:widowControl/>
      </w:pPr>
      <w:r w:rsidRPr="002D4044">
        <w:t>„Fajčenie alebo spotreba zahrievaného tabakového výrobku alebo výrobku používaného rovnakým spôsobom ako tabakové výrobky v priestoroch, kde je zakázané fajčenie alebo spotreba zahrievaného tabakového výrobku alebo výrobku používaného rovnakým spôsobom ako tabakové výrobky je trestné až do výšky pokuty 20 pokutových jednotiek.“;</w:t>
      </w:r>
    </w:p>
    <w:p w:rsidR="009C5189" w:rsidRPr="002D4044" w:rsidRDefault="00C3258B" w:rsidP="0000457C">
      <w:pPr>
        <w:pStyle w:val="muutmisksk"/>
        <w:keepNext/>
        <w:keepLines/>
        <w:widowControl/>
      </w:pPr>
      <w:r w:rsidRPr="002D4044">
        <w:rPr>
          <w:b/>
        </w:rPr>
        <w:t>16)</w:t>
      </w:r>
      <w:r w:rsidRPr="002D4044">
        <w:t xml:space="preserve"> § 50 ods. 1 sa mení a znie takto:</w:t>
      </w:r>
    </w:p>
    <w:p w:rsidR="009C5189" w:rsidRPr="002D4044" w:rsidRDefault="009C5189" w:rsidP="0000457C">
      <w:pPr>
        <w:pStyle w:val="muutmisksk"/>
        <w:widowControl/>
      </w:pPr>
      <w:r w:rsidRPr="002D4044">
        <w:t>„(1) Umožniť fajčenie alebo spotrebu zahrievaného tabakového výrobku alebo výrobku používaného rovnakým spôsobom ako tabakové výrobky v priestoroch, kde nie je zo zákona povolené fajčenie alebo spotreba zahrievaného tabakového výrobku alebo výrobku používaného rovnakým spôsobom ako tabakové výrobky ako aj porušenie požiadaviek fajčiarskej miestnosti je trestné až do výšky pokuty 200 pokutových jednotiek.“;</w:t>
      </w:r>
    </w:p>
    <w:p w:rsidR="000F1F61" w:rsidRPr="002D4044" w:rsidRDefault="000F1F61" w:rsidP="0000457C">
      <w:pPr>
        <w:pStyle w:val="muutmisksk"/>
        <w:widowControl/>
      </w:pPr>
      <w:r w:rsidRPr="002D4044">
        <w:t>predseda estónskeho parlamentu</w:t>
      </w:r>
    </w:p>
    <w:p w:rsidR="000F1F61" w:rsidRPr="002D4044" w:rsidRDefault="000F1F61" w:rsidP="0000457C">
      <w:pPr>
        <w:pStyle w:val="muutmisksk"/>
        <w:widowControl/>
      </w:pPr>
      <w:r w:rsidRPr="002D4044">
        <w:t>V Tallinne ................................. 2019</w:t>
      </w:r>
    </w:p>
    <w:p w:rsidR="000F1F61" w:rsidRPr="002D4044" w:rsidRDefault="000F1F61" w:rsidP="0000457C">
      <w:pPr>
        <w:pStyle w:val="muutmisksk"/>
        <w:widowControl/>
      </w:pPr>
      <w:r w:rsidRPr="002D4044">
        <w:t>Iniciované vládou republiky dňa....................... 2019</w:t>
      </w:r>
    </w:p>
    <w:p w:rsidR="000F1F61" w:rsidRPr="002D4044" w:rsidRDefault="000F1F61" w:rsidP="0000457C">
      <w:pPr>
        <w:pStyle w:val="muutmisksk"/>
        <w:widowControl/>
      </w:pPr>
      <w:r w:rsidRPr="002D4044">
        <w:t>digitálny podpis</w:t>
      </w:r>
    </w:p>
    <w:sectPr w:rsidR="000F1F61" w:rsidRPr="002D40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E0" w:rsidRDefault="00931AE0" w:rsidP="0000457C">
      <w:pPr>
        <w:spacing w:after="0" w:line="240" w:lineRule="auto"/>
      </w:pPr>
      <w:r>
        <w:separator/>
      </w:r>
    </w:p>
  </w:endnote>
  <w:endnote w:type="continuationSeparator" w:id="0">
    <w:p w:rsidR="00931AE0" w:rsidRDefault="00931AE0"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E0" w:rsidRDefault="00931AE0" w:rsidP="0000457C">
      <w:pPr>
        <w:spacing w:after="0" w:line="240" w:lineRule="auto"/>
      </w:pPr>
      <w:r>
        <w:separator/>
      </w:r>
    </w:p>
  </w:footnote>
  <w:footnote w:type="continuationSeparator" w:id="0">
    <w:p w:rsidR="00931AE0" w:rsidRDefault="00931AE0"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2D4044"/>
    <w:rsid w:val="00302BE2"/>
    <w:rsid w:val="00316DFA"/>
    <w:rsid w:val="00342FCA"/>
    <w:rsid w:val="004371FC"/>
    <w:rsid w:val="004628AB"/>
    <w:rsid w:val="004A3CE7"/>
    <w:rsid w:val="004B08D1"/>
    <w:rsid w:val="004E2E5A"/>
    <w:rsid w:val="004F68F8"/>
    <w:rsid w:val="00520BA0"/>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1AE0"/>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sk-SK"/>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sk-SK"/>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702C-64E8-41AB-A120-E269A98D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euroscript</cp:lastModifiedBy>
  <cp:revision>5</cp:revision>
  <cp:lastPrinted>2019-03-26T14:28:00Z</cp:lastPrinted>
  <dcterms:created xsi:type="dcterms:W3CDTF">2019-06-14T14:56:00Z</dcterms:created>
  <dcterms:modified xsi:type="dcterms:W3CDTF">2019-06-21T13:14:00Z</dcterms:modified>
</cp:coreProperties>
</file>