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Estatutos para a aplicação dos regulamentos nos termos do artigo 84, n.º 8, do Tratado de Estado dos Meios de Comunicação Social (MStV) para facilitar a obtenção de ofertas privadas</w:t>
      </w:r>
    </w:p>
    <w:p w14:paraId="562CFE12" w14:textId="77777777" w:rsidR="00FC378D" w:rsidRPr="00FC378D" w:rsidRDefault="00FC378D" w:rsidP="002A3743">
      <w:pPr>
        <w:spacing w:after="0" w:line="320" w:lineRule="atLeast"/>
        <w:jc w:val="center"/>
        <w:rPr>
          <w:b/>
          <w:sz w:val="28"/>
        </w:rPr>
      </w:pPr>
      <w:r>
        <w:rPr>
          <w:b/>
          <w:sz w:val="28"/>
        </w:rPr>
        <w:t>(Estatuto do Valor Público)</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Preâmbulo</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A descoberta está se tornando cada vez mais importante para ofertas de conteúdo - especialmente online. A crescente quantidade e variedade de ofertas está a tornar cada vez mais difícil para as ofertas jornalísticas com grande intensidade de custos, por exemplo, gerar a atenção necessária para o refinanciamento.</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O mecanismo que facilita a constatação de certas ofertas em interfaces de utilizador particularmente relevantes para a formação da opinião pública, tal como previsto no Tratado de Estado para os Meios de Comunicação Social, prossegue dois objetivos regulamentares fundamentais. Existe um benefício individual direto para o beneficiário, que também afeta a formação da opinião pública no seu conjunto. A facilidade de encontrar destina-se a incentivar os jogadores existentes que oferecem conteúdos relevantes para a formação da opinião pública e também a tornar este compromisso interessante para outros fornecedores.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Artigo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Objetivo</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As autoridades estatais dos meios de comunicação social determinam os prestadores de ofertas (a seguir designados «ofertas»), tal como definidos nos n.os 3, 2 e 4 do artigo 84.º do Tratado de Estado sobre os Meios de Comunicação Social (MStV) (procedimento de determinação), em conformidade com o n.º 5 do artigo 84.º do Tratado sobre os Meios de Comunicação Social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Artigo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Elegibilidade para apresentar um pedido</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Podem candidatar-se: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 xml:space="preserve">Nos termos do artigo 84.º, n.º 3, ponto 2, do Tratado sobre os Meios de Comunicação Social (MStV), as ofertas de radiodifusão de prestadores privados que contribuam de forma particular para a diversidade de opiniões e ofertas na Alemanha, </w:t>
      </w:r>
      <w:r>
        <w:rPr>
          <w:sz w:val="24"/>
        </w:rPr>
        <w:br/>
        <w:t>ou</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 xml:space="preserve">nos termos do artigo 84.º, n.º 4, do Tratado sobre os Meios de Comunicação Social (MStV), ofertas de fornecedores privados de meios de comunicação semelhantes semelhantes ou </w:t>
      </w:r>
      <w:r>
        <w:rPr>
          <w:sz w:val="24"/>
        </w:rPr>
        <w:lastRenderedPageBreak/>
        <w:t>ofertas nos termos do n.º 2, e 14 alínea b), do artigo 2.º do Tratado de Comunicação Social de Estado (MStV), que contribuem de forma especial para a diversidade de opiniões e ofertas na Alemanha, ou aplicações baseadas em software que são utilizadas para controlá-las diretamente.</w:t>
      </w:r>
    </w:p>
    <w:p w14:paraId="79820582" w14:textId="06144072" w:rsidR="00D769EE" w:rsidRDefault="00D769EE">
      <w:pPr>
        <w:rPr>
          <w:rFonts w:eastAsia="Times New Roman" w:cstheme="minorHAnsi"/>
          <w:sz w:val="24"/>
          <w:szCs w:val="24"/>
        </w:rPr>
      </w:pPr>
    </w:p>
    <w:p w14:paraId="4CB87D96" w14:textId="77777777" w:rsidR="00124452" w:rsidRPr="00C03C27" w:rsidRDefault="00124452" w:rsidP="00124452">
      <w:pPr>
        <w:spacing w:after="0" w:line="320" w:lineRule="atLeast"/>
        <w:jc w:val="center"/>
        <w:rPr>
          <w:rFonts w:eastAsia="Times New Roman" w:cstheme="minorHAnsi"/>
          <w:b/>
          <w:sz w:val="28"/>
          <w:szCs w:val="28"/>
        </w:rPr>
      </w:pPr>
      <w:r>
        <w:rPr>
          <w:b/>
          <w:sz w:val="28"/>
        </w:rPr>
        <w:t>Artigo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Responsabilidade e convite à apresentação de propostas</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O procedimento de determinação é conduzido pela Comissão de Licenciamento e Fiscalização (ZAK) (n.º 1 do artigo 105.º, n.º 9, do Tratado sobre os Meios de Comunicação Social). É iniciado um concurso conjunto de todas as autoridades estatais dos meios de comunicação social, que tem em conta o parecer da Conferência dos Presidentes das Comissões (GVK), para as áreas das ofertas de áudio e imagem em movimento (vídeo). A autoridade estatal dos meios de comunicação social responsável pelo procedimento é determinada nas propostas.</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As propostas estabelecem regulamentos complementares sobre o procedimento e os requisitos essenciais para a apresentação de candidaturas.</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Os convites à apresentação de propostas são publicados por todas as autoridades estatais dos meios de comunicação social de forma adequada e no sítio web sob a designação de «autoridades dos meios de comunicação social».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O processo de concurso está previsto para setembro de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Artigo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Apresentação de um pedido</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(1) As candidaturas devem ser apresentadas por escrito à autoridade pública responsável dos meios de comunicação social no prazo fixado no respetivo convite à apresentação de propostas. As candidaturas devem ser acompanhadas de documentos</w:t>
      </w:r>
      <w:r>
        <w:rPr>
          <w:rFonts w:ascii="Times New Roman" w:hAnsi="Times New Roman"/>
          <w:sz w:val="24"/>
        </w:rPr>
        <w:t xml:space="preserve"> </w:t>
      </w:r>
      <w:r>
        <w:rPr>
          <w:sz w:val="24"/>
        </w:rPr>
        <w:t xml:space="preserve">que permitam uma revisão da contribuição para a diversidade de opiniões e ofertas da respetiva oferta ou aplicação baseada em software e devem conter, pelo menos, as seguintes informações: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Factos dos quais se conclui que a oferta é uma oferta de radiodifusão privada nos termos do artigo 84.º, n.º 3, do Tratado sobre os Meios de Comunicação Social, ou uma oferta privada comparável em termos de telemedia, nos termos do n.º 4 do artigo 84.º do Tratado sobre os Meios de Comunicação Social, ou uma oferta nos termos do artigo 2.º, n.º 2, n.º 14, alínea b), ou uma aplicação baseada em software que é utilizada para controlá-la diretamente.</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lastRenderedPageBreak/>
        <w:t>Uma descrição do conteúdo da oferta e uma explicação sobre a forma como ela contribui de forma especial para a diversidade de ofertas e opiniões na Alemanha.</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t>Informações sobre os critérios a observar na determinação nos termos do artigo 84.º, n.º 5, do Tratado sobre os Meios de Comunicação Social (MStV) e do artigo 7.</w:t>
      </w:r>
    </w:p>
    <w:p w14:paraId="47BED891" w14:textId="4DFC7FA6" w:rsidR="00F36BA7" w:rsidRPr="00D769EE" w:rsidRDefault="00F36BA7" w:rsidP="00D769EE">
      <w:pPr>
        <w:rPr>
          <w:rFonts w:eastAsia="Times New Roman" w:cstheme="minorHAnsi"/>
          <w:sz w:val="24"/>
          <w:szCs w:val="24"/>
        </w:rPr>
      </w:pPr>
    </w:p>
    <w:p w14:paraId="7F87071E" w14:textId="77777777" w:rsidR="004B4D8D" w:rsidRPr="009D766D" w:rsidRDefault="004B4D8D" w:rsidP="004B4D8D">
      <w:pPr>
        <w:spacing w:after="0" w:line="320" w:lineRule="atLeast"/>
        <w:jc w:val="center"/>
        <w:rPr>
          <w:rFonts w:eastAsia="Times New Roman" w:cstheme="minorHAnsi"/>
          <w:b/>
          <w:sz w:val="28"/>
          <w:szCs w:val="28"/>
        </w:rPr>
      </w:pPr>
      <w:r>
        <w:rPr>
          <w:b/>
          <w:sz w:val="28"/>
        </w:rPr>
        <w:t>Artigo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Processo</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A autoridade pública responsável pela comunicação social examina os pedidos recebidos. Verifica se as condições para determinar a respetiva oferta ou a respetiva aplicação baseada em software estão reunidas nos termos dos artigos 2, 7 e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A Comissão de Licenciamento e Supervisão (ZAK) determina, por resolução, se as condições estão preenchidas para cada oferta ou para a respetiva aplicação baseada em software.</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A determinação formal é feita pela autoridade estatal responsável pelos meios de comunicação. Está vinculada às decisões da Comissão de Licenciamento e Controlo (ZAK) a este respeito.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Artigo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Conclusão do procedimento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A decisão sobre a respetiva candidatura é emitida ao requerente por ato administrativo.</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As decisões tomadas aplicam-se em cada caso por um período de três anos a contar da data anunciada no ato administrativo.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O requerente deve notificar imediatamente a autoridade dos meios de comunicação social do Estado responsável das alterações à oferta que ocorram antes ou depois da decisão sobre o pedido e que sejam essenciais para a determinação nos termos dos artigos 7 e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A decisão nos termos do artigo 6.º, n.º 1, pode ser revogada pela autoridade estatal responsável pelos meios de comunicação social se ocorrerem subsequentemente alterações materiais à oferta, de acordo com a qual a oferta já não cumpre os artigos 7 e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Artigo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Critérios de determinação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lastRenderedPageBreak/>
        <w:t>Ao determinar as ofertas nos termos do artigo 84.º, n.os 3, 2 e 4, do Tratado de Estado para os Meios de Comunicação Social, apenas devem ser tidos em conta os critérios mencionados no n.º 5 do artigo 84.º do Tratado sobre os Meios de Comunicação Social.</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Salvo disposição em contrário do Tratado de Estado sobre os meios de comunicação social,</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a reportagem de notícias sobre eventos políticos ou contemporâneos é a oferta de conteúdos jornalísticos e editoriais que, a partir de toda a oferta, retratam o mais completo possível um corte transversal das subáreas de eventos sociais políticos e contemporâneos relevantes para a formação da opinião pública e cujo foco é a cobertura de eventos reais;</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a informação regional e local, tal como definida no artigo 2.º, n.º 2, ponto 25, do Tratado de Comunicação Social do Estado (MStV) é uma informação que tem uma ligação clara a áreas culturalmente relacionadas e territorialmente delimitadas, que também podem ser transnacionais;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as ofertas de produção interna são aquelas cuja produção e processamento são realizadas e financiadas total ou principalmente pelo fornecedor responsável pelo conteúdo com seus próprios meios de produção ou são produzidas com a correspondente influência jornalística e editorial. As produções produzidas para uma empresa de produção, depois de esta última as ter encomendado, são igualmente consideradas como produções internas;</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As ofertas sem barreiras são aquelas que são acessíveis e utilizáveis para pessoas com deficiência da maneira geralmente habitual para elas, de acordo com o estado da arte e usando as ajudas necessárias sem dificuldades especiais e basicamente sem assistência externa;</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Os trabalhadores formados são aqueles que concluíram um curso de formação profissional ou um curso de estudo correspondente relevante para as suas tarefas jornalísticas ou técnicas de comunicação social na produção de programas ou que podem comprovar, pelo menos, cinco anos de experiência profissional. Não deve ser incluído o trabalho auxiliar subordinado;</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As obras europeias são as definidas no artigo 3, n.º 4, dos estatutos conjuntos das autoridades estatais dos meios de comunicação social sobre produções europeias, nos termos do artigo 77 do Tratado de Estado dos Meios de Comunicação Social e</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ofertas dirigidas a jovens grupos-alvo se forem claramente dirigidas a crianças ou jovens adultos até aos 29 anos de idade. São tidos em conta os seguintes elementos:</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As ofertas que não podem ser interrompidas por publicidade de rádio ou por televenda nos termos do artigo 9, n.º 1, do Tratado de Estado dos Mídias ou, </w:t>
      </w:r>
      <w:r>
        <w:rPr>
          <w:sz w:val="24"/>
        </w:rPr>
        <w:lastRenderedPageBreak/>
        <w:t xml:space="preserve">no caso de conteúdos de radiodifusão semelhantes em orientação ao conteúdo a classificar, não podem ser interrompidas por publicidade de rádio ou por televenda nos termos do artigo 9, n.º 1, do Tratado de Comunicação Social (ofertas para crianças);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Ofertas que, de acordo com uma consideração geral caso a caso do conteúdo, forma e tempo de transmissão, visam claramente</w:t>
      </w:r>
      <w:r>
        <w:rPr>
          <w:rFonts w:ascii="Times New Roman" w:hAnsi="Times New Roman"/>
          <w:sz w:val="24"/>
        </w:rPr>
        <w:t xml:space="preserve"> </w:t>
      </w:r>
      <w:r>
        <w:rPr>
          <w:sz w:val="24"/>
        </w:rPr>
        <w:t>um grupo-alvo de 14 a 29 anos de idade (ofertas para putos e jovens adultos), na medida em que se concentram na informação tal como definida no n.º 2 do artigo 2.º, n.º 25, do Tratado sobre os Meios de Comunicação Social (MStV).</w:t>
      </w:r>
    </w:p>
    <w:p w14:paraId="4F7BC33B" w14:textId="77777777" w:rsidR="000064CB" w:rsidRDefault="000064CB" w:rsidP="000064CB">
      <w:pPr>
        <w:pStyle w:val="ListParagrap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t>Artigo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Princípios básicos de determinação</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A determinação é feita com uma visão global baseada nos seguintes princípios básicos:</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As ofertas, que basicamente não cumprem os princípios jornalísticos reconhecidos e outros requisitos do Tratado de Estado dos Meios de Comunicação Social, não são adequadas para dar uma contribuição notável para a diversidade de opiniões e ofertas.</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Na medida em que os requisitos legais correspondentes sejam relevantes para os critérios estabelecidos no artigo 7, apenas as medidas que ultrapassem o cumprimento destes projetos legais serão tidas em conta na determinação.</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Ao determinar uma contribuição especial para a diversidade de opiniões e ofertas, deve ser dada preferência à partilha de tempo da cobertura noticiosa dos acontecimentos políticos e contemporâneos e à partilha temporal das informações regionais e locais, bem como à partilha de ofertas para jovens grupos-alvo.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No caso das ofertas de radiodifusão, tal como definidas no n.º 3 e 1 do artigo 84.º do Tratado de Estado dos Meios de Comunicação Social, a regularidade da radiodifusão, a duração e o tempo de programação dos programas em causa devem ser tidas em conta no que respeita aos critérios previstos nos n.os 1, 2, 4 e 7 do artigo 7.º.</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No caso das ofertas de telemedia, tal como definidas no n.º 4 do artigo 84.º do Tratado de Estado dos Meios de Comunicação Social, a atualização periódica, o tempo ou outro âmbito, bem como a colocação e a acessibilidade no âmbito da oferta de telemedia devem ser tidas em conta no que respeita aos critérios previstos nos n.os 1, 2, 4 e 7 do artigo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 xml:space="preserve">No âmbito da determinação de uma proporção mais elevada de pessoal formado, tal como definido no n.º 5 do artigo 7.º, que tem um efeito positivo sobre o grau </w:t>
      </w:r>
      <w:r>
        <w:rPr>
          <w:sz w:val="24"/>
        </w:rPr>
        <w:lastRenderedPageBreak/>
        <w:t>específico de contribuição para a diversidade de opiniões e ofertas, devem ser tidos em conta apenas os rácios de pessoal formado em relação ao pessoal estagiário de, pelo menos, três para um.</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Artigo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Implementação</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Uma vez concluído o procedimento de determinação, as autoridades estatais dos meios de comunicação publicarão uma lista de imagens em movimento (vídeo) e uma lista de ofertas de áudio no sítio Web sob a designação de «autoridades de comunicação social» para implementação pelos fornecedores de interfaces de utilizador.</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Deve ser fácil e permanentemente possível ao utilizador identificar a triagem e a organização das ofertas, determinadas pelas autoridades estatais responsáveis pelos meios de comunicação social, nas interfaces dos utilizadores.</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A ordem das listas determinadas pela Comissão de Licenciamento e Supervisão (ZAK) como órgão dirigente da autoridade estatal responsável pelos meios de comunicação social resulta do ponto de vista global realizado nos termos dos artigos 7 e 8. Se e na medida em que o fornecedor de uma interface de utilizador apresentar uma sequência na triagem e na organização das ofertas, as listas publicadas em conformidade com o n.º 1 devem ser utilizadas como base.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A autoridade pública responsável pelos meios de comunicação social tem por missão trabalhar para chegar a um acordo com os prestadores dos programas legais financiados pela contribuição e as ofertas de telemedia associadas no que respeita à ordem de apresentação.</w:t>
      </w:r>
    </w:p>
    <w:p w14:paraId="5A278B17" w14:textId="77777777" w:rsidR="000D2934" w:rsidRDefault="000D2934">
      <w:pPr>
        <w:rPr>
          <w:rFonts w:eastAsia="Times New Roman" w:cstheme="minorHAnsi"/>
          <w:b/>
          <w:sz w:val="28"/>
          <w:szCs w:val="28"/>
          <w:u w:val="single"/>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Artigo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Entrada em vigor</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O presente diploma entra em vigor em 1 de setembro de 2021. Se os estatutos correspondentes não tiverem sido emitidos e publicados por todas as autoridades estatais dos meios de comunicação social até 31 de agosto de 2021, este estatuto tornar-se-á irrelevante. O presidente da Conferência dos Diretores das Autoridades Estatais para os Meios de Comunicação (DLM) publica no sítio Web sob a designação de «autoridades dos meios de comunicação social» se todas as autoridades estatais dos meios de comunicação emitiram e publicaram os estatutos correspondentes no período da frase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A8EB0" w14:textId="77777777" w:rsidR="0041545F" w:rsidRDefault="0041545F" w:rsidP="001D484A">
      <w:pPr>
        <w:spacing w:after="0" w:line="240" w:lineRule="auto"/>
      </w:pPr>
      <w:r>
        <w:separator/>
      </w:r>
    </w:p>
  </w:endnote>
  <w:endnote w:type="continuationSeparator" w:id="0">
    <w:p w14:paraId="2D93756E" w14:textId="77777777" w:rsidR="0041545F" w:rsidRDefault="0041545F"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33D4A" w14:textId="77777777" w:rsidR="0041545F" w:rsidRDefault="0041545F" w:rsidP="001D484A">
      <w:pPr>
        <w:spacing w:after="0" w:line="240" w:lineRule="auto"/>
      </w:pPr>
      <w:r>
        <w:separator/>
      </w:r>
    </w:p>
  </w:footnote>
  <w:footnote w:type="continuationSeparator" w:id="0">
    <w:p w14:paraId="6C9B6AE3" w14:textId="77777777" w:rsidR="0041545F" w:rsidRDefault="0041545F"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Notificado em conformidade com a Diretiva (UE) 2015/1535 do Parlamento Europeu e do Conselho, de 9 de setembro de 2015, relativa a um procedimento de informação no domínio das regulamentações técnicas e das regras relativas aos serviços da sociedade da informação (JO L 241, 17.9.2015,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545F"/>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4AE6"/>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1963</Words>
  <Characters>11195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5</cp:revision>
  <cp:lastPrinted>2021-01-25T10:29:00Z</cp:lastPrinted>
  <dcterms:created xsi:type="dcterms:W3CDTF">2021-04-01T05:34:00Z</dcterms:created>
  <dcterms:modified xsi:type="dcterms:W3CDTF">2021-04-13T16:02:00Z</dcterms:modified>
</cp:coreProperties>
</file>