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C72BDF" w14:textId="77777777" w:rsidR="00000018" w:rsidRDefault="00000018" w:rsidP="00000018">
      <w:pPr>
        <w:jc w:val="center"/>
        <w:rPr>
          <w:rFonts w:ascii="Courier New" w:hAnsi="Courier New"/>
          <w:sz w:val="20"/>
        </w:rPr>
      </w:pPr>
      <w:r>
        <w:rPr>
          <w:rFonts w:ascii="Courier New" w:hAnsi="Courier New"/>
          <w:sz w:val="20"/>
        </w:rPr>
        <w:t>1. ------IND- 2020 0469 F-- FR- ------ 20210228 --- --- FINAL</w:t>
      </w:r>
    </w:p>
    <w:p w14:paraId="02EAF829" w14:textId="77777777" w:rsidR="00E53DB4" w:rsidRPr="00970505" w:rsidRDefault="00E53DB4" w:rsidP="00ED3F8B">
      <w:pPr>
        <w:spacing w:after="0" w:line="240" w:lineRule="auto"/>
      </w:pPr>
    </w:p>
    <w:p w14:paraId="0B3EF0D3" w14:textId="77777777" w:rsidR="004C4E44" w:rsidRDefault="004C4E44" w:rsidP="00ED3F8B">
      <w:pPr>
        <w:spacing w:after="0" w:line="240" w:lineRule="auto"/>
        <w:outlineLvl w:val="1"/>
        <w:rPr>
          <w:rFonts w:ascii="Times New Roman" w:eastAsia="Times New Roman" w:hAnsi="Times New Roman" w:cs="Times New Roman"/>
          <w:b/>
          <w:bCs/>
          <w:sz w:val="36"/>
          <w:szCs w:val="36"/>
        </w:rPr>
      </w:pPr>
      <w:r>
        <w:rPr>
          <w:rFonts w:ascii="Times New Roman" w:hAnsi="Times New Roman"/>
          <w:b/>
          <w:bCs/>
          <w:sz w:val="36"/>
          <w:szCs w:val="36"/>
        </w:rPr>
        <w:t>2020. gada 29. decembra Rīkojums par remontējamības indeksa parādīšanas veidiem, apzīmējumiem un vispārīgajiem aprēķināšanas parametriem</w:t>
      </w:r>
    </w:p>
    <w:p w14:paraId="08A97D6A" w14:textId="77777777" w:rsidR="00ED3F8B" w:rsidRPr="00970505" w:rsidRDefault="00ED3F8B" w:rsidP="00ED3F8B">
      <w:pPr>
        <w:spacing w:after="0" w:line="240" w:lineRule="auto"/>
        <w:outlineLvl w:val="1"/>
        <w:rPr>
          <w:rFonts w:ascii="Times New Roman" w:eastAsia="Times New Roman" w:hAnsi="Times New Roman" w:cs="Times New Roman"/>
          <w:b/>
          <w:bCs/>
          <w:sz w:val="36"/>
          <w:szCs w:val="36"/>
          <w:lang w:eastAsia="fr-FR"/>
        </w:rPr>
      </w:pPr>
    </w:p>
    <w:p w14:paraId="693CFCCD" w14:textId="77777777" w:rsidR="004C4E44" w:rsidRPr="00970505" w:rsidRDefault="004C4E44" w:rsidP="00ED3F8B">
      <w:pPr>
        <w:spacing w:after="0" w:line="240" w:lineRule="auto"/>
        <w:outlineLvl w:val="3"/>
        <w:rPr>
          <w:rFonts w:ascii="Times New Roman" w:eastAsia="Times New Roman" w:hAnsi="Times New Roman" w:cs="Times New Roman"/>
          <w:b/>
          <w:bCs/>
          <w:sz w:val="24"/>
          <w:szCs w:val="24"/>
        </w:rPr>
      </w:pPr>
      <w:r>
        <w:rPr>
          <w:rFonts w:ascii="Times New Roman" w:hAnsi="Times New Roman"/>
          <w:b/>
          <w:bCs/>
          <w:sz w:val="24"/>
          <w:szCs w:val="24"/>
        </w:rPr>
        <w:t xml:space="preserve">Sākotnējā versija </w:t>
      </w:r>
    </w:p>
    <w:p w14:paraId="63BB22FC" w14:textId="77777777" w:rsidR="00FB0990" w:rsidRDefault="00FB0990" w:rsidP="00ED3F8B">
      <w:pPr>
        <w:spacing w:after="0" w:line="240" w:lineRule="auto"/>
        <w:rPr>
          <w:rFonts w:ascii="Times New Roman" w:eastAsia="Times New Roman" w:hAnsi="Times New Roman" w:cs="Times New Roman"/>
          <w:sz w:val="24"/>
          <w:szCs w:val="24"/>
          <w:lang w:eastAsia="fr-FR"/>
        </w:rPr>
      </w:pPr>
    </w:p>
    <w:p w14:paraId="1D3A00AE" w14:textId="77777777" w:rsidR="00ED3F8B" w:rsidRPr="00970505" w:rsidRDefault="00ED3F8B" w:rsidP="00ED3F8B">
      <w:pPr>
        <w:spacing w:after="0" w:line="240" w:lineRule="auto"/>
        <w:rPr>
          <w:rFonts w:ascii="Times New Roman" w:eastAsia="Times New Roman" w:hAnsi="Times New Roman" w:cs="Times New Roman"/>
          <w:sz w:val="24"/>
          <w:szCs w:val="24"/>
          <w:lang w:eastAsia="fr-FR"/>
        </w:rPr>
      </w:pPr>
    </w:p>
    <w:p w14:paraId="5538D299" w14:textId="77777777"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Mērķauditorija: elektrisko un elektronisko iekārtu ražotāji, importētāji, izplatītāji vai citi šā tirgus dalībnieki un šo pašu iekārtu pārdevēji, kā arī personas, kas izmanto tīmekļa vietni, platformu vai jebkuru citu tiešsaistes izplatīšanas kanālu savas komercdarbības Francijā īstenošanā. </w:t>
      </w:r>
    </w:p>
    <w:p w14:paraId="7FF42B0B" w14:textId="77777777"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Priekšmets: remontējamības indeksa parādīšanas veidi, apzīmējumi un vispārīgie aprēķināšanas parametri. </w:t>
      </w:r>
    </w:p>
    <w:p w14:paraId="552441AD" w14:textId="77777777"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Stāšanās spēkā: dokuments stājas spēkā 2021. gada 1. janvārī. </w:t>
      </w:r>
    </w:p>
    <w:p w14:paraId="6AF86D46" w14:textId="77777777"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Paziņojums: ar šo rīkojumu noteikti remontējamības indeksa parādīšanas veidi, apzīmējumi un vispārīgie aprēķināšanas parametri. </w:t>
      </w:r>
    </w:p>
    <w:p w14:paraId="5785180E"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Atsauces: šā rīkojuma teksts var būt pieejams tīmekļa vietnē Légifrance (http://www.legifrance.gouv.fr). </w:t>
      </w:r>
    </w:p>
    <w:p w14:paraId="27F8B438" w14:textId="77777777" w:rsidR="00FB0990" w:rsidRDefault="00FB0990" w:rsidP="00ED3F8B">
      <w:pPr>
        <w:spacing w:after="0" w:line="240" w:lineRule="auto"/>
        <w:rPr>
          <w:rFonts w:ascii="Times New Roman" w:eastAsia="Times New Roman" w:hAnsi="Times New Roman" w:cs="Times New Roman"/>
          <w:sz w:val="24"/>
          <w:szCs w:val="24"/>
          <w:lang w:eastAsia="fr-FR"/>
        </w:rPr>
      </w:pPr>
    </w:p>
    <w:p w14:paraId="0B2687BD" w14:textId="77777777" w:rsidR="00ED3F8B" w:rsidRPr="00970505" w:rsidRDefault="00ED3F8B" w:rsidP="00ED3F8B">
      <w:pPr>
        <w:spacing w:after="0" w:line="240" w:lineRule="auto"/>
        <w:rPr>
          <w:rFonts w:ascii="Times New Roman" w:eastAsia="Times New Roman" w:hAnsi="Times New Roman" w:cs="Times New Roman"/>
          <w:sz w:val="24"/>
          <w:szCs w:val="24"/>
          <w:lang w:eastAsia="fr-FR"/>
        </w:rPr>
      </w:pPr>
    </w:p>
    <w:p w14:paraId="60320465" w14:textId="77777777"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Zaļās pārkārtošanās ministre un ekonomikas, finanšu un atveseļošanas ministrs,</w:t>
      </w:r>
    </w:p>
    <w:p w14:paraId="79DF935E" w14:textId="77777777"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ņemot vērā Komisijas 2019. gada 1. oktobra Regulu (ES) 2019/2021, ar ko nosaka ekodizaina prasības elektroniskajiem displejiem saskaņā ar Eiropas Parlamenta un Padomes Direktīvu 2009/125/EK, groza Komisijas Regulu (EK) Nr. 1275/2008 un atceļ Komisijas Regulu (EK) Nr. 642/2009,</w:t>
      </w:r>
    </w:p>
    <w:p w14:paraId="112586F2" w14:textId="77777777"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ņemot vērā Vides kodeksu, jo īpaši tā L. 541-9-2. pantu,</w:t>
      </w:r>
    </w:p>
    <w:p w14:paraId="67B6A6E3" w14:textId="77777777"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ņemot vērā 2020. gada 29. decembra Rīkojumu Nr. 2020-1757 par elektrisko un elektronisko iekārtu remontējamības indeksu,</w:t>
      </w:r>
    </w:p>
    <w:p w14:paraId="652D3C69" w14:textId="77777777" w:rsidR="004C4E44" w:rsidRDefault="004C4E44" w:rsidP="00ED3F8B">
      <w:pPr>
        <w:keepNext/>
        <w:spacing w:after="0" w:line="240" w:lineRule="auto"/>
        <w:rPr>
          <w:rFonts w:ascii="Times New Roman" w:eastAsia="Times New Roman" w:hAnsi="Times New Roman" w:cs="Times New Roman"/>
          <w:sz w:val="24"/>
          <w:szCs w:val="24"/>
        </w:rPr>
      </w:pPr>
      <w:r>
        <w:rPr>
          <w:rFonts w:ascii="Times New Roman" w:hAnsi="Times New Roman"/>
          <w:sz w:val="24"/>
          <w:szCs w:val="24"/>
        </w:rPr>
        <w:t>izdod šādu rīkojumu.</w:t>
      </w:r>
    </w:p>
    <w:p w14:paraId="13738235" w14:textId="77777777" w:rsidR="00ED3F8B" w:rsidRPr="00970505" w:rsidRDefault="00ED3F8B" w:rsidP="00ED3F8B">
      <w:pPr>
        <w:keepNext/>
        <w:spacing w:after="0" w:line="240" w:lineRule="auto"/>
        <w:rPr>
          <w:rFonts w:ascii="Times New Roman" w:eastAsia="Times New Roman" w:hAnsi="Times New Roman" w:cs="Times New Roman"/>
          <w:sz w:val="24"/>
          <w:szCs w:val="24"/>
          <w:lang w:eastAsia="fr-FR"/>
        </w:rPr>
      </w:pPr>
    </w:p>
    <w:p w14:paraId="5156DA9C" w14:textId="77777777" w:rsidR="004C4E44" w:rsidRDefault="004C4E44" w:rsidP="00ED3F8B">
      <w:pPr>
        <w:keepNext/>
        <w:spacing w:after="0" w:line="240" w:lineRule="auto"/>
        <w:ind w:left="446"/>
        <w:outlineLvl w:val="3"/>
        <w:rPr>
          <w:rFonts w:ascii="Times New Roman" w:eastAsia="Times New Roman" w:hAnsi="Times New Roman" w:cs="Times New Roman"/>
          <w:b/>
          <w:bCs/>
          <w:sz w:val="24"/>
          <w:szCs w:val="24"/>
        </w:rPr>
      </w:pPr>
      <w:r>
        <w:rPr>
          <w:rFonts w:ascii="Times New Roman" w:hAnsi="Times New Roman"/>
          <w:b/>
          <w:bCs/>
          <w:sz w:val="24"/>
          <w:szCs w:val="24"/>
        </w:rPr>
        <w:t>1. pants.</w:t>
      </w:r>
    </w:p>
    <w:p w14:paraId="0C0D64B9" w14:textId="77777777" w:rsidR="00ED3F8B" w:rsidRPr="00970505" w:rsidRDefault="00ED3F8B" w:rsidP="00ED3F8B">
      <w:pPr>
        <w:keepNext/>
        <w:spacing w:after="0" w:line="240" w:lineRule="auto"/>
        <w:ind w:left="446"/>
        <w:outlineLvl w:val="3"/>
        <w:rPr>
          <w:rFonts w:ascii="Times New Roman" w:eastAsia="Times New Roman" w:hAnsi="Times New Roman" w:cs="Times New Roman"/>
          <w:b/>
          <w:bCs/>
          <w:sz w:val="24"/>
          <w:szCs w:val="24"/>
          <w:lang w:eastAsia="fr-FR"/>
        </w:rPr>
      </w:pPr>
    </w:p>
    <w:p w14:paraId="78DDBCB5" w14:textId="77777777" w:rsidR="00FB0990" w:rsidRPr="00970505" w:rsidRDefault="00FB0990" w:rsidP="00ED3F8B">
      <w:pPr>
        <w:keepNext/>
        <w:spacing w:after="0" w:line="240" w:lineRule="auto"/>
        <w:ind w:left="450"/>
        <w:rPr>
          <w:rFonts w:ascii="Times New Roman" w:eastAsia="Times New Roman" w:hAnsi="Times New Roman" w:cs="Times New Roman"/>
          <w:sz w:val="24"/>
          <w:szCs w:val="24"/>
          <w:lang w:eastAsia="fr-FR"/>
        </w:rPr>
      </w:pPr>
    </w:p>
    <w:p w14:paraId="6D9D7219" w14:textId="77777777" w:rsidR="004C4E44"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Šis rīkojums attiecas uz visām elektriskajām un elektroniskajām iekārtām, uz kurām attiecas remontējamības indeksa aprēķins un parādīšana saskaņā ar Vides kodeksa R. 541-210.—R. 541-214. pantu.</w:t>
      </w:r>
    </w:p>
    <w:p w14:paraId="4C2F1D25" w14:textId="77777777" w:rsidR="00ED3F8B" w:rsidRPr="00970505" w:rsidRDefault="00ED3F8B" w:rsidP="00ED3F8B">
      <w:pPr>
        <w:spacing w:after="0" w:line="240" w:lineRule="auto"/>
        <w:ind w:left="450"/>
        <w:rPr>
          <w:rFonts w:ascii="Times New Roman" w:eastAsia="Times New Roman" w:hAnsi="Times New Roman" w:cs="Times New Roman"/>
          <w:sz w:val="24"/>
          <w:szCs w:val="24"/>
          <w:lang w:eastAsia="fr-FR"/>
        </w:rPr>
      </w:pPr>
    </w:p>
    <w:p w14:paraId="467DFC38" w14:textId="77777777" w:rsidR="004C4E44" w:rsidRPr="00970505" w:rsidRDefault="004C4E44" w:rsidP="00ED3F8B">
      <w:pPr>
        <w:keepNext/>
        <w:spacing w:after="0" w:line="240" w:lineRule="auto"/>
        <w:ind w:left="446"/>
        <w:outlineLvl w:val="3"/>
        <w:rPr>
          <w:rFonts w:ascii="Times New Roman" w:eastAsia="Times New Roman" w:hAnsi="Times New Roman" w:cs="Times New Roman"/>
          <w:b/>
          <w:bCs/>
          <w:sz w:val="24"/>
          <w:szCs w:val="24"/>
        </w:rPr>
      </w:pPr>
      <w:r>
        <w:rPr>
          <w:rFonts w:ascii="Times New Roman" w:hAnsi="Times New Roman"/>
          <w:b/>
          <w:bCs/>
          <w:sz w:val="24"/>
          <w:szCs w:val="24"/>
        </w:rPr>
        <w:t>2. pants.</w:t>
      </w:r>
    </w:p>
    <w:p w14:paraId="6A41B9C5" w14:textId="77777777" w:rsidR="00FB0990" w:rsidRDefault="00FB0990" w:rsidP="00ED3F8B">
      <w:pPr>
        <w:keepNext/>
        <w:spacing w:after="0" w:line="240" w:lineRule="auto"/>
        <w:ind w:left="450"/>
        <w:rPr>
          <w:rFonts w:ascii="Times New Roman" w:eastAsia="Times New Roman" w:hAnsi="Times New Roman" w:cs="Times New Roman"/>
          <w:sz w:val="24"/>
          <w:szCs w:val="24"/>
          <w:lang w:eastAsia="fr-FR"/>
        </w:rPr>
      </w:pPr>
    </w:p>
    <w:p w14:paraId="7680BB11" w14:textId="77777777" w:rsidR="00ED3F8B" w:rsidRPr="00970505" w:rsidRDefault="00ED3F8B" w:rsidP="00ED3F8B">
      <w:pPr>
        <w:keepNext/>
        <w:spacing w:after="0" w:line="240" w:lineRule="auto"/>
        <w:ind w:left="450"/>
        <w:rPr>
          <w:rFonts w:ascii="Times New Roman" w:eastAsia="Times New Roman" w:hAnsi="Times New Roman" w:cs="Times New Roman"/>
          <w:sz w:val="24"/>
          <w:szCs w:val="24"/>
          <w:lang w:eastAsia="fr-FR"/>
        </w:rPr>
      </w:pPr>
    </w:p>
    <w:p w14:paraId="439568B9"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Visām elektriskajām un elektroniskajām iekārtām, kas minētas 1. pantā, remontējamības indeksu izsaka kā atzīmi skalā no desmit punktiem, kurā aiz komata var iekļaut decimāldaļu.</w:t>
      </w:r>
    </w:p>
    <w:p w14:paraId="55DF4A43"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Ja skaitlis pēc pirmās zīmes aiz komata ir mazāks par pieci, atzīmi noapaļo līdz mazākajai decimāldaļai.</w:t>
      </w:r>
    </w:p>
    <w:p w14:paraId="7230C9FF" w14:textId="77777777" w:rsidR="004C4E44"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lastRenderedPageBreak/>
        <w:t>Ja skaitlis pēc pirmās zīmes aiz komata ir lielāks par pieci, atzīmes noapaļo līdz lielākajai decimāldaļai.</w:t>
      </w:r>
    </w:p>
    <w:p w14:paraId="54C23DC9" w14:textId="77777777" w:rsidR="00ED3F8B" w:rsidRPr="00970505" w:rsidRDefault="00ED3F8B" w:rsidP="00ED3F8B">
      <w:pPr>
        <w:spacing w:after="0" w:line="240" w:lineRule="auto"/>
        <w:ind w:left="450"/>
        <w:rPr>
          <w:rFonts w:ascii="Times New Roman" w:eastAsia="Times New Roman" w:hAnsi="Times New Roman" w:cs="Times New Roman"/>
          <w:sz w:val="24"/>
          <w:szCs w:val="24"/>
          <w:lang w:eastAsia="fr-FR"/>
        </w:rPr>
      </w:pPr>
    </w:p>
    <w:p w14:paraId="3AC9357E" w14:textId="77777777" w:rsidR="004C4E44" w:rsidRPr="00970505" w:rsidRDefault="004C4E44" w:rsidP="00ED3F8B">
      <w:pPr>
        <w:keepNext/>
        <w:spacing w:after="0" w:line="240" w:lineRule="auto"/>
        <w:ind w:left="446"/>
        <w:outlineLvl w:val="3"/>
        <w:rPr>
          <w:rFonts w:ascii="Times New Roman" w:eastAsia="Times New Roman" w:hAnsi="Times New Roman" w:cs="Times New Roman"/>
          <w:b/>
          <w:bCs/>
          <w:sz w:val="24"/>
          <w:szCs w:val="24"/>
        </w:rPr>
      </w:pPr>
      <w:r>
        <w:rPr>
          <w:rFonts w:ascii="Times New Roman" w:hAnsi="Times New Roman"/>
          <w:b/>
          <w:bCs/>
          <w:sz w:val="24"/>
          <w:szCs w:val="24"/>
        </w:rPr>
        <w:t>3. pants.</w:t>
      </w:r>
    </w:p>
    <w:p w14:paraId="5415E4B6" w14:textId="77777777" w:rsidR="00FB0990" w:rsidRDefault="00FB0990" w:rsidP="00ED3F8B">
      <w:pPr>
        <w:keepNext/>
        <w:spacing w:after="0" w:line="240" w:lineRule="auto"/>
        <w:ind w:left="450"/>
        <w:rPr>
          <w:rFonts w:ascii="Times New Roman" w:eastAsia="Times New Roman" w:hAnsi="Times New Roman" w:cs="Times New Roman"/>
          <w:sz w:val="24"/>
          <w:szCs w:val="24"/>
          <w:lang w:eastAsia="fr-FR"/>
        </w:rPr>
      </w:pPr>
    </w:p>
    <w:p w14:paraId="66F3EDF6" w14:textId="77777777" w:rsidR="00ED3F8B" w:rsidRPr="00970505" w:rsidRDefault="00ED3F8B" w:rsidP="00ED3F8B">
      <w:pPr>
        <w:keepNext/>
        <w:spacing w:after="0" w:line="240" w:lineRule="auto"/>
        <w:ind w:left="450"/>
        <w:rPr>
          <w:rFonts w:ascii="Times New Roman" w:eastAsia="Times New Roman" w:hAnsi="Times New Roman" w:cs="Times New Roman"/>
          <w:sz w:val="24"/>
          <w:szCs w:val="24"/>
          <w:lang w:eastAsia="fr-FR"/>
        </w:rPr>
      </w:pPr>
    </w:p>
    <w:p w14:paraId="36FCDA06" w14:textId="77777777" w:rsidR="00FB0990" w:rsidRPr="00970505" w:rsidRDefault="004C4E44" w:rsidP="00ED3F8B">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Atkarībā no tādējādi iegūtās atzīmes indeksa parādīšanai izmanto šādus krāsu kodus:</w:t>
      </w:r>
    </w:p>
    <w:p w14:paraId="1D44E1FD"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 xml:space="preserve">1. ja atzīme ir lielāka vai vienāda ar 0 un mazāka vai vienāda ar 1,9 — sarkanā krāsā, atsauce </w:t>
      </w:r>
      <w:r>
        <w:rPr>
          <w:rFonts w:ascii="Times New Roman" w:hAnsi="Times New Roman"/>
          <w:i/>
          <w:iCs/>
          <w:sz w:val="24"/>
          <w:szCs w:val="24"/>
        </w:rPr>
        <w:t>Pantone 186 C</w:t>
      </w:r>
      <w:r>
        <w:rPr>
          <w:rFonts w:ascii="Times New Roman" w:hAnsi="Times New Roman"/>
          <w:sz w:val="24"/>
          <w:szCs w:val="24"/>
        </w:rPr>
        <w:t>;</w:t>
      </w:r>
    </w:p>
    <w:p w14:paraId="769E5729"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 xml:space="preserve">2. ja atzīme ir lielāka vai vienāda ar 2 un mazāka vai vienāda ar 3,9 — oranžā krāsā, atsauce </w:t>
      </w:r>
      <w:r>
        <w:rPr>
          <w:rFonts w:ascii="Times New Roman" w:hAnsi="Times New Roman"/>
          <w:i/>
          <w:iCs/>
          <w:sz w:val="24"/>
          <w:szCs w:val="24"/>
        </w:rPr>
        <w:t>Pantone 1 585 C</w:t>
      </w:r>
      <w:r>
        <w:rPr>
          <w:rFonts w:ascii="Times New Roman" w:hAnsi="Times New Roman"/>
          <w:sz w:val="24"/>
          <w:szCs w:val="24"/>
        </w:rPr>
        <w:t>;</w:t>
      </w:r>
    </w:p>
    <w:p w14:paraId="3382BF33"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 xml:space="preserve">3. ja atzīme ir lielāka vai vienāda ar 4 un mazāka vai vienāda ar 5,9 — dzeltenā krāsā, atsauce </w:t>
      </w:r>
      <w:r>
        <w:rPr>
          <w:rFonts w:ascii="Times New Roman" w:hAnsi="Times New Roman"/>
          <w:i/>
          <w:iCs/>
          <w:sz w:val="24"/>
          <w:szCs w:val="24"/>
        </w:rPr>
        <w:t>Pantone 7 548 C</w:t>
      </w:r>
      <w:r>
        <w:rPr>
          <w:rFonts w:ascii="Times New Roman" w:hAnsi="Times New Roman"/>
          <w:sz w:val="24"/>
          <w:szCs w:val="24"/>
        </w:rPr>
        <w:t>;</w:t>
      </w:r>
    </w:p>
    <w:p w14:paraId="39EDD262"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 xml:space="preserve">4. ja atzīme ir lielāka vai vienāda ar 6 un mazāka vai vienāda ar 7,9 — gaiši zaļā krāsā, atsauce </w:t>
      </w:r>
      <w:r>
        <w:rPr>
          <w:rFonts w:ascii="Times New Roman" w:hAnsi="Times New Roman"/>
          <w:i/>
          <w:iCs/>
          <w:sz w:val="24"/>
          <w:szCs w:val="24"/>
        </w:rPr>
        <w:t>Pantone 2 291 C</w:t>
      </w:r>
      <w:r>
        <w:rPr>
          <w:rFonts w:ascii="Times New Roman" w:hAnsi="Times New Roman"/>
          <w:sz w:val="24"/>
          <w:szCs w:val="24"/>
        </w:rPr>
        <w:t>;</w:t>
      </w:r>
    </w:p>
    <w:p w14:paraId="73ACBEAF"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 xml:space="preserve">5. ja atzīme ir lielāka vai vienāda ar 8 un mazāka vai vienāda ar 10 — tumši zaļā krāsā, atsauce </w:t>
      </w:r>
      <w:r>
        <w:rPr>
          <w:rFonts w:ascii="Times New Roman" w:hAnsi="Times New Roman"/>
          <w:i/>
          <w:iCs/>
          <w:sz w:val="24"/>
          <w:szCs w:val="24"/>
        </w:rPr>
        <w:t>Pantone 347 C</w:t>
      </w:r>
      <w:r>
        <w:rPr>
          <w:rFonts w:ascii="Times New Roman" w:hAnsi="Times New Roman"/>
          <w:sz w:val="24"/>
          <w:szCs w:val="24"/>
        </w:rPr>
        <w:t>.</w:t>
      </w:r>
    </w:p>
    <w:p w14:paraId="451C2B8C" w14:textId="77777777" w:rsidR="004C4E44"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Obligātais apzīmējums remontējamības indeksa parādīšanai ir grafisks attēlojums, ko veido vārdi “remontējamības indekss” un piktogramma, kas norāda zemāko indeksa atzīmi.</w:t>
      </w:r>
    </w:p>
    <w:p w14:paraId="64BF69F5"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1E50BC84"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1A5CC5A2"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Ar visu tekstu un tā attēliem var iepazīties, skatot autentificētu elektronisku Oficiālā Vēstneša izrakstu, kas pieejams lapas apakšdaļā.</w:t>
      </w:r>
    </w:p>
    <w:p w14:paraId="74169BBC" w14:textId="77777777" w:rsidR="00FB0990" w:rsidRDefault="00FB0990" w:rsidP="00ED3F8B">
      <w:pPr>
        <w:spacing w:after="0" w:line="240" w:lineRule="auto"/>
        <w:ind w:left="450"/>
        <w:rPr>
          <w:rFonts w:ascii="Times New Roman" w:eastAsia="Times New Roman" w:hAnsi="Times New Roman" w:cs="Times New Roman"/>
          <w:sz w:val="24"/>
          <w:szCs w:val="24"/>
          <w:lang w:eastAsia="fr-FR"/>
        </w:rPr>
      </w:pPr>
    </w:p>
    <w:p w14:paraId="22616ADE" w14:textId="77777777" w:rsidR="003D645A" w:rsidRPr="00970505" w:rsidRDefault="003D645A" w:rsidP="00ED3F8B">
      <w:pPr>
        <w:spacing w:after="0" w:line="240" w:lineRule="auto"/>
        <w:ind w:left="450"/>
        <w:rPr>
          <w:rFonts w:ascii="Times New Roman" w:eastAsia="Times New Roman" w:hAnsi="Times New Roman" w:cs="Times New Roman"/>
          <w:sz w:val="24"/>
          <w:szCs w:val="24"/>
          <w:lang w:eastAsia="fr-FR"/>
        </w:rPr>
      </w:pPr>
    </w:p>
    <w:p w14:paraId="0E4D8BF6"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Burtciparu lielumam atzīmē virs 10 jābūt vismaz vienādam ar plaukta cenu veidojošo burtciparu lielumu. Visas šo apzīmējumu lieluma korekcijas jāveic konsekventi.</w:t>
      </w:r>
    </w:p>
    <w:p w14:paraId="4FFF1084" w14:textId="77777777" w:rsidR="004C4E44"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Gadījumā, ja indeksu arī tieši piestiprina katrai modeļa vienībai vai iepakojumam kā etiķeti vai marķējumu, grafiskajam attēlojumam lieluma ziņā jābūt saredzamam un salasāmam.</w:t>
      </w:r>
    </w:p>
    <w:p w14:paraId="072981FB" w14:textId="77777777" w:rsidR="00ED3F8B" w:rsidRPr="00970505" w:rsidRDefault="00ED3F8B" w:rsidP="00ED3F8B">
      <w:pPr>
        <w:spacing w:after="0" w:line="240" w:lineRule="auto"/>
        <w:ind w:left="450"/>
        <w:rPr>
          <w:rFonts w:ascii="Times New Roman" w:eastAsia="Times New Roman" w:hAnsi="Times New Roman" w:cs="Times New Roman"/>
          <w:sz w:val="24"/>
          <w:szCs w:val="24"/>
          <w:lang w:eastAsia="fr-FR"/>
        </w:rPr>
      </w:pPr>
    </w:p>
    <w:p w14:paraId="5E6C2E7B" w14:textId="77777777" w:rsidR="004C4E44" w:rsidRPr="00970505" w:rsidRDefault="004C4E44" w:rsidP="00A74E8F">
      <w:pPr>
        <w:keepNext/>
        <w:spacing w:after="0" w:line="240" w:lineRule="auto"/>
        <w:ind w:left="446"/>
        <w:outlineLvl w:val="3"/>
        <w:rPr>
          <w:rFonts w:ascii="Times New Roman" w:eastAsia="Times New Roman" w:hAnsi="Times New Roman" w:cs="Times New Roman"/>
          <w:b/>
          <w:bCs/>
          <w:sz w:val="24"/>
          <w:szCs w:val="24"/>
        </w:rPr>
      </w:pPr>
      <w:r>
        <w:rPr>
          <w:rFonts w:ascii="Times New Roman" w:hAnsi="Times New Roman"/>
          <w:b/>
          <w:bCs/>
          <w:sz w:val="24"/>
          <w:szCs w:val="24"/>
        </w:rPr>
        <w:t>4. pants.</w:t>
      </w:r>
    </w:p>
    <w:p w14:paraId="77401CA4" w14:textId="77777777" w:rsidR="00FB0990" w:rsidRDefault="00FB0990" w:rsidP="00A74E8F">
      <w:pPr>
        <w:keepNext/>
        <w:spacing w:after="0" w:line="240" w:lineRule="auto"/>
        <w:ind w:left="450"/>
        <w:rPr>
          <w:rFonts w:ascii="Times New Roman" w:eastAsia="Times New Roman" w:hAnsi="Times New Roman" w:cs="Times New Roman"/>
          <w:sz w:val="24"/>
          <w:szCs w:val="24"/>
          <w:lang w:eastAsia="fr-FR"/>
        </w:rPr>
      </w:pPr>
    </w:p>
    <w:p w14:paraId="7197B85C" w14:textId="77777777" w:rsidR="00ED3F8B" w:rsidRPr="00970505" w:rsidRDefault="00ED3F8B" w:rsidP="00A74E8F">
      <w:pPr>
        <w:keepNext/>
        <w:spacing w:after="0" w:line="240" w:lineRule="auto"/>
        <w:ind w:left="450"/>
        <w:rPr>
          <w:rFonts w:ascii="Times New Roman" w:eastAsia="Times New Roman" w:hAnsi="Times New Roman" w:cs="Times New Roman"/>
          <w:sz w:val="24"/>
          <w:szCs w:val="24"/>
          <w:lang w:eastAsia="fr-FR"/>
        </w:rPr>
      </w:pPr>
    </w:p>
    <w:p w14:paraId="64889A21"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Katru indeksa apakškritēriju atzīmē 10 punktu skalā, un tam piešķir koeficientu, kas ļauj iegūt atzīmi 20 punktu skalā par katru kritēriju, kā turpmāk parādīts tabulā. Pievienojot katram kritērijam atzīmi ar vienādu svaru, indeksa kopējā atzīme 100 punktu skalā tiek samazināta līdz atzīmei 10 punktu skalā.</w:t>
      </w:r>
    </w:p>
    <w:p w14:paraId="678DD5CD" w14:textId="77777777" w:rsidR="004C4E44"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Katras iekārtas remontējamības indeksa noteikšanai izmantoto parametru paziņošana un nodrošināšana tiek noformēta, kā turpmāk parādīts tabulā, neizmaināmā digitālā formātā, ar izmēriem 21 x 29,7 cm.</w:t>
      </w:r>
    </w:p>
    <w:p w14:paraId="4750164E"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90"/>
        <w:gridCol w:w="1731"/>
        <w:gridCol w:w="1621"/>
        <w:gridCol w:w="1627"/>
        <w:gridCol w:w="1021"/>
        <w:gridCol w:w="1266"/>
      </w:tblGrid>
      <w:tr w:rsidR="004C4E44" w:rsidRPr="00970505" w14:paraId="7A65E5C0"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747956" w14:textId="77777777"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14:paraId="1D5FD1A1" w14:textId="77777777" w:rsidR="004C4E44" w:rsidRPr="00970505" w:rsidRDefault="004C4E44" w:rsidP="00A74E8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Kritērijs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F9CADA" w14:textId="77777777"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14:paraId="2CE80455" w14:textId="77777777" w:rsidR="004C4E44" w:rsidRPr="00970505" w:rsidRDefault="004C4E44" w:rsidP="00A74E8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Apakškritērijs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FB0386" w14:textId="77777777"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14:paraId="47C312EE" w14:textId="77777777" w:rsidR="004C4E44" w:rsidRPr="00970505" w:rsidRDefault="004C4E44" w:rsidP="00A74E8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Apakškritērija atzīme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A19D7" w14:textId="77777777"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14:paraId="7B7E1DBA" w14:textId="77777777" w:rsidR="004C4E44" w:rsidRPr="00970505" w:rsidRDefault="004C4E44" w:rsidP="00A74E8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Apakškritērija koeficients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47537F" w14:textId="77777777"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14:paraId="3B5AEA68" w14:textId="77777777" w:rsidR="004C4E44" w:rsidRPr="00970505" w:rsidRDefault="004C4E44" w:rsidP="00A74E8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Kritērija atzīme</w:t>
            </w:r>
          </w:p>
        </w:tc>
        <w:tc>
          <w:tcPr>
            <w:tcW w:w="0" w:type="auto"/>
            <w:tcBorders>
              <w:top w:val="outset" w:sz="6" w:space="0" w:color="auto"/>
              <w:left w:val="outset" w:sz="6" w:space="0" w:color="auto"/>
              <w:bottom w:val="outset" w:sz="6" w:space="0" w:color="auto"/>
              <w:right w:val="outset" w:sz="6" w:space="0" w:color="auto"/>
            </w:tcBorders>
            <w:vAlign w:val="center"/>
            <w:hideMark/>
          </w:tcPr>
          <w:p w14:paraId="29DF6542" w14:textId="77777777"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14:paraId="7A3C67C5" w14:textId="77777777" w:rsidR="004C4E44" w:rsidRPr="00970505" w:rsidRDefault="004C4E44" w:rsidP="00A74E8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Kritēriju atzīmju kopsumma</w:t>
            </w:r>
          </w:p>
        </w:tc>
      </w:tr>
      <w:tr w:rsidR="004C4E44" w:rsidRPr="00970505" w14:paraId="7DEBC89A"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22BFA40"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5C2C3AB2"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lastRenderedPageBreak/>
              <w:t>1. Dokumentācija</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4A983"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2477E12E"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lastRenderedPageBreak/>
              <w:t>1.1. Tehniskās dokumentācijas un izmantošanas un uzturēšanas ieteikumu dokumentācijas pieejamības ilgums</w:t>
            </w:r>
          </w:p>
        </w:tc>
        <w:tc>
          <w:tcPr>
            <w:tcW w:w="0" w:type="auto"/>
            <w:tcBorders>
              <w:top w:val="outset" w:sz="6" w:space="0" w:color="auto"/>
              <w:left w:val="outset" w:sz="6" w:space="0" w:color="auto"/>
              <w:bottom w:val="outset" w:sz="6" w:space="0" w:color="auto"/>
              <w:right w:val="outset" w:sz="6" w:space="0" w:color="auto"/>
            </w:tcBorders>
            <w:vAlign w:val="center"/>
            <w:hideMark/>
          </w:tcPr>
          <w:p w14:paraId="26066C57"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5F771C25"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7FAFC6"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78873430"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75EA1FFA"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31D9B47B"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7ED9380"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40404D8C"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▀▀/100</w:t>
            </w:r>
          </w:p>
        </w:tc>
      </w:tr>
      <w:tr w:rsidR="004C4E44" w:rsidRPr="00970505" w14:paraId="00FCE7C4" w14:textId="77777777" w:rsidTr="004C4E44">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97BA67E"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77AF1500"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2. Demontējamība un piekļuve, rīki, stiprinājumi</w:t>
            </w:r>
          </w:p>
        </w:tc>
        <w:tc>
          <w:tcPr>
            <w:tcW w:w="0" w:type="auto"/>
            <w:tcBorders>
              <w:top w:val="outset" w:sz="6" w:space="0" w:color="auto"/>
              <w:left w:val="outset" w:sz="6" w:space="0" w:color="auto"/>
              <w:bottom w:val="outset" w:sz="6" w:space="0" w:color="auto"/>
              <w:right w:val="outset" w:sz="6" w:space="0" w:color="auto"/>
            </w:tcBorders>
            <w:vAlign w:val="center"/>
            <w:hideMark/>
          </w:tcPr>
          <w:p w14:paraId="12C58A0D"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3F4DE1AD"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2.1. Detaļu no 2. saraksta* demontāžas iespēja</w:t>
            </w:r>
          </w:p>
        </w:tc>
        <w:tc>
          <w:tcPr>
            <w:tcW w:w="0" w:type="auto"/>
            <w:tcBorders>
              <w:top w:val="outset" w:sz="6" w:space="0" w:color="auto"/>
              <w:left w:val="outset" w:sz="6" w:space="0" w:color="auto"/>
              <w:bottom w:val="outset" w:sz="6" w:space="0" w:color="auto"/>
              <w:right w:val="outset" w:sz="6" w:space="0" w:color="auto"/>
            </w:tcBorders>
            <w:vAlign w:val="center"/>
            <w:hideMark/>
          </w:tcPr>
          <w:p w14:paraId="29D7723B"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494606BE"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E7D818A"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4FDF4ECB"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4DE9C69"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2B2339BE"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6B0073"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14:paraId="78297633" w14:textId="77777777"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53EF39"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C0D1258"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6C8580BF"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2.2. Nepieciešamie rīki (2. saraksts)</w:t>
            </w:r>
          </w:p>
        </w:tc>
        <w:tc>
          <w:tcPr>
            <w:tcW w:w="0" w:type="auto"/>
            <w:tcBorders>
              <w:top w:val="outset" w:sz="6" w:space="0" w:color="auto"/>
              <w:left w:val="outset" w:sz="6" w:space="0" w:color="auto"/>
              <w:bottom w:val="outset" w:sz="6" w:space="0" w:color="auto"/>
              <w:right w:val="outset" w:sz="6" w:space="0" w:color="auto"/>
            </w:tcBorders>
            <w:vAlign w:val="center"/>
            <w:hideMark/>
          </w:tcPr>
          <w:p w14:paraId="58A8FF44"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6655B961"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B5AABD"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3163C8BD"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18B75A"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3EED7C"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14:paraId="5F866C20" w14:textId="77777777"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9A87FA8"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363710"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3AEB0AEC"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2.3. Raksturlielumi stiprinājumiem starp detaļām no 1. saraksta** un 2. saraksta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660EDCB8"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63367707"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B812EDF"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65EFE6FE"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7D9124"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35D703"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14:paraId="0936E2E4" w14:textId="77777777" w:rsidTr="004C4E44">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2EEDFE4"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6110069E"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3. Atsevišķo daļu pieejamība</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ABE9B"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68CF06AA"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3.1. Detaļu no 2. saraksta pieejamības ilgums</w:t>
            </w:r>
          </w:p>
        </w:tc>
        <w:tc>
          <w:tcPr>
            <w:tcW w:w="0" w:type="auto"/>
            <w:tcBorders>
              <w:top w:val="outset" w:sz="6" w:space="0" w:color="auto"/>
              <w:left w:val="outset" w:sz="6" w:space="0" w:color="auto"/>
              <w:bottom w:val="outset" w:sz="6" w:space="0" w:color="auto"/>
              <w:right w:val="outset" w:sz="6" w:space="0" w:color="auto"/>
            </w:tcBorders>
            <w:vAlign w:val="center"/>
            <w:hideMark/>
          </w:tcPr>
          <w:p w14:paraId="693F9719"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47949723"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A76F9A0"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315335C9"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0431E82"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09F64DCD"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136C84"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14:paraId="6FD79883" w14:textId="77777777"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AAFDA0"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D0B0D3"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141C765B"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3.2. Detaļu no 1. saraksta pieejamības ilgums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F54386"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362C2394"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5DAB92"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628BF2D4"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EF9359"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F47920"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14:paraId="3021907D" w14:textId="77777777"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02DC44"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C8EE27"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046512A8"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3.3. Detaļu no 2. saraksta piegādes termiņš</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96B42"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16E48D9C"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1949D9"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3A33022B"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0,3</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E6FA85"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25A46C"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14:paraId="211E378C" w14:textId="77777777"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2B0C94E"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276A2A"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3A2082E8"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3.4. Detaļu no 1. saraksta piegādes termiņš</w:t>
            </w:r>
          </w:p>
        </w:tc>
        <w:tc>
          <w:tcPr>
            <w:tcW w:w="0" w:type="auto"/>
            <w:tcBorders>
              <w:top w:val="outset" w:sz="6" w:space="0" w:color="auto"/>
              <w:left w:val="outset" w:sz="6" w:space="0" w:color="auto"/>
              <w:bottom w:val="outset" w:sz="6" w:space="0" w:color="auto"/>
              <w:right w:val="outset" w:sz="6" w:space="0" w:color="auto"/>
            </w:tcBorders>
            <w:vAlign w:val="center"/>
            <w:hideMark/>
          </w:tcPr>
          <w:p w14:paraId="0C4ADA39"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2EA26B50"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BB527"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7E6171E1"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5AC756"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9E1F28"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14:paraId="46E76A96"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F45AC8F"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4EF9B45A"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4. Atsevišķo daļu cenas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C88C8B2"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06883301"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4.1. 2. saraksta detaļu cenas attiecība pret </w:t>
            </w:r>
            <w:r>
              <w:rPr>
                <w:rFonts w:ascii="Times New Roman" w:hAnsi="Times New Roman"/>
                <w:sz w:val="24"/>
                <w:szCs w:val="24"/>
              </w:rPr>
              <w:lastRenderedPageBreak/>
              <w:t>jaunas iekārtas cenu</w:t>
            </w:r>
          </w:p>
        </w:tc>
        <w:tc>
          <w:tcPr>
            <w:tcW w:w="0" w:type="auto"/>
            <w:tcBorders>
              <w:top w:val="outset" w:sz="6" w:space="0" w:color="auto"/>
              <w:left w:val="outset" w:sz="6" w:space="0" w:color="auto"/>
              <w:bottom w:val="outset" w:sz="6" w:space="0" w:color="auto"/>
              <w:right w:val="outset" w:sz="6" w:space="0" w:color="auto"/>
            </w:tcBorders>
            <w:vAlign w:val="center"/>
            <w:hideMark/>
          </w:tcPr>
          <w:p w14:paraId="321954C7"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10D61E9A"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0B84A"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768AA727"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B6CD1"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42CA77A6"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5D0075"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14:paraId="5D5DA402" w14:textId="77777777" w:rsidTr="004C4E44">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6F0CD7E"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4F081BD0" w14:textId="77777777"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5. Īpašais kritērijs</w:t>
            </w:r>
          </w:p>
          <w:p w14:paraId="051FC785"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(piemērs ar trim apakškritērijiem)</w:t>
            </w:r>
          </w:p>
        </w:tc>
        <w:tc>
          <w:tcPr>
            <w:tcW w:w="0" w:type="auto"/>
            <w:tcBorders>
              <w:top w:val="outset" w:sz="6" w:space="0" w:color="auto"/>
              <w:left w:val="outset" w:sz="6" w:space="0" w:color="auto"/>
              <w:bottom w:val="outset" w:sz="6" w:space="0" w:color="auto"/>
              <w:right w:val="outset" w:sz="6" w:space="0" w:color="auto"/>
            </w:tcBorders>
            <w:vAlign w:val="center"/>
            <w:hideMark/>
          </w:tcPr>
          <w:p w14:paraId="2F35DB56"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402C378D"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5.1.</w:t>
            </w:r>
          </w:p>
        </w:tc>
        <w:tc>
          <w:tcPr>
            <w:tcW w:w="0" w:type="auto"/>
            <w:tcBorders>
              <w:top w:val="outset" w:sz="6" w:space="0" w:color="auto"/>
              <w:left w:val="outset" w:sz="6" w:space="0" w:color="auto"/>
              <w:bottom w:val="outset" w:sz="6" w:space="0" w:color="auto"/>
              <w:right w:val="outset" w:sz="6" w:space="0" w:color="auto"/>
            </w:tcBorders>
            <w:vAlign w:val="center"/>
            <w:hideMark/>
          </w:tcPr>
          <w:p w14:paraId="7B5BF6BC"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12157453"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C1C4887"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44173B9C"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A569DF9"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77F72C2D"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66A891"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14:paraId="575EA467" w14:textId="77777777"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69B8B1"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DF4195"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45E3BE88"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5.2.</w:t>
            </w:r>
          </w:p>
        </w:tc>
        <w:tc>
          <w:tcPr>
            <w:tcW w:w="0" w:type="auto"/>
            <w:tcBorders>
              <w:top w:val="outset" w:sz="6" w:space="0" w:color="auto"/>
              <w:left w:val="outset" w:sz="6" w:space="0" w:color="auto"/>
              <w:bottom w:val="outset" w:sz="6" w:space="0" w:color="auto"/>
              <w:right w:val="outset" w:sz="6" w:space="0" w:color="auto"/>
            </w:tcBorders>
            <w:vAlign w:val="center"/>
            <w:hideMark/>
          </w:tcPr>
          <w:p w14:paraId="4D11333C"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27E757BF"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11DF0C8"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24AB23EA"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8D9A34"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61A0B2"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14:paraId="3E4DAF0A" w14:textId="77777777"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D5F828"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F9DF038"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69157E71"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5.3.</w:t>
            </w:r>
          </w:p>
        </w:tc>
        <w:tc>
          <w:tcPr>
            <w:tcW w:w="0" w:type="auto"/>
            <w:tcBorders>
              <w:top w:val="outset" w:sz="6" w:space="0" w:color="auto"/>
              <w:left w:val="outset" w:sz="6" w:space="0" w:color="auto"/>
              <w:bottom w:val="outset" w:sz="6" w:space="0" w:color="auto"/>
              <w:right w:val="outset" w:sz="6" w:space="0" w:color="auto"/>
            </w:tcBorders>
            <w:vAlign w:val="center"/>
            <w:hideMark/>
          </w:tcPr>
          <w:p w14:paraId="78A096AE"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43C1850D"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21A16AA"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6DE47AE1"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0,5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4B0524"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113C93"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14:paraId="5E392528" w14:textId="77777777" w:rsidTr="004C4E44">
        <w:trPr>
          <w:tblCellSpacing w:w="15"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4540F217" w14:textId="77777777" w:rsidR="00FB0990" w:rsidRPr="00970505" w:rsidRDefault="00FB0990" w:rsidP="00ED3F8B">
            <w:pPr>
              <w:spacing w:after="0" w:line="240" w:lineRule="auto"/>
              <w:jc w:val="right"/>
              <w:rPr>
                <w:rFonts w:ascii="Times New Roman" w:eastAsia="Times New Roman" w:hAnsi="Times New Roman" w:cs="Times New Roman"/>
                <w:sz w:val="24"/>
                <w:szCs w:val="24"/>
                <w:lang w:eastAsia="fr-FR"/>
              </w:rPr>
            </w:pPr>
          </w:p>
          <w:p w14:paraId="679445ED" w14:textId="77777777" w:rsidR="004C4E44" w:rsidRPr="00970505" w:rsidRDefault="004C4E44" w:rsidP="00ED3F8B">
            <w:pPr>
              <w:spacing w:after="0" w:line="240" w:lineRule="auto"/>
              <w:jc w:val="right"/>
              <w:rPr>
                <w:rFonts w:ascii="Times New Roman" w:eastAsia="Times New Roman" w:hAnsi="Times New Roman" w:cs="Times New Roman"/>
                <w:sz w:val="24"/>
                <w:szCs w:val="24"/>
              </w:rPr>
            </w:pPr>
            <w:r>
              <w:rPr>
                <w:rFonts w:ascii="Times New Roman" w:hAnsi="Times New Roman"/>
                <w:sz w:val="24"/>
                <w:szCs w:val="24"/>
              </w:rPr>
              <w:t>Indeksa atzīme</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B92AE" w14:textId="77777777"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14:paraId="7446E12B" w14:textId="77777777" w:rsidR="004C4E44" w:rsidRPr="00970505" w:rsidRDefault="004C4E44" w:rsidP="00ED3F8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▀▀/10</w:t>
            </w:r>
          </w:p>
        </w:tc>
      </w:tr>
      <w:tr w:rsidR="004C4E44" w:rsidRPr="00970505" w14:paraId="4A4687C4" w14:textId="77777777" w:rsidTr="004C4E44">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51535728"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05437B64" w14:textId="77777777"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ab/>
              <w:t>2. saraksts — saraksts ar ne vairāk kā 3 līdz 5 atsevišķām daļām (atkarībā no attiecīgās iekārtas kategorijas), kuras salūst vai sabojājas visbiežāk.</w:t>
            </w:r>
          </w:p>
          <w:p w14:paraId="08E16759"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ab/>
              <w:t>1. saraksts — saraksts ar ne vairāk kā 10 citām atsevišķām daļām (atkarībā no attiecīgās iekārtas kategorijas), kuru atrašanās labā stāvoklī ir nepieciešama iekārtas darbībai.</w:t>
            </w:r>
          </w:p>
        </w:tc>
      </w:tr>
    </w:tbl>
    <w:p w14:paraId="0ED33A28"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586ABCBD"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p w14:paraId="11D77EF2"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Vienam kritērijam apakškritēriju koeficientu summa ir vienāda ar 2.</w:t>
      </w:r>
    </w:p>
    <w:p w14:paraId="132DCD0E" w14:textId="77777777" w:rsidR="004C4E44"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Detalizētas vērtēšanas tabulas, kas atbilst katrai iekārtas kategorijai, norādot detaļu sarakstus un katra apakškritērija informāciju, tiek noteiktas ar rīkojumu.</w:t>
      </w:r>
    </w:p>
    <w:p w14:paraId="5F203BF8" w14:textId="77777777" w:rsidR="00ED3F8B" w:rsidRPr="00970505" w:rsidRDefault="00ED3F8B" w:rsidP="00ED3F8B">
      <w:pPr>
        <w:spacing w:after="0" w:line="240" w:lineRule="auto"/>
        <w:ind w:left="450"/>
        <w:rPr>
          <w:rFonts w:ascii="Times New Roman" w:eastAsia="Times New Roman" w:hAnsi="Times New Roman" w:cs="Times New Roman"/>
          <w:sz w:val="24"/>
          <w:szCs w:val="24"/>
          <w:lang w:eastAsia="fr-FR"/>
        </w:rPr>
      </w:pPr>
    </w:p>
    <w:p w14:paraId="72A98789" w14:textId="77777777" w:rsidR="004C4E44" w:rsidRPr="00970505" w:rsidRDefault="004C4E44" w:rsidP="00A74E8F">
      <w:pPr>
        <w:keepNext/>
        <w:spacing w:after="0" w:line="240" w:lineRule="auto"/>
        <w:ind w:left="446"/>
        <w:outlineLvl w:val="3"/>
        <w:rPr>
          <w:rFonts w:ascii="Times New Roman" w:eastAsia="Times New Roman" w:hAnsi="Times New Roman" w:cs="Times New Roman"/>
          <w:b/>
          <w:bCs/>
          <w:sz w:val="24"/>
          <w:szCs w:val="24"/>
        </w:rPr>
      </w:pPr>
      <w:r>
        <w:rPr>
          <w:rFonts w:ascii="Times New Roman" w:hAnsi="Times New Roman"/>
          <w:b/>
          <w:bCs/>
          <w:sz w:val="24"/>
          <w:szCs w:val="24"/>
        </w:rPr>
        <w:t>5. pants.</w:t>
      </w:r>
    </w:p>
    <w:p w14:paraId="6CC188EE" w14:textId="77777777" w:rsidR="00FB0990" w:rsidRDefault="00FB0990" w:rsidP="00A74E8F">
      <w:pPr>
        <w:keepNext/>
        <w:spacing w:after="0" w:line="240" w:lineRule="auto"/>
        <w:ind w:left="446"/>
        <w:rPr>
          <w:rFonts w:ascii="Times New Roman" w:eastAsia="Times New Roman" w:hAnsi="Times New Roman" w:cs="Times New Roman"/>
          <w:sz w:val="24"/>
          <w:szCs w:val="24"/>
          <w:lang w:eastAsia="fr-FR"/>
        </w:rPr>
      </w:pPr>
    </w:p>
    <w:p w14:paraId="57AEFD88" w14:textId="77777777" w:rsidR="00ED3F8B" w:rsidRPr="00970505" w:rsidRDefault="00ED3F8B" w:rsidP="00A74E8F">
      <w:pPr>
        <w:keepNext/>
        <w:spacing w:after="0" w:line="240" w:lineRule="auto"/>
        <w:ind w:left="446"/>
        <w:rPr>
          <w:rFonts w:ascii="Times New Roman" w:eastAsia="Times New Roman" w:hAnsi="Times New Roman" w:cs="Times New Roman"/>
          <w:sz w:val="24"/>
          <w:szCs w:val="24"/>
          <w:lang w:eastAsia="fr-FR"/>
        </w:rPr>
      </w:pPr>
    </w:p>
    <w:p w14:paraId="6F4139F9" w14:textId="77777777"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1. kritērijs. — Dokumentācija</w:t>
      </w:r>
    </w:p>
    <w:p w14:paraId="3459F10E"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1.1. apakškritērijs. — Tehniskās dokumentācijas un izmantošanas un uzturēšanas ieteikumu dokumentācijas pieejamības ilgums</w:t>
      </w:r>
    </w:p>
    <w:p w14:paraId="798179A1"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To nosaka pēc ražotāja apņemšanās vairākus gadus no pēdējās vienības laišanas tirgū bez maksas darīt pieejamus apstiprinātiem un neatkarīgiem labotājiem un patērētājiem tehniskos dokumentus, kā arī dokumentus, kas saistīti ar ieteikumiem par izmantošanu un uzturēšanu, ko sniedz patērētājiem.</w:t>
      </w:r>
    </w:p>
    <w:p w14:paraId="772403A1" w14:textId="77777777"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2. kritērijs. — Demontējamība un piekļuve, rīki, stiprinājumi</w:t>
      </w:r>
    </w:p>
    <w:p w14:paraId="3BAC384A" w14:textId="77777777"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2.1. apakškritērijs. — Detaļu no 2. saraksta demontāžas iespēja</w:t>
      </w:r>
    </w:p>
    <w:p w14:paraId="58F85203"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To nosaka pēc demontāžas posmu skaita, lai attiecībā uz katru 2. saraksta detaļu varētu vienoti piekļūt šai detaļai un atdalīt to no iekārtas nomaiņas nolūkā. Tiek izveidota saikne starp šī apakškritērija un 3.1. apakškritērija atzīmēm gadījumam, ja kādu detaļu nevar demontēt — nulles atzīme pēc tam tiek pārnesta no viena apakškritērija uz otru.</w:t>
      </w:r>
    </w:p>
    <w:p w14:paraId="496F22D8" w14:textId="77777777"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2.2. apakškritērijs. — Nepieciešamie rīki</w:t>
      </w:r>
    </w:p>
    <w:p w14:paraId="47988592"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To nosaka pēc rīku veida, kas nepieciešami katras 2. saraksta detaļas demontāžai, saskaņā ar tipoloģiju, nodalot “parastos”, “īpašos” vai “patentētos” rīkus.</w:t>
      </w:r>
    </w:p>
    <w:p w14:paraId="4149085B" w14:textId="77777777"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2.3. apakškritērijs. Raksturlielumi stiprinājumiem</w:t>
      </w:r>
    </w:p>
    <w:p w14:paraId="29D26E7D"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Attiecībā uz katru 1. un 2. saraksta detaļu to nosaka pēc stiprinājumu veida, kas nodrošina detaļu samontēšanu citās iekārtas detaļās, saskaņā ar tipoloģiju, kas nodala “noņemamus un atkārtoti izmantojamus”, “noņemamus un atkārtoti neizmantojamus” vai “nenoņemamus un atkārtoti neizmantojamus” stiprinājumus.</w:t>
      </w:r>
    </w:p>
    <w:p w14:paraId="08E58CAD" w14:textId="77777777"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lastRenderedPageBreak/>
        <w:t>3. kritērijs. — Atsevišķo daļu pieejamība:</w:t>
      </w:r>
    </w:p>
    <w:p w14:paraId="69528576" w14:textId="77777777"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3.1. apakškritērijs. — Detaļu no 2. saraksta pieejamības ilgums</w:t>
      </w:r>
    </w:p>
    <w:p w14:paraId="1DD6FE0D"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To nosaka pēc ražotāja apņemšanās vairākus gadus no pēdējās vienības laišanas tirgū 2. saraksta detaļas darīt pieejamas atsevišķo daļu izplatītājiem, apstiprinātiem un neatkarīgiem labotājiem un patērētājiem.</w:t>
      </w:r>
    </w:p>
    <w:p w14:paraId="5BDCE7B4" w14:textId="77777777"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3.2. apakškritērijs. — Detaļu no 1. saraksta pieejamības ilgums</w:t>
      </w:r>
    </w:p>
    <w:p w14:paraId="44B1B9F5"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To nosaka pēc ražotāja apņemšanās vairākus gadus no pēdējās vienības laišanas tirgū 1. saraksta detaļas darīt pieejamas atsevišķo daļu izplatītājiem, apstiprinātiem un neatkarīgiem labotājiem un patērētājiem.</w:t>
      </w:r>
    </w:p>
    <w:p w14:paraId="7137D679" w14:textId="77777777"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3.3. apakškritērijs. — Detaļu no 2. saraksta piegādes termiņš</w:t>
      </w:r>
    </w:p>
    <w:p w14:paraId="062BE46F"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To nosaka pēc ražotāja apņemšanās ievērot 2. saraksta detaļu piegādes termiņu, norādot darba dienu skaitu no pasūtījuma saņemšanas dienas, atsevišķo daļu izplatītājiem, apstiprinātiem un neatkarīgiem labotājiem un patērētājiem.</w:t>
      </w:r>
    </w:p>
    <w:p w14:paraId="5CE72F31" w14:textId="77777777"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3.4. apakškritērijs. — Detaļu no 1. saraksta piegādes termiņš</w:t>
      </w:r>
    </w:p>
    <w:p w14:paraId="2C0A65D6"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To nosaka pēc ražotāja apņemšanās ievērot 1. saraksta detaļu piegādes termiņu, norādot darba dienu skaitu no pasūtījuma saņemšanas dienas, atsevišķo daļu izplatītājiem, apstiprinātiem un neatkarīgiem labotājiem un patērētājiem.</w:t>
      </w:r>
    </w:p>
    <w:p w14:paraId="25F17FF6" w14:textId="77777777"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4. kritērijs. — Atsevišķo daļu cena</w:t>
      </w:r>
    </w:p>
    <w:p w14:paraId="3CC6C334" w14:textId="77777777"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 xml:space="preserve">4.1. apakškritērijs. — Ražotāja vai importētāja detaļu pārdošanas cenas attiecība pret ražotāja vai importētāja iekārtas pārdošanas cenu </w:t>
      </w:r>
    </w:p>
    <w:p w14:paraId="303B7CA1" w14:textId="77777777"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Kritēriju nosaka pēc attiecības:</w:t>
      </w:r>
    </w:p>
    <w:p w14:paraId="7529050D"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starp</w:t>
      </w:r>
    </w:p>
    <w:p w14:paraId="41B3B863"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lielumu, ko iegūst šādi: “dārgākās detaļas no 2. saraksta cena bez nodokļiem + (pārējo 2. saraksta detaļu vidējā cena bez nodokļiem) / 2”,</w:t>
      </w:r>
    </w:p>
    <w:p w14:paraId="26B580C3"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un</w:t>
      </w:r>
    </w:p>
    <w:p w14:paraId="1C1987AB"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attiecīgā iekārtas modeļa cenu bez nodokļiem,</w:t>
      </w:r>
    </w:p>
    <w:p w14:paraId="1A7661E5"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ja katru cenu izprot kā cenu bez nodokļiem tarifu plānā, kas ir spēkā indeksa aprēķināšanas brīdī un ir iekļauts ražotāja vai importētāja vispārējos pārdošanas nosacījumos, vai ja tā nav — jebkurā atbilstīgā līguma dokumentā.</w:t>
      </w:r>
    </w:p>
    <w:p w14:paraId="4A965F90"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Gadījumā, ja ražotājam vai importētājam attiecībā uz konkrētajām detaļām vai iekārtām ir vairāki tarifu plāni atbilstoši dažādām izplatītāju vai pārdevēju klientu kategorijām, indeksa aprēķināšanai izmanto cenas no tā plāna, kas pēdējā noslēgtajā finanšu gadā aptver ražotāja vai importētāja apgrozījuma lielāko daļu attiecīgajam detaļu veidam vai iekārtu veidam. Attiecībā uz jaunām tirgū laistām iekārtām un detaļām vairāku plānu gadījumā izmanto cenas no tā plāna, kurā tās ir viszemākās.</w:t>
      </w:r>
    </w:p>
    <w:p w14:paraId="05DCFB32"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Gadījumā, ja kādas no šīm detaļām nav atdalāmas no moduļa vai attiecīgā detaļa ir integrēta modulī, kas ir vienīgais pieejamais, vērā ņem cenu, kas veidojas, saskaitot detaļu cenas, vai moduļa cenu.</w:t>
      </w:r>
    </w:p>
    <w:p w14:paraId="099D6584" w14:textId="77777777"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5. kritērijs. — Attiecīgās iekārtas kategorijas īpašais kritērijs</w:t>
      </w:r>
    </w:p>
    <w:p w14:paraId="764C1CD7" w14:textId="77777777" w:rsidR="004C4E44"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Šis kritērijs sastāv no viena vai vairākiem apakškritērijiem, kas atbilst attiecīgajai iekārtas kategorijai. Ja tas atbilst attiecīgajai iekārtas kategorijai, šīs kategorijas īpašais kritērijs Nr. 5 ietver apakškritēriju, kas attiecas uz patērētājam redzamu patēriņa skaitītāju, kura koeficients ir vismaz 1.</w:t>
      </w:r>
    </w:p>
    <w:p w14:paraId="60FB6488" w14:textId="77777777" w:rsidR="00ED3F8B" w:rsidRPr="00970505" w:rsidRDefault="00ED3F8B" w:rsidP="00ED3F8B">
      <w:pPr>
        <w:spacing w:after="0" w:line="240" w:lineRule="auto"/>
        <w:ind w:left="446"/>
        <w:rPr>
          <w:rFonts w:ascii="Times New Roman" w:eastAsia="Times New Roman" w:hAnsi="Times New Roman" w:cs="Times New Roman"/>
          <w:sz w:val="24"/>
          <w:szCs w:val="24"/>
          <w:lang w:eastAsia="fr-FR"/>
        </w:rPr>
      </w:pPr>
    </w:p>
    <w:p w14:paraId="274C9C23" w14:textId="77777777" w:rsidR="004C4E44" w:rsidRDefault="004C4E44" w:rsidP="00A74E8F">
      <w:pPr>
        <w:keepNext/>
        <w:spacing w:after="0" w:line="240" w:lineRule="auto"/>
        <w:ind w:left="446"/>
        <w:outlineLvl w:val="3"/>
        <w:rPr>
          <w:rFonts w:ascii="Times New Roman" w:eastAsia="Times New Roman" w:hAnsi="Times New Roman" w:cs="Times New Roman"/>
          <w:b/>
          <w:bCs/>
          <w:sz w:val="24"/>
          <w:szCs w:val="24"/>
        </w:rPr>
      </w:pPr>
      <w:r>
        <w:rPr>
          <w:rFonts w:ascii="Times New Roman" w:hAnsi="Times New Roman"/>
          <w:b/>
          <w:bCs/>
          <w:sz w:val="24"/>
          <w:szCs w:val="24"/>
        </w:rPr>
        <w:lastRenderedPageBreak/>
        <w:t>6. pants.</w:t>
      </w:r>
    </w:p>
    <w:p w14:paraId="410E9F51" w14:textId="77777777" w:rsidR="00234310" w:rsidRDefault="00234310" w:rsidP="00A74E8F">
      <w:pPr>
        <w:keepNext/>
        <w:spacing w:after="0" w:line="240" w:lineRule="auto"/>
        <w:ind w:left="446"/>
        <w:outlineLvl w:val="3"/>
        <w:rPr>
          <w:rFonts w:ascii="Times New Roman" w:eastAsia="Times New Roman" w:hAnsi="Times New Roman" w:cs="Times New Roman"/>
          <w:b/>
          <w:bCs/>
          <w:sz w:val="24"/>
          <w:szCs w:val="24"/>
          <w:lang w:eastAsia="fr-FR"/>
        </w:rPr>
      </w:pPr>
    </w:p>
    <w:p w14:paraId="6902AD88" w14:textId="77777777" w:rsidR="00ED3F8B" w:rsidRPr="00970505" w:rsidRDefault="00ED3F8B" w:rsidP="00A74E8F">
      <w:pPr>
        <w:keepNext/>
        <w:spacing w:after="0" w:line="240" w:lineRule="auto"/>
        <w:ind w:left="446"/>
        <w:outlineLvl w:val="3"/>
        <w:rPr>
          <w:rFonts w:ascii="Times New Roman" w:eastAsia="Times New Roman" w:hAnsi="Times New Roman" w:cs="Times New Roman"/>
          <w:b/>
          <w:bCs/>
          <w:sz w:val="24"/>
          <w:szCs w:val="24"/>
          <w:lang w:eastAsia="fr-FR"/>
        </w:rPr>
      </w:pPr>
    </w:p>
    <w:p w14:paraId="26C822B5" w14:textId="77777777" w:rsidR="00FB0990" w:rsidRPr="00970505" w:rsidRDefault="004C4E44" w:rsidP="00A74E8F">
      <w:pPr>
        <w:keepNext/>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I. — Detaļu saraksti</w:t>
      </w:r>
    </w:p>
    <w:p w14:paraId="66E84D99" w14:textId="77777777" w:rsidR="004C4E44" w:rsidRPr="00970505" w:rsidRDefault="004C4E44" w:rsidP="00A74E8F">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Katrai iekārtu kategorijai ir izstrādāti divi detaļu saraksti:</w:t>
      </w:r>
    </w:p>
    <w:p w14:paraId="78F5CA3C" w14:textId="77777777" w:rsidR="00FB0990" w:rsidRDefault="00FB0990" w:rsidP="00A74E8F">
      <w:pPr>
        <w:keepNext/>
        <w:spacing w:after="0" w:line="240" w:lineRule="auto"/>
        <w:ind w:left="450"/>
        <w:rPr>
          <w:rFonts w:ascii="Times New Roman" w:eastAsia="Times New Roman" w:hAnsi="Times New Roman" w:cs="Times New Roman"/>
          <w:sz w:val="24"/>
          <w:szCs w:val="24"/>
          <w:lang w:eastAsia="fr-FR"/>
        </w:rPr>
      </w:pPr>
    </w:p>
    <w:p w14:paraId="085C4FF8" w14:textId="77777777" w:rsidR="00ED3F8B" w:rsidRPr="00970505" w:rsidRDefault="00ED3F8B" w:rsidP="00A74E8F">
      <w:pPr>
        <w:keepNext/>
        <w:spacing w:after="0" w:line="240" w:lineRule="auto"/>
        <w:ind w:left="450"/>
        <w:rPr>
          <w:rFonts w:ascii="Times New Roman" w:eastAsia="Times New Roman" w:hAnsi="Times New Roman" w:cs="Times New Roman"/>
          <w:sz w:val="24"/>
          <w:szCs w:val="24"/>
          <w:lang w:eastAsia="fr-FR"/>
        </w:rPr>
      </w:pPr>
    </w:p>
    <w:p w14:paraId="58748D6C"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 2. saraksts — saraksts ar ne vairāk kā trim līdz piecām atsevišķām detaļām (atkarībā no attiecīgās iekārtas kategorijas), kuru salūšana vai sabojāšanās notiek visbiežāk,</w:t>
      </w:r>
    </w:p>
    <w:p w14:paraId="0A624825" w14:textId="77777777" w:rsidR="004C4E44"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 1. saraksts — saraksts ar ne vairāk kā desmit citām atsevišķām detaļām (atkarībā no attiecīgās iekārtas kategorijas), kuru atrašanās labā stāvoklī ir nepieciešama iekārtas darbībai.</w:t>
      </w:r>
    </w:p>
    <w:p w14:paraId="77767A19"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Šie saraksti ne obligāti ietver visas detaļas, kas veido iekārtu.</w:t>
      </w:r>
    </w:p>
    <w:p w14:paraId="1736F5F0" w14:textId="77777777" w:rsidR="00FB0990" w:rsidRPr="00970505" w:rsidRDefault="004C4E44" w:rsidP="00A74E8F">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II. — Posma jēdziens</w:t>
      </w:r>
    </w:p>
    <w:p w14:paraId="3285BE8C"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Posms ir darbība, kuras rezultātā tiek noņemta kāda sastāvdaļa vai detaļa vai nomainīts kāds rīks. Sastāvdaļa var ietvert vienu vai vairākas detaļas.</w:t>
      </w:r>
    </w:p>
    <w:p w14:paraId="4FEBC9D7"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Šai vispārīgai definīcijai var piemērot izņēmumus, kurus pamato praktiski vai drošības apsvērumi. Šos izņēmumus ar vides ministra un ekonomikas un finanšu ministra rīkojumu nosaka katrai iekārtu kategorijai.</w:t>
      </w:r>
    </w:p>
    <w:p w14:paraId="23AB13CD"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Stiprinājumus vai savienojumus definē kā montāžas, nostiprināšanas vai blīvēšanas paņēmienus. Stiprinājumu vai savienojumu elementi netiek uzskatīti par detaļām.</w:t>
      </w:r>
    </w:p>
    <w:p w14:paraId="75235904" w14:textId="77777777" w:rsidR="00FB0990" w:rsidRPr="00970505" w:rsidRDefault="004C4E44" w:rsidP="00A74E8F">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III. — Stiprinājumu veidi</w:t>
      </w:r>
    </w:p>
    <w:p w14:paraId="681ADB79"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Noņemami un atkārtoti izmantojami — oriģinālā stiprinājumu sistēma, kuru var pilnībā noņemt, nesabojājot iekārtu un neatstājot atlikumus, un to var izmantot atkārtoti.</w:t>
      </w:r>
    </w:p>
    <w:p w14:paraId="696295E2"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Noņemami un atkārtoti neizmantojami — oriģinālā stiprinājumu sistēma, kuru var pilnībā noņemt, nesabojājot iekārtu un neatstājot atlikumus, bet nevar izmantot atkārtoti.</w:t>
      </w:r>
    </w:p>
    <w:p w14:paraId="061CF2A5" w14:textId="77777777" w:rsidR="00FB0990"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Nenoņemami un atkārtoti neizmantojami — oriģinālā stiprinājumu sistēma, kuru nevar pilnībā noņemt, nesabojājot iekārtu un neatstājot atlikumus, un to nevar izmantot atkārtoti.</w:t>
      </w:r>
    </w:p>
    <w:p w14:paraId="1F955ADE" w14:textId="77777777" w:rsidR="00FB0990" w:rsidRPr="00970505" w:rsidRDefault="004C4E44" w:rsidP="00A74E8F">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IV. — Rīku veidi</w:t>
      </w:r>
    </w:p>
    <w:p w14:paraId="3FCBAF98" w14:textId="77777777" w:rsidR="004C4E44" w:rsidRPr="00970505" w:rsidRDefault="004C4E44" w:rsidP="00A74E8F">
      <w:pPr>
        <w:keepNext/>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Parasto rīku saraksts sastāv no turpmāk sniegtā saraksta, kas atbilst atsauces standartiem.</w:t>
      </w:r>
    </w:p>
    <w:p w14:paraId="041C35DC" w14:textId="77777777" w:rsidR="004C4E44" w:rsidRDefault="004C4E44" w:rsidP="00A74E8F">
      <w:pPr>
        <w:keepNext/>
        <w:spacing w:after="0" w:line="240" w:lineRule="auto"/>
        <w:rPr>
          <w:rFonts w:ascii="Times New Roman" w:eastAsia="Times New Roman" w:hAnsi="Times New Roman" w:cs="Times New Roman"/>
          <w:sz w:val="24"/>
          <w:szCs w:val="24"/>
          <w:lang w:eastAsia="fr-FR"/>
        </w:rPr>
      </w:pPr>
    </w:p>
    <w:p w14:paraId="494AF204" w14:textId="77777777" w:rsidR="00ED3F8B" w:rsidRPr="00970505" w:rsidRDefault="00ED3F8B" w:rsidP="00A74E8F">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98"/>
        <w:gridCol w:w="2758"/>
      </w:tblGrid>
      <w:tr w:rsidR="004C4E44" w:rsidRPr="00970505" w14:paraId="069D516C"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B336D07" w14:textId="77777777"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14:paraId="5EEA7CC2" w14:textId="77777777" w:rsidR="004C4E44" w:rsidRPr="00970505" w:rsidRDefault="004C4E44" w:rsidP="00A74E8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Parastie rīki</w:t>
            </w:r>
          </w:p>
        </w:tc>
        <w:tc>
          <w:tcPr>
            <w:tcW w:w="0" w:type="auto"/>
            <w:tcBorders>
              <w:top w:val="outset" w:sz="6" w:space="0" w:color="auto"/>
              <w:left w:val="outset" w:sz="6" w:space="0" w:color="auto"/>
              <w:bottom w:val="outset" w:sz="6" w:space="0" w:color="auto"/>
              <w:right w:val="outset" w:sz="6" w:space="0" w:color="auto"/>
            </w:tcBorders>
            <w:vAlign w:val="center"/>
            <w:hideMark/>
          </w:tcPr>
          <w:p w14:paraId="64C108CC" w14:textId="77777777"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14:paraId="5C7B70A5" w14:textId="77777777" w:rsidR="004C4E44" w:rsidRPr="00970505" w:rsidRDefault="004C4E44" w:rsidP="00A74E8F">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Atsauce</w:t>
            </w:r>
          </w:p>
        </w:tc>
      </w:tr>
      <w:tr w:rsidR="004C4E44" w:rsidRPr="00970505" w14:paraId="4D5E3D23"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C4949CA"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02A0B503"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Skrūvgriezis ar rievotu galvu, krustveida ierobi un sešām iekšējām daivām</w:t>
            </w:r>
          </w:p>
        </w:tc>
        <w:tc>
          <w:tcPr>
            <w:tcW w:w="0" w:type="auto"/>
            <w:tcBorders>
              <w:top w:val="outset" w:sz="6" w:space="0" w:color="auto"/>
              <w:left w:val="outset" w:sz="6" w:space="0" w:color="auto"/>
              <w:bottom w:val="outset" w:sz="6" w:space="0" w:color="auto"/>
              <w:right w:val="outset" w:sz="6" w:space="0" w:color="auto"/>
            </w:tcBorders>
            <w:vAlign w:val="center"/>
            <w:hideMark/>
          </w:tcPr>
          <w:p w14:paraId="6A4CD368"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20573A24"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ISO 2380, ISO 8764, ISO 10664</w:t>
            </w:r>
          </w:p>
        </w:tc>
      </w:tr>
      <w:tr w:rsidR="004C4E44" w:rsidRPr="00970505" w14:paraId="425E7343"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35C3B30"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7457613F"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Uzgriežņu atslēga ar sešstūra ligzdu</w:t>
            </w:r>
          </w:p>
        </w:tc>
        <w:tc>
          <w:tcPr>
            <w:tcW w:w="0" w:type="auto"/>
            <w:tcBorders>
              <w:top w:val="outset" w:sz="6" w:space="0" w:color="auto"/>
              <w:left w:val="outset" w:sz="6" w:space="0" w:color="auto"/>
              <w:bottom w:val="outset" w:sz="6" w:space="0" w:color="auto"/>
              <w:right w:val="outset" w:sz="6" w:space="0" w:color="auto"/>
            </w:tcBorders>
            <w:vAlign w:val="center"/>
            <w:hideMark/>
          </w:tcPr>
          <w:p w14:paraId="573AB2A9"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01E4D224"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ISO 2936</w:t>
            </w:r>
          </w:p>
        </w:tc>
      </w:tr>
      <w:tr w:rsidR="004C4E44" w:rsidRPr="00970505" w14:paraId="2F3FB098"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C78B66C"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7DFB18FC"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Jaukta tipa uzgriežņu atslēga</w:t>
            </w:r>
          </w:p>
        </w:tc>
        <w:tc>
          <w:tcPr>
            <w:tcW w:w="0" w:type="auto"/>
            <w:tcBorders>
              <w:top w:val="outset" w:sz="6" w:space="0" w:color="auto"/>
              <w:left w:val="outset" w:sz="6" w:space="0" w:color="auto"/>
              <w:bottom w:val="outset" w:sz="6" w:space="0" w:color="auto"/>
              <w:right w:val="outset" w:sz="6" w:space="0" w:color="auto"/>
            </w:tcBorders>
            <w:vAlign w:val="center"/>
            <w:hideMark/>
          </w:tcPr>
          <w:p w14:paraId="24FA6DE4"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36567E7F"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ISO 7738</w:t>
            </w:r>
          </w:p>
        </w:tc>
      </w:tr>
      <w:tr w:rsidR="004C4E44" w:rsidRPr="00970505" w14:paraId="06821DB2"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66849F"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2CFA9397"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Universālas knaibles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3FCDACE"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3662C73C"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ISO 5746</w:t>
            </w:r>
          </w:p>
        </w:tc>
      </w:tr>
      <w:tr w:rsidR="004C4E44" w:rsidRPr="00970505" w14:paraId="38B27A28"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8B9E16C"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1E09C913"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Knaibles ar pusapaļiem galiem</w:t>
            </w:r>
          </w:p>
        </w:tc>
        <w:tc>
          <w:tcPr>
            <w:tcW w:w="0" w:type="auto"/>
            <w:tcBorders>
              <w:top w:val="outset" w:sz="6" w:space="0" w:color="auto"/>
              <w:left w:val="outset" w:sz="6" w:space="0" w:color="auto"/>
              <w:bottom w:val="outset" w:sz="6" w:space="0" w:color="auto"/>
              <w:right w:val="outset" w:sz="6" w:space="0" w:color="auto"/>
            </w:tcBorders>
            <w:vAlign w:val="center"/>
            <w:hideMark/>
          </w:tcPr>
          <w:p w14:paraId="78739366"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04EAA46C"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ISO 5745</w:t>
            </w:r>
          </w:p>
        </w:tc>
      </w:tr>
      <w:tr w:rsidR="004C4E44" w:rsidRPr="00970505" w14:paraId="51D58931"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2052FD7"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0C0926BF"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Diagonālgriezuma knaibles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620267B"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2A712642"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ISO 5749</w:t>
            </w:r>
          </w:p>
        </w:tc>
      </w:tr>
      <w:tr w:rsidR="004C4E44" w:rsidRPr="00970505" w14:paraId="25CEBBC5"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7FD0721"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110726CD"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Plakanknaibles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84796"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6D8F1969"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ISO 8976</w:t>
            </w:r>
          </w:p>
        </w:tc>
      </w:tr>
      <w:tr w:rsidR="004C4E44" w:rsidRPr="00970505" w14:paraId="36A4B2B7"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7063A54"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14F8601E"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Bloķēšanas knaibles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78C09D6"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72620D4A"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w:t>
            </w:r>
          </w:p>
        </w:tc>
      </w:tr>
      <w:tr w:rsidR="004C4E44" w:rsidRPr="00970505" w14:paraId="2BBF256B"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768E06F"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3D76E6E1"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Universālas knaibles izolācijas noņemšanai no vadu galiem un to savienošanai</w:t>
            </w:r>
          </w:p>
        </w:tc>
        <w:tc>
          <w:tcPr>
            <w:tcW w:w="0" w:type="auto"/>
            <w:tcBorders>
              <w:top w:val="outset" w:sz="6" w:space="0" w:color="auto"/>
              <w:left w:val="outset" w:sz="6" w:space="0" w:color="auto"/>
              <w:bottom w:val="outset" w:sz="6" w:space="0" w:color="auto"/>
              <w:right w:val="outset" w:sz="6" w:space="0" w:color="auto"/>
            </w:tcBorders>
            <w:vAlign w:val="center"/>
            <w:hideMark/>
          </w:tcPr>
          <w:p w14:paraId="15841670"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075D9238"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w:t>
            </w:r>
          </w:p>
        </w:tc>
      </w:tr>
      <w:tr w:rsidR="004C4E44" w:rsidRPr="00970505" w14:paraId="1C0D07EE"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0B40C0"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4DBFFF82"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Svira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59B9FE6F"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4F62CADB"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w:t>
            </w:r>
          </w:p>
        </w:tc>
      </w:tr>
      <w:tr w:rsidR="004C4E44" w:rsidRPr="00970505" w14:paraId="4773306A"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F5FD2B"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09FE2DF2"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Pincete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7354FCA"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5342DF09"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w:t>
            </w:r>
          </w:p>
        </w:tc>
      </w:tr>
      <w:tr w:rsidR="004C4E44" w:rsidRPr="00970505" w14:paraId="036DC00B"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9152BAD"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2C39452B"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Āmurs (ar metāla galvu)</w:t>
            </w:r>
          </w:p>
        </w:tc>
        <w:tc>
          <w:tcPr>
            <w:tcW w:w="0" w:type="auto"/>
            <w:tcBorders>
              <w:top w:val="outset" w:sz="6" w:space="0" w:color="auto"/>
              <w:left w:val="outset" w:sz="6" w:space="0" w:color="auto"/>
              <w:bottom w:val="outset" w:sz="6" w:space="0" w:color="auto"/>
              <w:right w:val="outset" w:sz="6" w:space="0" w:color="auto"/>
            </w:tcBorders>
            <w:vAlign w:val="center"/>
            <w:hideMark/>
          </w:tcPr>
          <w:p w14:paraId="2C1F5ABD"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49E8CF83"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ISO 15601</w:t>
            </w:r>
          </w:p>
        </w:tc>
      </w:tr>
      <w:tr w:rsidR="004C4E44" w:rsidRPr="00970505" w14:paraId="08A2A3DC"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6D053E"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056EEB8D"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Universāls nazis (griezējs) ar atlokāmu asmeni</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F3367"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7873AC37"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w:t>
            </w:r>
          </w:p>
        </w:tc>
      </w:tr>
      <w:tr w:rsidR="004C4E44" w:rsidRPr="00970505" w14:paraId="1745CBC5"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274D55C"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372A0B3B"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Multimetrs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FDA3FC"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3788D450"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w:t>
            </w:r>
          </w:p>
        </w:tc>
      </w:tr>
      <w:tr w:rsidR="004C4E44" w:rsidRPr="00970505" w14:paraId="7360ED4D"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BA6FBB6"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00136956"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Voltmetrs (sprieguma noteicējs)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BCB13B"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78E7E59F"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w:t>
            </w:r>
          </w:p>
        </w:tc>
      </w:tr>
      <w:tr w:rsidR="004C4E44" w:rsidRPr="00970505" w14:paraId="4779B510"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7CAA5E"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11A0BAAF"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Lodāmurs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67994"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051310D7"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w:t>
            </w:r>
          </w:p>
        </w:tc>
      </w:tr>
      <w:tr w:rsidR="004C4E44" w:rsidRPr="00970505" w14:paraId="28554D16"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324000E"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3722D960"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Līmes pistole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A0BDE"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69A6353D"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w:t>
            </w:r>
          </w:p>
        </w:tc>
      </w:tr>
      <w:tr w:rsidR="004C4E44" w:rsidRPr="00970505" w14:paraId="39EDB42D" w14:textId="77777777"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B7B1C5B"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6CFBC751"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Lupa</w:t>
            </w:r>
          </w:p>
        </w:tc>
        <w:tc>
          <w:tcPr>
            <w:tcW w:w="0" w:type="auto"/>
            <w:tcBorders>
              <w:top w:val="outset" w:sz="6" w:space="0" w:color="auto"/>
              <w:left w:val="outset" w:sz="6" w:space="0" w:color="auto"/>
              <w:bottom w:val="outset" w:sz="6" w:space="0" w:color="auto"/>
              <w:right w:val="outset" w:sz="6" w:space="0" w:color="auto"/>
            </w:tcBorders>
            <w:vAlign w:val="center"/>
            <w:hideMark/>
          </w:tcPr>
          <w:p w14:paraId="121A5CCC"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1866C704"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w:t>
            </w:r>
          </w:p>
        </w:tc>
      </w:tr>
    </w:tbl>
    <w:p w14:paraId="6F260660"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20CF7D86" w14:textId="77777777" w:rsidR="004C4E44" w:rsidRPr="00970505" w:rsidRDefault="004C4E44" w:rsidP="00ED3F8B">
      <w:pPr>
        <w:spacing w:after="0" w:line="240" w:lineRule="auto"/>
        <w:rPr>
          <w:rFonts w:ascii="Times New Roman" w:eastAsia="Times New Roman" w:hAnsi="Times New Roman" w:cs="Times New Roman"/>
          <w:sz w:val="24"/>
          <w:szCs w:val="24"/>
          <w:lang w:eastAsia="fr-FR"/>
        </w:rPr>
      </w:pPr>
    </w:p>
    <w:p w14:paraId="530F3FD7"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Īpašie rīki ir rīki, kas nav iekļauti parasto rīku sarakstā, ja vien tie nav patentēti rīki.</w:t>
      </w:r>
    </w:p>
    <w:p w14:paraId="0B1103DC"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Patentētie rīki ir rīki, kuru intelektuālais īpašums pieder ražotājam vai konkrētam dalībniekam.</w:t>
      </w:r>
    </w:p>
    <w:p w14:paraId="26CDBFDA" w14:textId="77777777" w:rsidR="00FB0990" w:rsidRPr="00970505"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V. — Lietošanas skaitītājs</w:t>
      </w:r>
    </w:p>
    <w:p w14:paraId="3E45D920" w14:textId="77777777" w:rsidR="004C4E44" w:rsidRDefault="004C4E44" w:rsidP="00ED3F8B">
      <w:pPr>
        <w:spacing w:after="0" w:line="240" w:lineRule="auto"/>
        <w:ind w:left="446"/>
        <w:rPr>
          <w:rFonts w:ascii="Times New Roman" w:eastAsia="Times New Roman" w:hAnsi="Times New Roman" w:cs="Times New Roman"/>
          <w:sz w:val="24"/>
          <w:szCs w:val="24"/>
        </w:rPr>
      </w:pPr>
      <w:r>
        <w:rPr>
          <w:rFonts w:ascii="Times New Roman" w:hAnsi="Times New Roman"/>
          <w:sz w:val="24"/>
          <w:szCs w:val="24"/>
        </w:rPr>
        <w:t>Ierīce, kas kumulatīvi reģistrē iekārtas lietošanu, uzskaitot vienības. Lietošanas skaitītājs var būt tieši redzams patērētājam katru reizi, kad iekārta tiek ieslēgta, vai arī lietotājam var būt nepieciešama brīvprātīga darbība, lai viņš uzzinātu lietošanas skaitītāja rādījumus.</w:t>
      </w:r>
    </w:p>
    <w:p w14:paraId="18A76CAE" w14:textId="77777777" w:rsidR="00ED3F8B" w:rsidRPr="00970505" w:rsidRDefault="00ED3F8B" w:rsidP="00ED3F8B">
      <w:pPr>
        <w:spacing w:after="0" w:line="240" w:lineRule="auto"/>
        <w:ind w:left="446"/>
        <w:rPr>
          <w:rFonts w:ascii="Times New Roman" w:eastAsia="Times New Roman" w:hAnsi="Times New Roman" w:cs="Times New Roman"/>
          <w:sz w:val="24"/>
          <w:szCs w:val="24"/>
          <w:lang w:eastAsia="fr-FR"/>
        </w:rPr>
      </w:pPr>
    </w:p>
    <w:p w14:paraId="6A0110B2" w14:textId="77777777" w:rsidR="004C4E44" w:rsidRDefault="004C4E44" w:rsidP="00A74E8F">
      <w:pPr>
        <w:keepNext/>
        <w:spacing w:after="0" w:line="240" w:lineRule="auto"/>
        <w:ind w:left="446"/>
        <w:outlineLvl w:val="3"/>
        <w:rPr>
          <w:rFonts w:ascii="Times New Roman" w:eastAsia="Times New Roman" w:hAnsi="Times New Roman" w:cs="Times New Roman"/>
          <w:b/>
          <w:bCs/>
          <w:sz w:val="24"/>
          <w:szCs w:val="24"/>
        </w:rPr>
      </w:pPr>
      <w:r>
        <w:rPr>
          <w:rFonts w:ascii="Times New Roman" w:hAnsi="Times New Roman"/>
          <w:b/>
          <w:bCs/>
          <w:sz w:val="24"/>
          <w:szCs w:val="24"/>
        </w:rPr>
        <w:t>7. pants.</w:t>
      </w:r>
    </w:p>
    <w:p w14:paraId="45EA736D" w14:textId="77777777" w:rsidR="00ED3F8B" w:rsidRPr="00970505" w:rsidRDefault="00ED3F8B" w:rsidP="00A74E8F">
      <w:pPr>
        <w:keepNext/>
        <w:spacing w:after="0" w:line="240" w:lineRule="auto"/>
        <w:ind w:left="446"/>
        <w:outlineLvl w:val="3"/>
        <w:rPr>
          <w:rFonts w:ascii="Times New Roman" w:eastAsia="Times New Roman" w:hAnsi="Times New Roman" w:cs="Times New Roman"/>
          <w:b/>
          <w:bCs/>
          <w:sz w:val="24"/>
          <w:szCs w:val="24"/>
          <w:lang w:eastAsia="fr-FR"/>
        </w:rPr>
      </w:pPr>
    </w:p>
    <w:p w14:paraId="4E5AF29D" w14:textId="77777777" w:rsidR="00FB0990" w:rsidRPr="00970505" w:rsidRDefault="00FB0990" w:rsidP="00A74E8F">
      <w:pPr>
        <w:keepNext/>
        <w:spacing w:after="0" w:line="240" w:lineRule="auto"/>
        <w:ind w:left="450"/>
        <w:rPr>
          <w:rFonts w:ascii="Times New Roman" w:eastAsia="Times New Roman" w:hAnsi="Times New Roman" w:cs="Times New Roman"/>
          <w:sz w:val="24"/>
          <w:szCs w:val="24"/>
          <w:lang w:eastAsia="fr-FR"/>
        </w:rPr>
      </w:pPr>
    </w:p>
    <w:p w14:paraId="121A5EF5" w14:textId="77777777" w:rsidR="004C4E44"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Šā rīkojuma noteikumi stājas spēkā 2021. gada 1. janvārī.</w:t>
      </w:r>
    </w:p>
    <w:p w14:paraId="18B9A264" w14:textId="77777777" w:rsidR="00ED3F8B" w:rsidRPr="00970505" w:rsidRDefault="00ED3F8B" w:rsidP="00ED3F8B">
      <w:pPr>
        <w:spacing w:after="0" w:line="240" w:lineRule="auto"/>
        <w:ind w:left="450"/>
        <w:rPr>
          <w:rFonts w:ascii="Times New Roman" w:eastAsia="Times New Roman" w:hAnsi="Times New Roman" w:cs="Times New Roman"/>
          <w:sz w:val="24"/>
          <w:szCs w:val="24"/>
          <w:lang w:eastAsia="fr-FR"/>
        </w:rPr>
      </w:pPr>
    </w:p>
    <w:p w14:paraId="24979173" w14:textId="77777777" w:rsidR="004C4E44" w:rsidRPr="00970505" w:rsidRDefault="004C4E44" w:rsidP="00A74E8F">
      <w:pPr>
        <w:keepNext/>
        <w:spacing w:after="0" w:line="240" w:lineRule="auto"/>
        <w:ind w:left="446"/>
        <w:outlineLvl w:val="3"/>
        <w:rPr>
          <w:rFonts w:ascii="Times New Roman" w:eastAsia="Times New Roman" w:hAnsi="Times New Roman" w:cs="Times New Roman"/>
          <w:b/>
          <w:bCs/>
          <w:sz w:val="24"/>
          <w:szCs w:val="24"/>
        </w:rPr>
      </w:pPr>
      <w:r>
        <w:rPr>
          <w:rFonts w:ascii="Times New Roman" w:hAnsi="Times New Roman"/>
          <w:b/>
          <w:bCs/>
          <w:sz w:val="24"/>
          <w:szCs w:val="24"/>
        </w:rPr>
        <w:t>8. pants.</w:t>
      </w:r>
    </w:p>
    <w:p w14:paraId="65B3A851" w14:textId="77777777" w:rsidR="00FB0990" w:rsidRDefault="00FB0990" w:rsidP="00A74E8F">
      <w:pPr>
        <w:keepNext/>
        <w:spacing w:after="0" w:line="240" w:lineRule="auto"/>
        <w:ind w:left="450"/>
        <w:rPr>
          <w:rFonts w:ascii="Times New Roman" w:eastAsia="Times New Roman" w:hAnsi="Times New Roman" w:cs="Times New Roman"/>
          <w:sz w:val="24"/>
          <w:szCs w:val="24"/>
          <w:lang w:eastAsia="fr-FR"/>
        </w:rPr>
      </w:pPr>
    </w:p>
    <w:p w14:paraId="384D0677" w14:textId="77777777" w:rsidR="00ED3F8B" w:rsidRPr="00970505" w:rsidRDefault="00ED3F8B" w:rsidP="00A74E8F">
      <w:pPr>
        <w:keepNext/>
        <w:spacing w:after="0" w:line="240" w:lineRule="auto"/>
        <w:ind w:left="450"/>
        <w:rPr>
          <w:rFonts w:ascii="Times New Roman" w:eastAsia="Times New Roman" w:hAnsi="Times New Roman" w:cs="Times New Roman"/>
          <w:sz w:val="24"/>
          <w:szCs w:val="24"/>
          <w:lang w:eastAsia="fr-FR"/>
        </w:rPr>
      </w:pPr>
    </w:p>
    <w:p w14:paraId="7DFDD14D" w14:textId="77777777" w:rsidR="004C4E44" w:rsidRPr="00970505" w:rsidRDefault="004C4E44" w:rsidP="00ED3F8B">
      <w:pPr>
        <w:spacing w:after="0" w:line="240" w:lineRule="auto"/>
        <w:ind w:left="450"/>
        <w:rPr>
          <w:rFonts w:ascii="Times New Roman" w:eastAsia="Times New Roman" w:hAnsi="Times New Roman" w:cs="Times New Roman"/>
          <w:sz w:val="24"/>
          <w:szCs w:val="24"/>
        </w:rPr>
      </w:pPr>
      <w:r>
        <w:rPr>
          <w:rFonts w:ascii="Times New Roman" w:hAnsi="Times New Roman"/>
          <w:sz w:val="24"/>
          <w:szCs w:val="24"/>
        </w:rPr>
        <w:t>Šis rīkojums tiks publicēts Journal officiel de la République française [Francijas Republikas oficiālajā vēstnesī].</w:t>
      </w:r>
    </w:p>
    <w:p w14:paraId="0D538185" w14:textId="77777777" w:rsidR="00FB0990" w:rsidRDefault="00FB0990" w:rsidP="00ED3F8B">
      <w:pPr>
        <w:spacing w:after="0" w:line="240" w:lineRule="auto"/>
        <w:rPr>
          <w:rFonts w:ascii="Times New Roman" w:eastAsia="Times New Roman" w:hAnsi="Times New Roman" w:cs="Times New Roman"/>
          <w:sz w:val="24"/>
          <w:szCs w:val="24"/>
          <w:lang w:eastAsia="fr-FR"/>
        </w:rPr>
      </w:pPr>
    </w:p>
    <w:p w14:paraId="579C793F" w14:textId="77777777" w:rsidR="00F23DB7" w:rsidRPr="00970505" w:rsidRDefault="00F23DB7" w:rsidP="00ED3F8B">
      <w:pPr>
        <w:spacing w:after="0" w:line="240" w:lineRule="auto"/>
        <w:rPr>
          <w:rFonts w:ascii="Times New Roman" w:eastAsia="Times New Roman" w:hAnsi="Times New Roman" w:cs="Times New Roman"/>
          <w:sz w:val="24"/>
          <w:szCs w:val="24"/>
          <w:lang w:eastAsia="fr-FR"/>
        </w:rPr>
      </w:pPr>
    </w:p>
    <w:p w14:paraId="28E44CFD"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2020. gada 29. decembrī.</w:t>
      </w:r>
    </w:p>
    <w:p w14:paraId="596A5D5A" w14:textId="77777777" w:rsidR="00FB0990" w:rsidRPr="00970505" w:rsidRDefault="00FB0990" w:rsidP="00ED3F8B">
      <w:pPr>
        <w:spacing w:after="0" w:line="240" w:lineRule="auto"/>
        <w:rPr>
          <w:rFonts w:ascii="Times New Roman" w:eastAsia="Times New Roman" w:hAnsi="Times New Roman" w:cs="Times New Roman"/>
          <w:sz w:val="24"/>
          <w:szCs w:val="24"/>
          <w:lang w:eastAsia="fr-FR"/>
        </w:rPr>
      </w:pPr>
    </w:p>
    <w:p w14:paraId="608C1E8F" w14:textId="77777777"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Zaļās pārkārtošanās ministre,</w:t>
      </w:r>
    </w:p>
    <w:p w14:paraId="7A7D3E1F" w14:textId="77777777"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ministres vārdā un uzdevumā —</w:t>
      </w:r>
    </w:p>
    <w:p w14:paraId="31C513DD" w14:textId="77777777"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ilgtspējīgas attīstības ģenerālkomisārs</w:t>
      </w:r>
    </w:p>
    <w:p w14:paraId="7097CEA3"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i/>
          <w:sz w:val="24"/>
          <w:szCs w:val="24"/>
        </w:rPr>
        <w:t>T. Lesueur</w:t>
      </w:r>
    </w:p>
    <w:p w14:paraId="0ADF3CC1" w14:textId="77777777" w:rsidR="00FB0990" w:rsidRDefault="00FB0990" w:rsidP="00ED3F8B">
      <w:pPr>
        <w:spacing w:after="0" w:line="240" w:lineRule="auto"/>
        <w:rPr>
          <w:rFonts w:ascii="Times New Roman" w:eastAsia="Times New Roman" w:hAnsi="Times New Roman" w:cs="Times New Roman"/>
          <w:sz w:val="24"/>
          <w:szCs w:val="24"/>
          <w:lang w:eastAsia="fr-FR"/>
        </w:rPr>
      </w:pPr>
    </w:p>
    <w:p w14:paraId="312A5D34" w14:textId="77777777" w:rsidR="00ED3F8B" w:rsidRPr="00970505" w:rsidRDefault="00ED3F8B" w:rsidP="00ED3F8B">
      <w:pPr>
        <w:spacing w:after="0" w:line="240" w:lineRule="auto"/>
        <w:rPr>
          <w:rFonts w:ascii="Times New Roman" w:eastAsia="Times New Roman" w:hAnsi="Times New Roman" w:cs="Times New Roman"/>
          <w:sz w:val="24"/>
          <w:szCs w:val="24"/>
          <w:lang w:eastAsia="fr-FR"/>
        </w:rPr>
      </w:pPr>
    </w:p>
    <w:p w14:paraId="41466A5C" w14:textId="77777777"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Ekonomikas, finanšu un atveseļošanas ministrs,</w:t>
      </w:r>
    </w:p>
    <w:p w14:paraId="456B166D" w14:textId="77777777"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ministra vārdā un uzdevumā —</w:t>
      </w:r>
    </w:p>
    <w:p w14:paraId="3848269E" w14:textId="77777777" w:rsidR="00FB0990"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sz w:val="24"/>
          <w:szCs w:val="24"/>
        </w:rPr>
        <w:t>konkurences, patērētāju aizsardzības un krāpšanas apkarošanas ģenerāldirektore</w:t>
      </w:r>
    </w:p>
    <w:p w14:paraId="42FE5F21" w14:textId="77777777" w:rsidR="004C4E44" w:rsidRPr="00970505" w:rsidRDefault="004C4E44" w:rsidP="00ED3F8B">
      <w:pPr>
        <w:spacing w:after="0" w:line="240" w:lineRule="auto"/>
        <w:rPr>
          <w:rFonts w:ascii="Times New Roman" w:eastAsia="Times New Roman" w:hAnsi="Times New Roman" w:cs="Times New Roman"/>
          <w:sz w:val="24"/>
          <w:szCs w:val="24"/>
        </w:rPr>
      </w:pPr>
      <w:r>
        <w:rPr>
          <w:rFonts w:ascii="Times New Roman" w:hAnsi="Times New Roman"/>
          <w:i/>
          <w:sz w:val="24"/>
          <w:szCs w:val="24"/>
        </w:rPr>
        <w:t>V. Beaumeunier</w:t>
      </w:r>
    </w:p>
    <w:sectPr w:rsidR="004C4E44" w:rsidRPr="009705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A2A20" w14:textId="77777777" w:rsidR="00AD2395" w:rsidRDefault="00AD2395" w:rsidP="00573A33">
      <w:pPr>
        <w:spacing w:after="0" w:line="240" w:lineRule="auto"/>
      </w:pPr>
      <w:r>
        <w:separator/>
      </w:r>
    </w:p>
  </w:endnote>
  <w:endnote w:type="continuationSeparator" w:id="0">
    <w:p w14:paraId="6CB02842" w14:textId="77777777" w:rsidR="00AD2395" w:rsidRDefault="00AD2395" w:rsidP="00573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9445C3" w14:textId="77777777" w:rsidR="00AD2395" w:rsidRDefault="00AD2395" w:rsidP="00573A33">
      <w:pPr>
        <w:spacing w:after="0" w:line="240" w:lineRule="auto"/>
      </w:pPr>
      <w:r>
        <w:separator/>
      </w:r>
    </w:p>
  </w:footnote>
  <w:footnote w:type="continuationSeparator" w:id="0">
    <w:p w14:paraId="285CE88F" w14:textId="77777777" w:rsidR="00AD2395" w:rsidRDefault="00AD2395" w:rsidP="00573A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proofState w:spelling="clean" w:grammar="clean"/>
  <w:defaultTabStop w:val="708"/>
  <w:hyphenationZone w:val="425"/>
  <w:doNotHyphenateCap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E44"/>
    <w:rsid w:val="00000018"/>
    <w:rsid w:val="000B7DA7"/>
    <w:rsid w:val="000F132F"/>
    <w:rsid w:val="00192BA8"/>
    <w:rsid w:val="00234310"/>
    <w:rsid w:val="00317D80"/>
    <w:rsid w:val="003D645A"/>
    <w:rsid w:val="004C4E44"/>
    <w:rsid w:val="004D0FF9"/>
    <w:rsid w:val="00573A33"/>
    <w:rsid w:val="009318CB"/>
    <w:rsid w:val="00970505"/>
    <w:rsid w:val="00A74E8F"/>
    <w:rsid w:val="00AD2395"/>
    <w:rsid w:val="00E53DB4"/>
    <w:rsid w:val="00ED3F8B"/>
    <w:rsid w:val="00F23DB7"/>
    <w:rsid w:val="00FB099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2C33F1"/>
  <w15:chartTrackingRefBased/>
  <w15:docId w15:val="{AA3F75DC-D5BD-40CC-AF8C-05B6F9D8C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A33"/>
    <w:pPr>
      <w:tabs>
        <w:tab w:val="center" w:pos="4320"/>
        <w:tab w:val="right" w:pos="8640"/>
      </w:tabs>
      <w:spacing w:after="0" w:line="240" w:lineRule="auto"/>
    </w:pPr>
  </w:style>
  <w:style w:type="character" w:customStyle="1" w:styleId="HeaderChar">
    <w:name w:val="Header Char"/>
    <w:basedOn w:val="DefaultParagraphFont"/>
    <w:link w:val="Header"/>
    <w:uiPriority w:val="99"/>
    <w:rsid w:val="00573A33"/>
  </w:style>
  <w:style w:type="paragraph" w:styleId="Footer">
    <w:name w:val="footer"/>
    <w:basedOn w:val="Normal"/>
    <w:link w:val="FooterChar"/>
    <w:uiPriority w:val="99"/>
    <w:unhideWhenUsed/>
    <w:rsid w:val="00573A33"/>
    <w:pPr>
      <w:tabs>
        <w:tab w:val="center" w:pos="4320"/>
        <w:tab w:val="right" w:pos="8640"/>
      </w:tabs>
      <w:spacing w:after="0" w:line="240" w:lineRule="auto"/>
    </w:pPr>
  </w:style>
  <w:style w:type="character" w:customStyle="1" w:styleId="FooterChar">
    <w:name w:val="Footer Char"/>
    <w:basedOn w:val="DefaultParagraphFont"/>
    <w:link w:val="Footer"/>
    <w:uiPriority w:val="99"/>
    <w:rsid w:val="00573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181901">
      <w:bodyDiv w:val="1"/>
      <w:marLeft w:val="0"/>
      <w:marRight w:val="0"/>
      <w:marTop w:val="0"/>
      <w:marBottom w:val="0"/>
      <w:divBdr>
        <w:top w:val="none" w:sz="0" w:space="0" w:color="auto"/>
        <w:left w:val="none" w:sz="0" w:space="0" w:color="auto"/>
        <w:bottom w:val="none" w:sz="0" w:space="0" w:color="auto"/>
        <w:right w:val="none" w:sz="0" w:space="0" w:color="auto"/>
      </w:divBdr>
    </w:div>
    <w:div w:id="1511601776">
      <w:bodyDiv w:val="1"/>
      <w:marLeft w:val="0"/>
      <w:marRight w:val="0"/>
      <w:marTop w:val="0"/>
      <w:marBottom w:val="0"/>
      <w:divBdr>
        <w:top w:val="none" w:sz="0" w:space="0" w:color="auto"/>
        <w:left w:val="none" w:sz="0" w:space="0" w:color="auto"/>
        <w:bottom w:val="none" w:sz="0" w:space="0" w:color="auto"/>
        <w:right w:val="none" w:sz="0" w:space="0" w:color="auto"/>
      </w:divBdr>
      <w:divsChild>
        <w:div w:id="451559851">
          <w:marLeft w:val="0"/>
          <w:marRight w:val="0"/>
          <w:marTop w:val="0"/>
          <w:marBottom w:val="0"/>
          <w:divBdr>
            <w:top w:val="none" w:sz="0" w:space="0" w:color="auto"/>
            <w:left w:val="none" w:sz="0" w:space="0" w:color="auto"/>
            <w:bottom w:val="none" w:sz="0" w:space="0" w:color="auto"/>
            <w:right w:val="none" w:sz="0" w:space="0" w:color="auto"/>
          </w:divBdr>
          <w:divsChild>
            <w:div w:id="1274484901">
              <w:marLeft w:val="0"/>
              <w:marRight w:val="0"/>
              <w:marTop w:val="0"/>
              <w:marBottom w:val="0"/>
              <w:divBdr>
                <w:top w:val="none" w:sz="0" w:space="0" w:color="auto"/>
                <w:left w:val="none" w:sz="0" w:space="0" w:color="auto"/>
                <w:bottom w:val="none" w:sz="0" w:space="0" w:color="auto"/>
                <w:right w:val="none" w:sz="0" w:space="0" w:color="auto"/>
              </w:divBdr>
            </w:div>
            <w:div w:id="50020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8163B9-A96E-47B1-A99C-A07EEA6B7E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F48440-920E-419E-BB95-26E6CD8A2035}">
  <ds:schemaRefs>
    <ds:schemaRef ds:uri="http://schemas.microsoft.com/sharepoint/v3/contenttype/forms"/>
  </ds:schemaRefs>
</ds:datastoreItem>
</file>

<file path=customXml/itemProps3.xml><?xml version="1.0" encoding="utf-8"?>
<ds:datastoreItem xmlns:ds="http://schemas.openxmlformats.org/officeDocument/2006/customXml" ds:itemID="{38D68643-B4E1-4B98-94AC-E3F669A95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1989</Words>
  <Characters>11338</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Malvine VERNERA</cp:lastModifiedBy>
  <cp:revision>11</cp:revision>
  <dcterms:created xsi:type="dcterms:W3CDTF">2021-01-04T15:30:00Z</dcterms:created>
  <dcterms:modified xsi:type="dcterms:W3CDTF">2021-02-16T14:05:00Z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