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</w:rPr>
        <w:t>1. ------IND- 2018 0178 S-- FI- ------ 20181122 --- --- FINAL</w:t>
      </w:r>
    </w:p>
    <w:p>
      <w:pPr>
        <w:pStyle w:val="Leipteksti"/>
        <w:rPr>
          <w:rFonts w:ascii="Times New Roman" w:hAnsi="Times New Roman" w:cs="Times New Roman"/>
          <w:b/>
          <w:b/>
          <w:w w:val="100"/>
          <w:sz w:val="26"/>
          <w:szCs w:val="26"/>
        </w:rPr>
      </w:pPr>
      <w:r>
        <w:rPr>
          <w:rFonts w:ascii="Times New Roman" w:hAnsi="Times New Roman"/>
          <w:b/>
          <w:w w:val="100"/>
          <w:sz w:val="26"/>
        </w:rPr>
        <w:t>LIFS 2018:4</w:t>
      </w:r>
    </w:p>
    <w:p>
      <w:pPr>
        <w:pStyle w:val="Leipteksti"/>
        <w:spacing w:before="0" w:after="240"/>
        <w:rPr>
          <w:rFonts w:ascii="Times New Roman" w:hAnsi="Times New Roman" w:cs="Times New Roman"/>
          <w:w w:val="100"/>
          <w:sz w:val="16"/>
          <w:szCs w:val="19"/>
        </w:rPr>
      </w:pPr>
      <w:r>
        <w:rPr>
          <w:rFonts w:ascii="Times New Roman" w:hAnsi="Times New Roman"/>
          <w:w w:val="100"/>
          <w:sz w:val="16"/>
        </w:rPr>
        <w:t>Ilmestynyt painosta</w:t>
      </w:r>
      <w:r>
        <w:rPr>
          <w:rFonts w:cs="Times New Roman" w:ascii="Times New Roman" w:hAnsi="Times New Roman"/>
          <w:w w:val="100"/>
          <w:sz w:val="16"/>
          <w:szCs w:val="19"/>
        </w:rPr>
        <w:br/>
      </w:r>
      <w:r>
        <w:rPr>
          <w:rFonts w:ascii="Times New Roman" w:hAnsi="Times New Roman"/>
          <w:w w:val="100"/>
          <w:sz w:val="16"/>
        </w:rPr>
        <w:t>8 päivänä elokuuta 2018</w:t>
      </w:r>
    </w:p>
    <w:p>
      <w:pPr>
        <w:pStyle w:val="Rubrik1"/>
        <w:keepNext w:val="true"/>
        <w:keepLines/>
        <w:widowControl/>
        <w:ind w:right="0" w:hanging="0"/>
        <w:rPr>
          <w:rFonts w:ascii="Times New Roman" w:hAnsi="Times New Roman" w:cs="Times New Roman"/>
          <w:w w:val="100"/>
          <w:sz w:val="26"/>
          <w:szCs w:val="26"/>
        </w:rPr>
      </w:pPr>
      <w:r>
        <w:rPr>
          <w:rFonts w:ascii="Times New Roman" w:hAnsi="Times New Roman"/>
          <w:w w:val="100"/>
          <w:sz w:val="26"/>
        </w:rPr>
        <w:t>Arpajaistoiminnan tarkastusviranomaisen määräykset ja yleiset ohjeet valtiollisista arpajaisista ja yleishyödyllisiin tarkoituksiin tarkoitetuista arpajaisista;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annettu 25 päivänä heinäkuuta 2018.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Arpajaistoiminnan tarkastusviranomainen määrää</w:t>
      </w:r>
      <w:r>
        <w:rPr>
          <w:rStyle w:val="Alaviitteenankkuri"/>
          <w:rFonts w:ascii="Times New Roman" w:hAnsi="Times New Roman"/>
          <w:w w:val="100"/>
          <w:sz w:val="19"/>
        </w:rPr>
        <w:footnoteReference w:id="2"/>
      </w:r>
      <w:r>
        <w:rPr>
          <w:rFonts w:ascii="Times New Roman" w:hAnsi="Times New Roman"/>
          <w:w w:val="100"/>
          <w:sz w:val="19"/>
        </w:rPr>
        <w:t xml:space="preserve"> peliasetuksen (2018:1475) 16 luvun 3 §:n, 8 §:n 4 momentin, 9 §:n, 10 §:n 1 momentin sekä 11 §:n 1–2 momentin nojalla seuraavaa ja antaa seuraavat yleiset ohjeet.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>1 luku. Soveltamisala ja ilmaisut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 xml:space="preserve"> Näitä määräyksiä ja yleisiä ohjeita sovelletaan niihin, joilla on lupa tarjota valtiollisia arpajaisia pelilain (2018:1138) 5 luvun 1 §:n mukaisesti, sekä niihin, joilla on lupa tarjota arpajaisia pelilain 6 luvun 3 §:n mukaisesti. 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§ </w:t>
      </w:r>
      <w:r>
        <w:rPr>
          <w:rFonts w:ascii="Times New Roman" w:hAnsi="Times New Roman"/>
          <w:w w:val="100"/>
          <w:sz w:val="19"/>
        </w:rPr>
        <w:t>Ellei toisin mainita, näissä määräyksissä käytetyillä ilmaisuilla ja nimityksillä on sama merkitys kuin pelilaissa (2018:1138) ja peliasetuksessa (2018:1475).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Näissä määräyksissä ja yleisissä ohjeissa käytetään seuraavia käsitteitä ja määritel</w:t>
      </w:r>
      <w:r>
        <w:rPr>
          <w:rFonts w:ascii="Times New Roman" w:hAnsi="Times New Roman"/>
          <w:w w:val="100"/>
          <w:sz w:val="19"/>
          <w:szCs w:val="19"/>
        </w:rPr>
        <w:t>miä: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w w:val="100"/>
          <w:sz w:val="19"/>
          <w:szCs w:val="19"/>
        </w:rPr>
        <w:t>piilotettu UV-varmistus:</w:t>
      </w:r>
      <w:r>
        <w:rPr>
          <w:rFonts w:ascii="Times New Roman" w:hAnsi="Times New Roman"/>
          <w:w w:val="100"/>
          <w:sz w:val="19"/>
          <w:szCs w:val="19"/>
        </w:rPr>
        <w:t xml:space="preserve"> Kuva tai kuvio, joka ei ole silmin nähtävissä ja joka on painettu UV-valossa fluoresoivalla värillä. Kuvan/kuvion on oltava sellainen, että se on nähtävissä ainoastaan valaistaessa aallonpituudeltaan 365 nanometrin UV-valolla, ja sen on fluoresoitava värinä, joka eroaa taustaväristä, johon se on painettu,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w w:val="100"/>
          <w:sz w:val="19"/>
          <w:szCs w:val="19"/>
        </w:rPr>
        <w:t>jälkikäteen arvottava arpa:</w:t>
      </w:r>
      <w:r>
        <w:rPr>
          <w:rFonts w:ascii="Times New Roman" w:hAnsi="Times New Roman"/>
          <w:w w:val="100"/>
          <w:sz w:val="19"/>
          <w:szCs w:val="19"/>
        </w:rPr>
        <w:t xml:space="preserve"> arpa, jota ei ole suljettu ja jonka osalta arvonta tapahtuu oston jälkeen,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sähköinen arpa</w:t>
      </w:r>
      <w:r>
        <w:rPr>
          <w:rFonts w:ascii="Times New Roman" w:hAnsi="Times New Roman"/>
          <w:i w:val="false"/>
          <w:sz w:val="19"/>
          <w:szCs w:val="19"/>
        </w:rPr>
        <w:t>:</w:t>
      </w:r>
      <w:r>
        <w:rPr>
          <w:rFonts w:ascii="Times New Roman" w:hAnsi="Times New Roman"/>
          <w:sz w:val="19"/>
          <w:szCs w:val="19"/>
        </w:rPr>
        <w:t xml:space="preserve"> fyysinen arpalippu, joka voi sisältää yhden tai useamman arvan ja joka sisältää sähköisiä osia,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jaettavien voittojen arvonta</w:t>
      </w:r>
      <w:r>
        <w:rPr>
          <w:rFonts w:ascii="Times New Roman" w:hAnsi="Times New Roman"/>
          <w:i w:val="false"/>
          <w:sz w:val="19"/>
          <w:szCs w:val="19"/>
        </w:rPr>
        <w:t>:</w:t>
      </w:r>
      <w:r>
        <w:rPr>
          <w:rFonts w:ascii="Times New Roman" w:hAnsi="Times New Roman"/>
          <w:sz w:val="19"/>
          <w:szCs w:val="19"/>
        </w:rPr>
        <w:t xml:space="preserve"> arvonta, jossa arvalla osallistutaan arvontaan, jossa määritetään voiton suuruus,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ennalta arvottu arpa</w:t>
      </w:r>
      <w:r>
        <w:rPr>
          <w:rFonts w:ascii="Times New Roman" w:hAnsi="Times New Roman"/>
          <w:i w:val="false"/>
          <w:sz w:val="19"/>
          <w:szCs w:val="19"/>
        </w:rPr>
        <w:t>:</w:t>
      </w:r>
      <w:r>
        <w:rPr>
          <w:rFonts w:ascii="Times New Roman" w:hAnsi="Times New Roman"/>
          <w:sz w:val="19"/>
          <w:szCs w:val="19"/>
        </w:rPr>
        <w:t xml:space="preserve"> suljettu arpa, josta arvan ostaja voi suoraan lukea, voittaako arvalla vai ei,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suojaus kemiallisten poistoyritysten estämiseksi</w:t>
      </w:r>
      <w:r>
        <w:rPr>
          <w:rFonts w:ascii="Times New Roman" w:hAnsi="Times New Roman"/>
          <w:sz w:val="19"/>
          <w:szCs w:val="19"/>
        </w:rPr>
        <w:t>: paperi sisältää kemikaaleja, jotka reagoivat altistuessaan liuotusaineille tai oksidoiville aineille (alkoholi, hapot, hiilivety, kloori, tensidit ynnä muut) niin, että paperin väri muuttuu,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kopiosuojaus</w:t>
      </w:r>
      <w:r>
        <w:rPr>
          <w:rFonts w:ascii="Times New Roman" w:hAnsi="Times New Roman"/>
          <w:sz w:val="19"/>
          <w:szCs w:val="19"/>
        </w:rPr>
        <w:t>: asiakirjavarmennukset, jotka muuttuvat tai vahingoittuvat kopioitaessa,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avaaminen</w:t>
      </w:r>
      <w:r>
        <w:rPr>
          <w:rFonts w:ascii="Times New Roman" w:hAnsi="Times New Roman"/>
          <w:sz w:val="19"/>
          <w:szCs w:val="19"/>
        </w:rPr>
        <w:t>: pelitiedot peittävän kerroksen, esimerkiksi raaputuspinnan, poistaminen,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w w:val="100"/>
          <w:sz w:val="19"/>
          <w:szCs w:val="19"/>
        </w:rPr>
        <w:t>mikroteksti</w:t>
      </w:r>
      <w:r>
        <w:rPr>
          <w:rFonts w:ascii="Times New Roman" w:hAnsi="Times New Roman"/>
          <w:w w:val="100"/>
          <w:sz w:val="19"/>
          <w:szCs w:val="19"/>
        </w:rPr>
        <w:t>: pieni teksti, jonka enimmäiskorkeus on 0,30 millimetriä ja vähimmäispituus 35 millimetriä, joka näyttää ilman apuvälineitä viivalta ja joka on suurennettuna kokonaan ja selvästi luettavissa,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kohokuva</w:t>
      </w:r>
      <w:r>
        <w:rPr>
          <w:rFonts w:ascii="Times New Roman" w:hAnsi="Times New Roman"/>
          <w:sz w:val="19"/>
          <w:szCs w:val="19"/>
        </w:rPr>
        <w:t>: kirjaimet, numerot tai symbolit, jotka on merkitty paksulla väripinnoitteella ja jotka siten muodostavat paperin pinnalle kohopinnan, tai kirjaimet, numerot tai symbolit, jotka on painettu paperin pinnalle niin, että pinta painautuu alaspäin,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jäljentäminen</w:t>
      </w:r>
      <w:r>
        <w:rPr>
          <w:rFonts w:ascii="Times New Roman" w:hAnsi="Times New Roman"/>
          <w:sz w:val="19"/>
          <w:szCs w:val="19"/>
        </w:rPr>
        <w:t>: kuvantaminen teknisten välineiden avulla sekä sitä seuraava tulostaminen tai painaminen,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 w:val="false"/>
          <w:sz w:val="19"/>
          <w:szCs w:val="19"/>
        </w:rPr>
        <w:t>pelitiedot</w:t>
      </w:r>
      <w:r>
        <w:rPr>
          <w:rFonts w:ascii="Times New Roman" w:hAnsi="Times New Roman"/>
          <w:sz w:val="19"/>
          <w:szCs w:val="19"/>
        </w:rPr>
        <w:t>: arvan tiedot, joista käy ilmi, voittaako arvalla vai ei,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w w:val="100"/>
          <w:sz w:val="19"/>
          <w:szCs w:val="19"/>
        </w:rPr>
        <w:t>vesileima</w:t>
      </w:r>
      <w:r>
        <w:rPr>
          <w:rFonts w:ascii="Times New Roman" w:hAnsi="Times New Roman"/>
          <w:w w:val="100"/>
          <w:sz w:val="19"/>
          <w:szCs w:val="19"/>
        </w:rPr>
        <w:t>: Kuva tai kuvio, joka merkitään paperinvalmistuksen yhteydessä ja joka on nähtävissä läpivalaistaessa. Kuva/kuvio syntyy siten, että paperi tehdään eri paksuuksilla, paksummat kohdat näyttävät tummemmilta ja ohuemmat vaaleammilta,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turvapainatus</w:t>
      </w:r>
      <w:r>
        <w:rPr>
          <w:rFonts w:ascii="Times New Roman" w:hAnsi="Times New Roman"/>
          <w:sz w:val="19"/>
          <w:szCs w:val="19"/>
        </w:rPr>
        <w:t>: Vähintään kahden väriset ohuet viivat, jotka ovat leveydeltään enintään 0,10 millimetriä ja jotka kohtaavat terävissä kulmissa.</w:t>
      </w:r>
      <w:r>
        <w:rPr>
          <w:rFonts w:ascii="Times New Roman" w:hAnsi="Times New Roman"/>
          <w:w w:val="100"/>
          <w:sz w:val="19"/>
          <w:szCs w:val="19"/>
        </w:rPr>
        <w:t xml:space="preserve"> Painatus voi olla myös kohokuvatyppinen eli sellainen, joissa ohuet yhtenäiset viivat muodostavat kohokuvalta näyttävän kuvion (kolmiulotteinen),</w:t>
      </w:r>
    </w:p>
    <w:p>
      <w:pPr>
        <w:pStyle w:val="Brdtextfyrkant"/>
        <w:numPr>
          <w:ilvl w:val="0"/>
          <w:numId w:val="1"/>
        </w:numPr>
        <w:tabs>
          <w:tab w:val="left" w:pos="567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päällepainatus</w:t>
      </w:r>
      <w:r>
        <w:rPr>
          <w:rFonts w:ascii="Times New Roman" w:hAnsi="Times New Roman"/>
          <w:sz w:val="19"/>
          <w:szCs w:val="19"/>
        </w:rPr>
        <w:t>: painettu kuva tai kuvio, joka sijoitetaan raaputuskerroksen tai vastaavan päälle ja joka on suunniteltu niin, että sen avulla voidaan osoittaa selkeästi, että raaputuskerros on avattu.</w:t>
      </w:r>
      <w:r>
        <w:rPr>
          <w:rFonts w:ascii="Times New Roman" w:hAnsi="Times New Roman"/>
          <w:w w:val="100"/>
          <w:sz w:val="19"/>
          <w:szCs w:val="19"/>
        </w:rPr>
        <w:t xml:space="preserve"> 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19"/>
          <w:szCs w:val="19"/>
        </w:rPr>
        <w:t>2 luku. Yleishyödyllisiin tarkoituksiin tarkoitet</w:t>
      </w:r>
      <w:r>
        <w:rPr>
          <w:rFonts w:ascii="Times New Roman" w:hAnsi="Times New Roman"/>
          <w:w w:val="100"/>
          <w:sz w:val="21"/>
        </w:rPr>
        <w:t>tuja arpajaisia koskevat erityisvaatimukset</w:t>
      </w:r>
    </w:p>
    <w:p>
      <w:pPr>
        <w:pStyle w:val="Brdtexthalv"/>
        <w:rPr>
          <w:rFonts w:ascii="Times New Roman" w:hAnsi="Times New Roman" w:cs="Times New Roman"/>
          <w:b/>
          <w:b/>
          <w:bCs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§ </w:t>
      </w:r>
      <w:r>
        <w:rPr>
          <w:rFonts w:ascii="Times New Roman" w:hAnsi="Times New Roman"/>
          <w:w w:val="100"/>
          <w:sz w:val="19"/>
        </w:rPr>
        <w:t>Ennen kuin pelilain (2018:1138) 6 luvun 3 §:n mukaisten yleishyödyllisiin tarkoituksiin tarkoitettujen arpajaisten arpojen myynti voidaan aloittaa, on nimettävä tilintarkastaja.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Tilintarkastaja tarkastaa arpajaisten tilinpidon ja laatii tilintarkastuskertomuksen. 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/>
      </w:pPr>
      <w:r>
        <w:rPr>
          <w:rFonts w:ascii="Times New Roman" w:hAnsi="Times New Roman"/>
          <w:w w:val="100"/>
          <w:sz w:val="19"/>
        </w:rPr>
        <w:t>Jos arpajaisten liikevaihdon lasketaan ylittävän viisi (5) miljoonaa Ruotsin kruunua, tilintarkastajan on oltava hyväksytty tai valtuutettu.</w:t>
      </w:r>
    </w:p>
    <w:p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Tarkastuksessa on noudatettava pelitoiminnan tarkastusviranomaisen ohjeita, jotka on tarkoitettu yleishyödyllisiin tarkoituksiin tarkoitettujen arpajaisten tilintarkastajille.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</w:t>
      </w:r>
      <w:r>
        <w:rPr>
          <w:rFonts w:ascii="Times New Roman" w:hAnsi="Times New Roman"/>
          <w:w w:val="100"/>
          <w:sz w:val="19"/>
        </w:rPr>
        <w:t> Kun arpajaiset ovat päättyneet, luvanhaltijan on annettava selvitys arpajaisten tilinpidosta sekä toimitettava pelitoiminnan tarkastusviranomaiselle valmis tilintarkastuskertomus.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>3 luku. Voittorakenne, voitot, arvonta ja arvonnan tulos</w:t>
      </w:r>
    </w:p>
    <w:p>
      <w:pPr>
        <w:pStyle w:val="Rubrik40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Voittorakenne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 xml:space="preserve"> Painettujen tai sähköisten arpojen on oltava määritetyn voittorakenteen mukaisia. 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Voittoarpoja ei saa toimittaa erillään tyhjistä arvoista.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Voitot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§ </w:t>
      </w:r>
      <w:r>
        <w:rPr>
          <w:rFonts w:ascii="Times New Roman" w:hAnsi="Times New Roman"/>
          <w:w w:val="100"/>
          <w:sz w:val="19"/>
        </w:rPr>
        <w:t>Jos arpajaisissa on muita voittoja kuin rahavoittoja, niiden markkina-arvo on määritettävä.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Jos voittojen arvoa on vaikea määrittää, niiden arvon määrittää puolueeton asiantuntija.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Luvanhaltijan voi olla vaikea arvioida sellaisen voiton arvoa, joka annetaan esimerkiksi taiteena tai muuna tavaravoittona. 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Jälkikäteen arvotut arvat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3 § </w:t>
      </w:r>
      <w:r>
        <w:rPr>
          <w:rFonts w:ascii="Times New Roman" w:hAnsi="Times New Roman"/>
          <w:w w:val="100"/>
          <w:sz w:val="19"/>
        </w:rPr>
        <w:t>Jos arvonnan tulos perustuu vain myytyihin arpoihin, myymättä jääneet arvat on dokumentoitava ennen kuin arvonta voidaan suorittaa.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Pöytäkirja, arvonnan tuloksen muuttaminen ja mitätöinti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4 §</w:t>
      </w:r>
      <w:r>
        <w:rPr>
          <w:rFonts w:ascii="Times New Roman" w:hAnsi="Times New Roman"/>
          <w:w w:val="100"/>
          <w:sz w:val="19"/>
        </w:rPr>
        <w:t> Arvonnan tulos dokumentoidaan pöytäkirjaan. Pöytäkirjaa on säilytettävä luvan voimassaolon ajan.</w:t>
      </w:r>
    </w:p>
    <w:p>
      <w:pPr>
        <w:pStyle w:val="Brdtextblank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5 § </w:t>
      </w:r>
      <w:r>
        <w:rPr>
          <w:rFonts w:ascii="Times New Roman" w:hAnsi="Times New Roman"/>
          <w:w w:val="100"/>
          <w:sz w:val="19"/>
        </w:rPr>
        <w:t>Arvonnan tulosta ei saa muuttaa.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Arvonnan tulos on mitätöitävä, jos on ilmennyt tulokseen vaikuttaneita virheitä ja jos mitätöinti tehdään ennen tuloksen julkistamista.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Jos arvonnan tulos mitätöidään toisen momentin mukaisesti, asiakirjat ja mitätöity tulos on dokumentoitava ja niitä on säilytettävä luvan voimassaolon ajan.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>4 luku. Fyysisten arpojen ominaisuudet</w:t>
      </w:r>
    </w:p>
    <w:p>
      <w:pPr>
        <w:pStyle w:val="Brdtexthalv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> Yksittäisen arvan, joka on mukana jaettavien voittojen arvonnassa, on oltava ainutlaatuinen.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Yksittäisen arvan on liityttävä erään tai kierrokseen myönnetyn luvan mukaisesti.</w:t>
      </w:r>
    </w:p>
    <w:p>
      <w:pPr>
        <w:pStyle w:val="Brdtextblank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</w:t>
      </w:r>
      <w:r>
        <w:rPr>
          <w:rFonts w:ascii="Times New Roman" w:hAnsi="Times New Roman"/>
          <w:w w:val="100"/>
          <w:sz w:val="19"/>
        </w:rPr>
        <w:t> Painetuissa tai sähköisissä arvoissa ei saa olla sellaisia fyysisiä vikoja tai merkintöjä, jotka voivat johtaa siihen, että voittoarvat on mahdollista erottaa muista.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Pelitiedot eivät saa olla luettavissa suljetusta arvasta.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Suljetuissa arvoissa on oltava suojaus manipuloinnin tai jäljentämisen estämiseksi.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3 §</w:t>
      </w:r>
      <w:r>
        <w:rPr>
          <w:rFonts w:ascii="Times New Roman" w:hAnsi="Times New Roman"/>
          <w:w w:val="100"/>
          <w:sz w:val="19"/>
        </w:rPr>
        <w:t> Mikäli arpojen ominaisuuksissa ilmenee puutteita, joiden takia arvat eivät enää täytä näissä määräyksissä asetettuja vaatimuksia, tuotanto on pysäytettävä, ja jo valmistetut arvat on mitätöitävä.</w:t>
      </w:r>
    </w:p>
    <w:p>
      <w:pPr>
        <w:pStyle w:val="Brdtextblank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4 §</w:t>
      </w:r>
      <w:r>
        <w:rPr>
          <w:rFonts w:ascii="Times New Roman" w:hAnsi="Times New Roman"/>
          <w:w w:val="100"/>
          <w:sz w:val="19"/>
        </w:rPr>
        <w:t xml:space="preserve"> Sellaisten ennalta arvottujen suljettujen arpojen osalta, joiden korkein voittosumma on enemmän kuin yksi (1) hintaperusmäärä, pätee seuraavaa: 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avattu arpa ei saa olla suljettavissa uudestaan,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pelitiedot eivät saa olla luettavissa läpivalaisun avulla,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pelitiedot eivät saa muodostaa kohokuvaa suljinosan ulkopinnalle, 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arvassa on oltava kopiosuojaus,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piilotetulla UV-varmistuksella,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raaputuskentässä on oltava päällepainatus, joka peittää pelitiedot ja valvontakentän,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suljetut valvontakentät on suojattava avaamiselta ja lukemiselta,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pelitiedot eivät saa olla luettavissa staattisen sähkön avulla,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pelitiedot eivät saa sijaita vakituisesti samassa kohdassa,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pelitiedot on suojattava muuttamiselta ja</w:t>
      </w:r>
    </w:p>
    <w:p>
      <w:pPr>
        <w:pStyle w:val="Brdtextfyrkant"/>
        <w:numPr>
          <w:ilvl w:val="0"/>
          <w:numId w:val="2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mikrotekstillä.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Kopiosuojaukseksi lasketaan esimerkiksi vaikeasti kopioitavat värit, rasteripinnat, painatukset tai lakat, jotka saavat aikaan erilaisia heijastuksia, sekä kirkas lakka mattapintaisella paperilla tai erikoispaperilla. </w:t>
      </w:r>
    </w:p>
    <w:p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  <w:u w:val="thick"/>
        </w:rPr>
      </w:pPr>
      <w:r>
        <w:rPr>
          <w:rFonts w:ascii="Times New Roman" w:hAnsi="Times New Roman"/>
          <w:w w:val="100"/>
          <w:sz w:val="19"/>
        </w:rPr>
        <w:t>Mikroteksti voi sijaita raaputuskentässä.</w:t>
      </w:r>
    </w:p>
    <w:p>
      <w:pPr>
        <w:pStyle w:val="Brdtextblank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5 §</w:t>
      </w:r>
      <w:r>
        <w:rPr>
          <w:rFonts w:ascii="Times New Roman" w:hAnsi="Times New Roman"/>
          <w:w w:val="100"/>
          <w:sz w:val="19"/>
        </w:rPr>
        <w:t> Sellaisten jälkikäteen arvottavien arpojen osalta, joiden korkein voittosumma on enemmän kuin yksi (1) hintaperusmäärä, pätee seuraavaa: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arvassa on oltava kopiosuojaus,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piilotetulla UV-varmistuksella,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turvapainatuksella,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pelitiedot on suojattava muuttamiselta, 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mikrotekstillä,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valmistettu vesileimatusta paperista tai paperista, jonka turvallisuus on vastaava, ja</w:t>
      </w:r>
    </w:p>
    <w:p>
      <w:pPr>
        <w:pStyle w:val="Brdtextfyrkant"/>
        <w:numPr>
          <w:ilvl w:val="0"/>
          <w:numId w:val="8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paperissa on oltava suojaus kemiallisten poistoyritysten estämiseksi.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Kopiosuojaukseksi lasketaan esimerkiksi vaikeasti kopioitavat värit, rasteripinnat, painatukset tai lakat, jotka saavat aikaan erilaisia heijastuksia, sekä kirkas lakka mattapintaisella paperilla tai erikoispaperilla. Mikroteksti voi sijaita raaputuskentässä.</w:t>
      </w:r>
    </w:p>
    <w:p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Vastaavilla turvaominaisuuksilla varustettu paperi tarkoittaa esimerkiksi sitä, että arvassa on yhdistelmä erilaisia turvayksityiskohtia, joilla saavutetaan vastaava suojaustaso kuin vesileimatulla paperilla. </w:t>
      </w:r>
    </w:p>
    <w:p>
      <w:pPr>
        <w:pStyle w:val="Brdtextblank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6 §</w:t>
      </w:r>
      <w:r>
        <w:rPr>
          <w:rFonts w:ascii="Times New Roman" w:hAnsi="Times New Roman"/>
          <w:w w:val="100"/>
          <w:sz w:val="19"/>
        </w:rPr>
        <w:t> Sellaisten sähköisten arpojen osalta, joiden korkein voittosumma on enemmän kuin 1/6 hintaperusmäärästä, pätee seuraavaa:</w:t>
      </w:r>
    </w:p>
    <w:p>
      <w:pPr>
        <w:pStyle w:val="Brdtextfyrkant"/>
        <w:numPr>
          <w:ilvl w:val="0"/>
          <w:numId w:val="7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arpojen aktivoinnista ja palauttamisesta on jäätävä selkeät jäljet,</w:t>
      </w:r>
    </w:p>
    <w:p>
      <w:pPr>
        <w:pStyle w:val="Brdtextfyrkant"/>
        <w:numPr>
          <w:ilvl w:val="0"/>
          <w:numId w:val="7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piilotetulla UV-varmistuksella,</w:t>
      </w:r>
    </w:p>
    <w:p>
      <w:pPr>
        <w:pStyle w:val="Brdtextfyrkant"/>
        <w:numPr>
          <w:ilvl w:val="0"/>
          <w:numId w:val="7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arvassa on oltava kopiosuojaus,</w:t>
      </w:r>
    </w:p>
    <w:p>
      <w:pPr>
        <w:pStyle w:val="Brdtextfyrkant"/>
        <w:numPr>
          <w:ilvl w:val="0"/>
          <w:numId w:val="7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on oltava varustettu valvontakentällä, jossa on päällepainatus,</w:t>
      </w:r>
    </w:p>
    <w:p>
      <w:pPr>
        <w:pStyle w:val="Brdtextfyrkant"/>
        <w:numPr>
          <w:ilvl w:val="0"/>
          <w:numId w:val="7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elektroniikan ja näytön on oltava suojattu manipuloinnin estämiseksi ja</w:t>
      </w:r>
    </w:p>
    <w:p>
      <w:pPr>
        <w:pStyle w:val="Brdtextfyrkant"/>
        <w:numPr>
          <w:ilvl w:val="0"/>
          <w:numId w:val="7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arvan on oltava varustettu mikrotekstillä. 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Kopiosuojaukseksi lasketaan esimerkiksi vaikeasti kopioitavat värit, rasteripinnat, painatukset tai lakat, jotka saavat aikaan erilaisia heijastuksia, sekä kirkas lakka mattapintaisella paperilla tai erikoispaperilla. Mikroteksti voi sijaita raaputuskentässä.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 xml:space="preserve">5 luku. Arpojen käsittely </w:t>
      </w:r>
    </w:p>
    <w:p>
      <w:pPr>
        <w:pStyle w:val="Rubrik40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Valmiiden arpojen käsittely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> Valmiiden arpojen käsittelyä varten on oltava dokumentoidut toimintatavat.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Toimintatavat koskevat myös osittain valmiita arpoja.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</w:t>
      </w:r>
      <w:r>
        <w:rPr>
          <w:rFonts w:ascii="Times New Roman" w:hAnsi="Times New Roman"/>
          <w:w w:val="100"/>
          <w:sz w:val="19"/>
        </w:rPr>
        <w:t xml:space="preserve"> Asiattomat henkilöt eivät saa pelitietojen tuottamisen yhteydessä saada kokonaiskuvaa siitä, missä voitot valmiiden arpojen joukossa ovat. 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3 § </w:t>
      </w:r>
      <w:r>
        <w:rPr>
          <w:rFonts w:ascii="Times New Roman" w:hAnsi="Times New Roman"/>
          <w:w w:val="100"/>
          <w:sz w:val="19"/>
        </w:rPr>
        <w:t>Valmiita tuotteita ja muita arkaluonteisia materiaaleja on säilytettävä turvallisella ja suojatulla tavalla, joka vastaa tarkoitusta.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Fyysisten arpojen käsittely- tai säilytystiloihin pääsyn mahdollistavia kulkukortteja, koodeja, avaimia ja vastaavia on valvottava, jotta asiattomat henkilöt eivät pääse kyseisiin tiloihin.</w:t>
      </w:r>
    </w:p>
    <w:p>
      <w:pPr>
        <w:pStyle w:val="Brdtextblank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4 §</w:t>
      </w:r>
      <w:r>
        <w:rPr>
          <w:rFonts w:ascii="Times New Roman" w:hAnsi="Times New Roman"/>
          <w:w w:val="100"/>
          <w:sz w:val="19"/>
        </w:rPr>
        <w:t xml:space="preserve"> Fyysisten arpojen on oltava pakattu sellaisella tavalla, että yksittäiseen arpaan käsiksi pääsemiseksi on rikottava päällys tai vastaava. 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Jos fyysiset arvat on pakattu lavalle, lava on suljettava niin, ettei sen sisältöä voi nähdä.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Murrettu sinetöinti tai päällys on dokumentoitava.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5 §</w:t>
      </w:r>
      <w:r>
        <w:rPr>
          <w:rFonts w:ascii="Times New Roman" w:hAnsi="Times New Roman"/>
          <w:w w:val="100"/>
          <w:sz w:val="19"/>
        </w:rPr>
        <w:t> Valmiit fyysiset arvat on kuljetettava turvallisella tavalla.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Valmiiden arpojen kuljetus on annettava sellaisen hyvämaineisen yrityksen tehtäväksi, jolla on sinetöitäviä ajoneuvoja. Reittivalintaa on ohjattava niin, ettei kuljetusliike valitse riskialttiimpaa reittiä esimerkiksi taloudellisten etujen saavuttamiseksi. Välipysähdyksiä on vältettävä.</w:t>
      </w:r>
    </w:p>
    <w:p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Toimitus on suunniteltava niin, että lastin voi purkaa ja asettaa varmaan säilöön heti saapumisen jälkeen. Kuorma-autojen tilapäistä pysäköintiä yön yli tai muuksi ajaksi on vältettävä.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Myymättä jääneiden arpojen ja lunastamatta jääneiden voittoarpojen käsittely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6 § </w:t>
      </w:r>
      <w:r>
        <w:rPr>
          <w:rFonts w:ascii="Times New Roman" w:hAnsi="Times New Roman"/>
          <w:w w:val="100"/>
          <w:sz w:val="19"/>
        </w:rPr>
        <w:t>Myymättä jääneiden arpojen ja lunastamatta jääneiden voittoarpojen käsittelyä varten on oltava dokumentoidut toimintatavat.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Myymättä jääneet arvat ja lunastamatta jääneet voittoarvat on tuhottava mahdollisimman pian arpajaisten päättymisen jälkeen.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Jos voiton validointi tehdään pelijärjestelmässä, kyseinen validointi korvaa toisen momentin mukaisen tuhoamisen.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Vahingoittuneiden arpojen käsittely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7 §</w:t>
      </w:r>
      <w:r>
        <w:rPr>
          <w:rFonts w:ascii="Times New Roman" w:hAnsi="Times New Roman"/>
          <w:w w:val="100"/>
          <w:sz w:val="19"/>
        </w:rPr>
        <w:t> Valmistuksen tai toimituksen aikana vahingoittuneiden fyysisten arpojen käsittelyä varten on oltava dokumentoidut toimintatavat.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Kun valmistuksen tai toimituksen aikana vahingoittuneita arpoja vaihdetaan, toimitetun voittorakenteen ja voitonjaon sekä arpojen määrän on edelleen vastattava tilausta. 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Vahingoittuneet fyysiset arvat on dokumentoitava ja tuhottava.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Hylättyjen painotuotteiden ja muiden tarvikkeiden käsittely 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8 §</w:t>
      </w:r>
      <w:r>
        <w:rPr>
          <w:rFonts w:ascii="Times New Roman" w:hAnsi="Times New Roman"/>
          <w:w w:val="100"/>
          <w:sz w:val="19"/>
        </w:rPr>
        <w:t> Hylättyjen painotuotteiden ja fyysisten arpojen valmistukseen käytettyjen muiden tarvikkeiden käsittelyä varten on oltava dokumentoidut toimintatavat.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Kaikki hylätyt painotuotteet on dokumentoitava ja tuhottava.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Käytettyjen tietovälineiden käsittely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9 § </w:t>
      </w:r>
      <w:r>
        <w:rPr>
          <w:rFonts w:ascii="Times New Roman" w:hAnsi="Times New Roman"/>
          <w:w w:val="100"/>
          <w:sz w:val="19"/>
        </w:rPr>
        <w:t>Sellaisten järjestelmien käsittelyä varten, joita on käytetty fyysisiä arpoja koskevan aineiston luomiseen sekä painettujen fyysisten arpojen validointiin ja joita ei enää käytetä, on oltava dokumentoidut toimintatavat.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Voittotietoja sisältäviä tiedostoja on käsiteltävä niin, että varmistetaan, että luvattomat henkilöt eivät voi jäljentää tai muulla tavoin väärinkäyttää tai vahingoittaa tietoja. </w:t>
      </w:r>
    </w:p>
    <w:p>
      <w:pPr>
        <w:pStyle w:val="Rubrik4"/>
        <w:keepLines/>
        <w:widowControl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Tuhoaminen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10 §</w:t>
      </w:r>
      <w:r>
        <w:rPr>
          <w:rFonts w:ascii="Times New Roman" w:hAnsi="Times New Roman"/>
          <w:w w:val="100"/>
          <w:sz w:val="19"/>
        </w:rPr>
        <w:t> Tuhoamista varten on oltava dokumentoidut toimintatavat.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Tuhoamisessa on aina oltava läsnä vähintään kaksi henkilöä.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 xml:space="preserve">6 luku. Tiedot peliasiamiehelle 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§ </w:t>
      </w:r>
      <w:r>
        <w:rPr>
          <w:rFonts w:ascii="Times New Roman" w:hAnsi="Times New Roman"/>
          <w:w w:val="100"/>
          <w:sz w:val="19"/>
        </w:rPr>
        <w:t>Peliasiamiehen on tunnettava asiaankuuluvat osat pelilaista (2018:1138), peliasetuksesta (2018:1475), määräyksistä, yleisistä ohjeista ja ehdoista, jotka koskevat luvanhaltijaa, sekä luvanhaltijan sisäisistä toimintatavoista ja suuntaviivoista, jotka koskevat peliasiamiehen toimintaa ja joilla on merkitystä sen kannalta.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Yleinen ohje: 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Pelilain, asetuksen ja määräysten asiaankuuluviin osiin voivat kuulua esimerkiksi seuraavat: henkilön on oltava 18-vuotias saadakseen pelata, pelaamista varten ei saa myöntää luottoa sekä se, mistä pelaaja voi saada tietoa ja apua itsetestaukseen, vapaaehtoiseen pelikieltoon ja muihin pelaamiseensa liittyviin ongelmiin.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>7 luku. Pelitili ja väliaikainen pelitili</w:t>
      </w:r>
    </w:p>
    <w:p>
      <w:pPr>
        <w:pStyle w:val="Brdtexthalv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> Yhdellä pelaajalla saa olla vain yksi pelitili.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Ensimmäistä momenttia ei sovelleta, jos luvanhaltija tarjoaa pelejä eri verkko-osoitteissa. Siinä tapauksessa pelaajalla saa olla enemmän kuin yksi pelitili luvanhaltijalla edellyttäen, että luvanhaltija</w:t>
      </w:r>
    </w:p>
    <w:p>
      <w:pPr>
        <w:pStyle w:val="Brdtextfyrkant"/>
        <w:numPr>
          <w:ilvl w:val="0"/>
          <w:numId w:val="6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voi tunnistaa ja määrittää pelaajan erilliset pelitilit,</w:t>
      </w:r>
    </w:p>
    <w:p>
      <w:pPr>
        <w:pStyle w:val="Brdtextfyrkant"/>
        <w:numPr>
          <w:ilvl w:val="0"/>
          <w:numId w:val="6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huolehtii siitä, että pelaajalta estetään kaikkien luvanhaltijan pelien pelaaminen, jos pelaaja päättää asettaa itsensä pelikieltoon pelilain (2018:1138) 14 luvun 11 §:n mukaisesti, ellei pelaaja aktiivisesti päätä kiellon koskevan vain tiettyä peliä tai tiettyjä pelejä, ja</w:t>
      </w:r>
    </w:p>
    <w:p>
      <w:pPr>
        <w:pStyle w:val="Brdtextfyrkant"/>
        <w:numPr>
          <w:ilvl w:val="0"/>
          <w:numId w:val="6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voi seurata pelikäyttäytymistä ja maksutapahtumia kaikilla pelaajan erillisillä pelitileillä. 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</w:t>
      </w:r>
      <w:r>
        <w:rPr>
          <w:rFonts w:ascii="Times New Roman" w:hAnsi="Times New Roman"/>
          <w:w w:val="100"/>
          <w:sz w:val="19"/>
        </w:rPr>
        <w:t xml:space="preserve"> Pelaajan ei saa olla mahdollista laittaa väliaikaiselle pelitilille enempää kuin 1/4 hintaperusmäärästä. 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3 §</w:t>
      </w:r>
      <w:r>
        <w:rPr>
          <w:rFonts w:ascii="Times New Roman" w:hAnsi="Times New Roman"/>
          <w:w w:val="100"/>
          <w:sz w:val="19"/>
        </w:rPr>
        <w:t> Pelaajaa, jolla on väliaikainen pelitili, on 15 päivän kuluessa rekisteröinnistä kehotettava esittämään asiakirjat, jotka vahvistavat rekisteröinnin yhteydessä annetut tiedot.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Väliaikaista pelitiliä ei saa käyttää pelaamiseen yli 30 päivää.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>8 luku. Tiedot pelaajalle</w:t>
      </w:r>
    </w:p>
    <w:p>
      <w:pPr>
        <w:pStyle w:val="Brdtexthalv"/>
        <w:keepNext w:val="true"/>
        <w:keepLines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 xml:space="preserve"> Sen lisäksi, mitä pelilain (2018:1138) 14 luvun 4 §:ssä määrätään, seuraavien tietojen on oltava helposti pelaajan saatavilla: 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luvanhaltijan nimi, puhelinnumero ja sähköpostiosoite, 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tarvittaessa tieto edunsaajasta, 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myyntiaika ja/tai luvan voimassaoloaika,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rahapeleihin mahdollisesti liittyvät riskit,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sellaisen pelitoiminnasta riippumattoman tukipalvelun yhteystiedot, joka voi tarjota apua peliongelmiin Ruotsissa vallitsevien olosuhteiden mukaan, 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tieto siitä, että pelitoiminnan tarkastusviranomainen on lupa- ja valvontaviranomainen,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arvan hinta, panos tai vastaava kyseessä olevissa arpajaisissa,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mahdolliset muut kyseessä oleviin arpajaisiin osallistumisesta aiheutuvat kulut sekä</w:t>
      </w:r>
    </w:p>
    <w:p>
      <w:pPr>
        <w:pStyle w:val="Brdtextfyrkant"/>
        <w:numPr>
          <w:ilvl w:val="0"/>
          <w:numId w:val="5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tarvittaessa arpojen tai vastaavien määrä.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Mikäli voittoa ei jaeta välittömästi, pelaajalle on lisäksi annettava tiedoksi, milloin ja millä tavalla voitto luovutetaan, sekä voiton viimeinen luovutuspäivä. 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Jälkikäteen arvottavissa ja ilman arpoja toteutettavissa arpajaisissa on lisäksi ilmoitettava arvontatuloksen julkistamisaika ja -tapa sekä mahdollisen voitonjakoarvonnan päivä.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Riippumaton tukipalvelu voi olla esim. Stödlinjen-palvelu.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</w:t>
      </w:r>
      <w:r>
        <w:rPr>
          <w:rFonts w:ascii="Times New Roman" w:hAnsi="Times New Roman"/>
          <w:w w:val="100"/>
          <w:sz w:val="19"/>
        </w:rPr>
        <w:t> Fyysisissä arvoissa tai vastaavissa 1 §:n mukaiset tiedot on annettava selkeällä ja näkyvällä tavalla. Edellä 1 §:n ensimmäisen momentin 2, 4 ja 6 alamomentissa tarkoitetut tiedot voidaan kuitenkin pitää saatavilla muulla tavalla kuin arvassa sillä edellytyksellä, että tietojen sijainti käy ilmi.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Fyysisissä arvoissa voittorakenne on ilmoitettava selkeällä ja näkyvällä tavalla.</w:t>
      </w:r>
    </w:p>
    <w:p>
      <w:pPr>
        <w:pStyle w:val="Brdtextfyrkant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Pelilain (2018:1138) 11 luvun 6 §:n mukaista mahdollista toimeksisaajaa koskevat tiedot saa ilmoittaa vain, jos tämä on tarpeen pelaajan oikeuksien käyttämiseksi.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Yleinen ohje: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Voittorakenne voi käydä ilmi esimerkiksi fyysisen arvan taustapuolelta.</w:t>
      </w:r>
    </w:p>
    <w:p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Pelaajan on voitava helposti ymmärtää, kuka on luvanhaltija tai edunsaaja. Luvanhaltijaa tai edunsaajaa koskevat tiedot voivat käydä ilmi esimerkiksi fyysisen arvan etupuolelta.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3 §</w:t>
      </w:r>
      <w:r>
        <w:rPr>
          <w:rFonts w:ascii="Times New Roman" w:hAnsi="Times New Roman"/>
          <w:w w:val="100"/>
          <w:sz w:val="19"/>
        </w:rPr>
        <w:t> Pelilain (2018:1138) 12 luvun 1 §:n mukaisesti rekisteröintiä vaativien arpojen oston yhteydessä 1 §:n ensimmäisen momentin 4–6 alamomentissa tarkoitettujen tietojen sekä pelilain 14 luvun 7 §:ssä, 11 §:n ensimmäisessä momentissa ja 12 §:ssä ja peliasetuksen (2018:1475) 11 luvun 3 §:ssä tarkoitettujen peleihin osallistumisen mahdollista rajoittamista koskevien tietojen on oltava pelaajan saatavilla ennen kuin pelaajan saa rekisteröidä.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4 §</w:t>
      </w:r>
      <w:r>
        <w:rPr>
          <w:rFonts w:ascii="Times New Roman" w:hAnsi="Times New Roman"/>
          <w:w w:val="100"/>
          <w:sz w:val="19"/>
        </w:rPr>
        <w:t> Jos arpajaisia tarjotaan sähköisesti, 1 §:n ensimmäisen momentin 1–3 ja 5 alamomentissa ilmoitettujen tietojen on oltava hyvin näkyvillä luvanhaltijan aloitussivulla yhdessä niiden pelitoiminnan tarkastusviranomaisen symbolien kanssa, joissa on linkki viranomaisen verkkosivustolle ja linkki käyttöehtoihin.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5 §</w:t>
      </w:r>
      <w:r>
        <w:rPr>
          <w:rFonts w:ascii="Times New Roman" w:hAnsi="Times New Roman"/>
          <w:w w:val="100"/>
          <w:sz w:val="19"/>
        </w:rPr>
        <w:t xml:space="preserve"> Jos voimassa olevia käyttöehtoja muutetaan ja jos muutos ei ole merkityksetön, pelaajalle on ilmoitettava muutoksista ennen niiden voimaantuloa. </w:t>
      </w:r>
    </w:p>
    <w:p>
      <w:pPr>
        <w:pStyle w:val="Rubrik4"/>
        <w:keepLines/>
        <w:widowControl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Yleinen ohje: </w:t>
      </w:r>
    </w:p>
    <w:p>
      <w:pPr>
        <w:pStyle w:val="Brdtexthalv"/>
        <w:ind w:left="1120" w:hanging="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Merkityksettömällä muutoksella voidaan tarkoittaa esimerkiksi muutoksia kuten kirjoitusvirheitä. </w:t>
      </w:r>
    </w:p>
    <w:p>
      <w:pPr>
        <w:pStyle w:val="Brdtextfyrkant"/>
        <w:ind w:left="1120" w:firstLine="200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 xml:space="preserve">Pelaajan tiedottaminen käyttöehtoihin tehtävistä muutoksista voidaan suorittaa esimerkiksi siten, että pelaaja voi tutustua muutoksiin kirjallisina tai hyväksyä uudet käyttöehdot kirjautumisen yhteydessä. </w:t>
      </w:r>
    </w:p>
    <w:p>
      <w:pPr>
        <w:pStyle w:val="Rubrik2"/>
        <w:keepLines/>
        <w:rPr>
          <w:rFonts w:ascii="Times New Roman" w:hAnsi="Times New Roman" w:cs="Times New Roman"/>
          <w:w w:val="100"/>
          <w:sz w:val="21"/>
          <w:szCs w:val="21"/>
        </w:rPr>
      </w:pPr>
      <w:r>
        <w:rPr>
          <w:rFonts w:ascii="Times New Roman" w:hAnsi="Times New Roman"/>
          <w:w w:val="100"/>
          <w:sz w:val="21"/>
        </w:rPr>
        <w:t>9 luku. Luvanhaltijan on voitava tuottaa seuraavat tiedot sisältäviä raportteja</w:t>
      </w:r>
    </w:p>
    <w:p>
      <w:pPr>
        <w:pStyle w:val="Brdtexthalv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1 §</w:t>
      </w:r>
      <w:r>
        <w:rPr>
          <w:rFonts w:ascii="Times New Roman" w:hAnsi="Times New Roman"/>
          <w:w w:val="100"/>
          <w:sz w:val="19"/>
        </w:rPr>
        <w:t> Luvanhaltijan on rekisteröitävä ja voitava tuottaa raportteja, joissa on jäljempänä mainitut tiedot, arvoilla tai vastaavilla suoritettavaa erää tai kierrosta kohden myönnetyn luvan mukaisesti:</w:t>
      </w:r>
    </w:p>
    <w:p>
      <w:pPr>
        <w:pStyle w:val="Brdtextfyrkant"/>
        <w:numPr>
          <w:ilvl w:val="0"/>
          <w:numId w:val="4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voittorakenteen mukainen painettujen arpojen kokonaismäärä,</w:t>
      </w:r>
    </w:p>
    <w:p>
      <w:pPr>
        <w:pStyle w:val="Brdtextfyrkant"/>
        <w:numPr>
          <w:ilvl w:val="0"/>
          <w:numId w:val="4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myytyjen arpojen kokonaismäärä,</w:t>
      </w:r>
    </w:p>
    <w:p>
      <w:pPr>
        <w:pStyle w:val="Brdtextfyrkant"/>
        <w:numPr>
          <w:ilvl w:val="0"/>
          <w:numId w:val="4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myytyjen arpojen kokonaistuotto,</w:t>
      </w:r>
    </w:p>
    <w:p>
      <w:pPr>
        <w:pStyle w:val="Brdtextfyrkant"/>
        <w:numPr>
          <w:ilvl w:val="0"/>
          <w:numId w:val="4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maksettujen voittojen kokonaismäärä,</w:t>
      </w:r>
    </w:p>
    <w:p>
      <w:pPr>
        <w:pStyle w:val="Brdtextfyrkant"/>
        <w:numPr>
          <w:ilvl w:val="0"/>
          <w:numId w:val="4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maksettujen voittojen kokonaismäärä kullakin voittorakenteen mukaisella tasolla ja</w:t>
      </w:r>
    </w:p>
    <w:p>
      <w:pPr>
        <w:pStyle w:val="Brdtextfyrkant"/>
        <w:numPr>
          <w:ilvl w:val="0"/>
          <w:numId w:val="4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takaisinmaksuprosentin todellinen toteuma.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b/>
          <w:w w:val="100"/>
          <w:sz w:val="19"/>
        </w:rPr>
        <w:t>2 §</w:t>
      </w:r>
      <w:r>
        <w:rPr>
          <w:rFonts w:ascii="Times New Roman" w:hAnsi="Times New Roman"/>
          <w:w w:val="100"/>
          <w:sz w:val="19"/>
        </w:rPr>
        <w:t xml:space="preserve"> Luvanhaltijan on dokumentoitava ja voitava tuottaa raportteja arvoista, jotka ovat joutuneet manipuloinnin kohteeksi tai jotka ovat muulla tavoin kadonneet ennen myyntiä. </w:t>
      </w:r>
    </w:p>
    <w:p>
      <w:pPr>
        <w:pStyle w:val="Brdtextfyrkant"/>
        <w:numPr>
          <w:ilvl w:val="0"/>
          <w:numId w:val="3"/>
        </w:numPr>
        <w:pBdr>
          <w:top w:val="single" w:sz="4" w:space="1" w:color="00000A"/>
        </w:pBd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Nämä määräykset tulevat voimaan 1 päivänä tammikuuta 2019.</w:t>
      </w:r>
    </w:p>
    <w:p>
      <w:pPr>
        <w:pStyle w:val="Brdtextfyrkant"/>
        <w:numPr>
          <w:ilvl w:val="0"/>
          <w:numId w:val="3"/>
        </w:numPr>
        <w:tabs>
          <w:tab w:val="left" w:pos="426" w:leader="none"/>
          <w:tab w:val="left" w:pos="3060" w:leader="none"/>
        </w:tabs>
        <w:ind w:left="0" w:firstLine="181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Määräyksiä sovelletaan myös lupahakemuksiin, jotka toimitetaan arpajaistoiminnan tarkastusviranomaiselle 1 päivän elokuuta 2018 jälkeen ja jotka koskevat 1 päivän tammikuuta 2019 jälkeistä aikaa.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cs="Times New Roman" w:ascii="Times New Roman" w:hAnsi="Times New Roman"/>
          <w:w w:val="100"/>
          <w:sz w:val="19"/>
          <w:szCs w:val="19"/>
        </w:rPr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Arpajaistoiminnan tarkastusviranomaisen puolesta</w:t>
      </w:r>
    </w:p>
    <w:p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  <w:r>
        <w:rPr>
          <w:rFonts w:ascii="Times New Roman" w:hAnsi="Times New Roman"/>
          <w:w w:val="100"/>
          <w:sz w:val="19"/>
        </w:rPr>
        <w:t>CAMILLA ROSENBERG</w:t>
      </w:r>
    </w:p>
    <w:p>
      <w:pPr>
        <w:pStyle w:val="Leipteksti"/>
        <w:jc w:val="center"/>
        <w:rPr/>
      </w:pPr>
      <w:r>
        <w:rPr>
          <w:rFonts w:ascii="Times New Roman" w:hAnsi="Times New Roman"/>
          <w:w w:val="100"/>
          <w:sz w:val="19"/>
        </w:rPr>
        <w:t>Johan Röhr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9360" w:h="13720"/>
      <w:pgMar w:left="1154" w:right="2306" w:header="720" w:top="777" w:footer="720" w:bottom="1302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tabs>
        <w:tab w:val="center" w:pos="3840" w:leader="none"/>
        <w:tab w:val="right" w:pos="7680" w:leader="none"/>
        <w:tab w:val="center" w:pos="12800" w:leader="none"/>
        <w:tab w:val="right" w:pos="25600" w:leader="none"/>
      </w:tabs>
      <w:jc w:val="left"/>
      <w:rPr/>
    </w:pPr>
    <w:r>
      <w:rPr>
        <w:rStyle w:val="Pagina"/>
        <w:rFonts w:cs="Times New Roman" w:ascii="Times New Roman" w:hAnsi="Times New Roman"/>
        <w:w w:val="100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tabs>
        <w:tab w:val="center" w:pos="3840" w:leader="none"/>
        <w:tab w:val="right" w:pos="7680" w:leader="none"/>
        <w:tab w:val="center" w:pos="12800" w:leader="none"/>
        <w:tab w:val="right" w:pos="25600" w:leader="none"/>
      </w:tabs>
      <w:rPr/>
    </w:pPr>
    <w:r>
      <w:rPr>
        <w:rStyle w:val="Pagina"/>
        <w:rFonts w:cs="Times New Roman" w:ascii="Times New Roman" w:hAnsi="Times New Roman"/>
        <w:w w:val="100"/>
      </w:rPr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rPr/>
    </w:pPr>
    <w:r>
      <w:rPr>
        <w:rStyle w:val="Pagina"/>
        <w:rFonts w:cs="Times New Roman" w:ascii="Times New Roman" w:hAnsi="Times New Roman"/>
        <w:w w:val="10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tnot"/>
        <w:rPr/>
      </w:pPr>
      <w:r>
        <w:rPr>
          <w:rFonts w:ascii="Times New Roman" w:hAnsi="Times New Roman"/>
          <w:vertAlign w:val="superscript"/>
        </w:rPr>
        <w:footnoteRef/>
        <w:tab/>
      </w:r>
      <w:r>
        <w:rPr>
          <w:rFonts w:ascii="Times New Roman" w:hAnsi="Times New Roman"/>
          <w:w w:val="100"/>
          <w:sz w:val="17"/>
        </w:rPr>
        <w:t> </w:t>
      </w:r>
      <w:r>
        <w:rPr>
          <w:rFonts w:ascii="Times New Roman" w:hAnsi="Times New Roman"/>
          <w:w w:val="100"/>
          <w:sz w:val="17"/>
        </w:rPr>
        <w:t>Katso teknisiä määräyksiä ja tietoyhteiskunnan palveluja koskevia määräyksiä koskevien tietojen toimittamisessa noudatettavasta menettelystä 9 päivänä syyskuuta 2015 annettu Euroopan parlamentin ja neuvoston direktiivi (EU) 2015/1535.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tabs>
        <w:tab w:val="center" w:pos="3840" w:leader="none"/>
        <w:tab w:val="right" w:pos="7680" w:leader="none"/>
        <w:tab w:val="center" w:pos="14920" w:leader="none"/>
        <w:tab w:val="right" w:pos="29840" w:leader="none"/>
      </w:tabs>
      <w:suppressAutoHyphens w:val="true"/>
      <w:jc w:val="right"/>
      <w:rPr>
        <w:rFonts w:ascii="Times New Roman" w:hAnsi="Times New Roman" w:cs="Times New Roman"/>
        <w:w w:val="100"/>
        <w:sz w:val="21"/>
        <w:szCs w:val="21"/>
      </w:rPr>
    </w:pPr>
    <w:r>
      <w:rPr>
        <w:rFonts w:ascii="Times New Roman" w:hAnsi="Times New Roman"/>
        <w:w w:val="100"/>
        <w:sz w:val="21"/>
      </w:rPr>
      <w:t>LIFS 2018:4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>
    <w:doNotExpandShiftReturn/>
  </w:compat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i-FI" w:eastAsia="fi-FI" w:bidi="fi-FI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fi-FI" w:eastAsia="fi-FI" w:bidi="fi-F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link w:val="BodyText"/>
    <w:uiPriority w:val="99"/>
    <w:qFormat/>
    <w:rPr/>
  </w:style>
  <w:style w:type="character" w:styleId="FooterChar" w:customStyle="1">
    <w:name w:val="Footer Char"/>
    <w:link w:val="Footer"/>
    <w:uiPriority w:val="99"/>
    <w:semiHidden/>
    <w:qFormat/>
    <w:rPr/>
  </w:style>
  <w:style w:type="character" w:styleId="HeaderChar" w:customStyle="1">
    <w:name w:val="Header Char"/>
    <w:link w:val="Header"/>
    <w:uiPriority w:val="99"/>
    <w:semiHidden/>
    <w:qFormat/>
    <w:rPr/>
  </w:style>
  <w:style w:type="character" w:styleId="Bilaga" w:customStyle="1">
    <w:name w:val="Bilaga"/>
    <w:uiPriority w:val="99"/>
    <w:qFormat/>
    <w:rPr>
      <w:sz w:val="14"/>
      <w:szCs w:val="14"/>
    </w:rPr>
  </w:style>
  <w:style w:type="character" w:styleId="Kursiv" w:customStyle="1">
    <w:name w:val="Kursiv"/>
    <w:uiPriority w:val="99"/>
    <w:qFormat/>
    <w:rPr>
      <w:rFonts w:ascii="Times" w:hAnsi="Times" w:cs="Times"/>
      <w:i/>
      <w:iCs/>
      <w:color w:val="000000"/>
      <w:position w:val="0"/>
      <w:sz w:val="22"/>
      <w:u w:val="none"/>
      <w:vertAlign w:val="baseline"/>
    </w:rPr>
  </w:style>
  <w:style w:type="character" w:styleId="Arkisar" w:customStyle="1">
    <w:name w:val="Arkisar"/>
    <w:uiPriority w:val="99"/>
    <w:qFormat/>
    <w:rPr>
      <w:sz w:val="14"/>
      <w:szCs w:val="14"/>
    </w:rPr>
  </w:style>
  <w:style w:type="character" w:styleId="UnderISSNnummer" w:customStyle="1">
    <w:name w:val="Under ISSN-nummer"/>
    <w:uiPriority w:val="99"/>
    <w:qFormat/>
    <w:rPr>
      <w:rFonts w:ascii="Times" w:hAnsi="Times" w:cs="Times"/>
      <w:color w:val="000000"/>
      <w:spacing w:val="0"/>
      <w:position w:val="0"/>
      <w:sz w:val="15"/>
      <w:sz w:val="15"/>
      <w:szCs w:val="15"/>
      <w:u w:val="none"/>
      <w:vertAlign w:val="baseline"/>
    </w:rPr>
  </w:style>
  <w:style w:type="character" w:styleId="Svfrfattnhalvfet" w:customStyle="1">
    <w:name w:val="Sv.författn. halvfet"/>
    <w:uiPriority w:val="99"/>
    <w:qFormat/>
    <w:rPr>
      <w:rFonts w:ascii="Times" w:hAnsi="Times" w:cs="Times"/>
      <w:b/>
      <w:bCs/>
      <w:color w:val="000000"/>
      <w:spacing w:val="0"/>
      <w:position w:val="0"/>
      <w:sz w:val="36"/>
      <w:sz w:val="36"/>
      <w:szCs w:val="36"/>
      <w:u w:val="none"/>
      <w:vertAlign w:val="baseline"/>
    </w:rPr>
  </w:style>
  <w:style w:type="character" w:styleId="Tryckort" w:customStyle="1">
    <w:name w:val="Tryckort"/>
    <w:uiPriority w:val="99"/>
    <w:qFormat/>
    <w:rPr>
      <w:rFonts w:ascii="Times" w:hAnsi="Times" w:cs="Times"/>
      <w:color w:val="000000"/>
      <w:spacing w:val="0"/>
      <w:position w:val="0"/>
      <w:sz w:val="11"/>
      <w:sz w:val="11"/>
      <w:szCs w:val="11"/>
      <w:u w:val="none"/>
      <w:vertAlign w:val="baseline"/>
    </w:rPr>
  </w:style>
  <w:style w:type="character" w:styleId="Painotus">
    <w:name w:val="Painotus"/>
    <w:uiPriority w:val="99"/>
    <w:qFormat/>
    <w:rPr>
      <w:i/>
      <w:iCs/>
    </w:rPr>
  </w:style>
  <w:style w:type="character" w:styleId="Ekvationsvariabler" w:customStyle="1">
    <w:name w:val="Ekvationsvariabler"/>
    <w:uiPriority w:val="99"/>
    <w:qFormat/>
    <w:rPr>
      <w:i/>
      <w:iCs/>
    </w:rPr>
  </w:style>
  <w:style w:type="character" w:styleId="Halvfet" w:customStyle="1">
    <w:name w:val="Halvfet"/>
    <w:uiPriority w:val="99"/>
    <w:qFormat/>
    <w:rPr>
      <w:rFonts w:ascii="Times" w:hAnsi="Times" w:cs="Times"/>
      <w:b/>
      <w:bCs/>
      <w:color w:val="000000"/>
      <w:position w:val="0"/>
      <w:sz w:val="22"/>
      <w:u w:val="none"/>
      <w:vertAlign w:val="baseline"/>
    </w:rPr>
  </w:style>
  <w:style w:type="character" w:styleId="Pagina" w:customStyle="1">
    <w:name w:val="Pagina"/>
    <w:uiPriority w:val="99"/>
    <w:qFormat/>
    <w:rPr>
      <w:rFonts w:ascii="Times" w:hAnsi="Times" w:cs="Times"/>
      <w:color w:val="000000"/>
      <w:spacing w:val="0"/>
      <w:position w:val="0"/>
      <w:sz w:val="19"/>
      <w:sz w:val="19"/>
      <w:szCs w:val="19"/>
      <w:u w:val="none"/>
      <w:vertAlign w:val="baseline"/>
    </w:rPr>
  </w:style>
  <w:style w:type="character" w:styleId="Utkom" w:customStyle="1">
    <w:name w:val="Utkom"/>
    <w:uiPriority w:val="99"/>
    <w:qFormat/>
    <w:rPr>
      <w:rFonts w:ascii="Times" w:hAnsi="Times" w:cs="Times"/>
      <w:color w:val="000000"/>
      <w:spacing w:val="0"/>
      <w:position w:val="0"/>
      <w:sz w:val="17"/>
      <w:sz w:val="17"/>
      <w:szCs w:val="17"/>
      <w:u w:val="none"/>
      <w:vertAlign w:val="baseline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3d5b62"/>
    <w:rPr>
      <w:rFonts w:ascii="Consolas" w:hAnsi="Consolas"/>
      <w:sz w:val="21"/>
      <w:szCs w:val="21"/>
      <w:lang w:val="fi-FI"/>
    </w:rPr>
  </w:style>
  <w:style w:type="character" w:styleId="Alaviitemerkit">
    <w:name w:val="Alaviitemerkit"/>
    <w:qFormat/>
    <w:rPr/>
  </w:style>
  <w:style w:type="character" w:styleId="Alaviitteenankkuri">
    <w:name w:val="Alaviitteen ankkuri"/>
    <w:rPr>
      <w:vertAlign w:val="superscript"/>
    </w:rPr>
  </w:style>
  <w:style w:type="character" w:styleId="Loppuviitteenankkuri">
    <w:name w:val="Loppuviitteen ankkuri"/>
    <w:rPr>
      <w:vertAlign w:val="superscript"/>
    </w:rPr>
  </w:style>
  <w:style w:type="character" w:styleId="Loppuviitemerkit">
    <w:name w:val="Loppuviitemerkit"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link w:val="BodyTextChar"/>
    <w:uiPriority w:val="99"/>
    <w:pPr>
      <w:tabs>
        <w:tab w:val="left" w:pos="2940" w:leader="none"/>
      </w:tabs>
      <w:spacing w:lineRule="atLeast" w:line="220" w:before="0" w:after="0"/>
      <w:jc w:val="both"/>
    </w:pPr>
    <w:rPr>
      <w:rFonts w:ascii="Times" w:hAnsi="Times" w:cs="Times"/>
      <w:color w:val="000000"/>
      <w:w w:val="100"/>
      <w:sz w:val="18"/>
      <w:szCs w:val="18"/>
    </w:rPr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Utgivare" w:customStyle="1">
    <w:name w:val="Utgivare"/>
    <w:qFormat/>
    <w:pPr>
      <w:widowControl w:val="false"/>
      <w:tabs>
        <w:tab w:val="left" w:pos="100" w:leader="none"/>
      </w:tabs>
      <w:bidi w:val="0"/>
      <w:spacing w:lineRule="atLeast" w:line="160" w:before="180" w:after="0"/>
      <w:jc w:val="both"/>
    </w:pPr>
    <w:rPr>
      <w:rFonts w:ascii="Times" w:hAnsi="Times" w:cs="Times" w:eastAsia="Times New Roman"/>
      <w:color w:val="000000"/>
      <w:w w:val="100"/>
      <w:kern w:val="0"/>
      <w:sz w:val="16"/>
      <w:szCs w:val="16"/>
      <w:lang w:val="fi-FI" w:eastAsia="fi-FI" w:bidi="fi-FI"/>
    </w:rPr>
  </w:style>
  <w:style w:type="paragraph" w:styleId="Fristende7cic" w:customStyle="1">
    <w:name w:val="Fristående 7 cic"/>
    <w:uiPriority w:val="99"/>
    <w:qFormat/>
    <w:pPr>
      <w:widowControl/>
      <w:tabs>
        <w:tab w:val="left" w:pos="1980" w:leader="none"/>
      </w:tabs>
      <w:bidi w:val="0"/>
      <w:spacing w:lineRule="atLeast" w:line="220" w:before="100" w:after="0"/>
      <w:ind w:left="1980" w:hanging="19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Brdtextblank" w:customStyle="1">
    <w:name w:val="Brödtext blank"/>
    <w:uiPriority w:val="99"/>
    <w:qFormat/>
    <w:pPr>
      <w:widowControl/>
      <w:tabs>
        <w:tab w:val="left" w:pos="3060" w:leader="none"/>
      </w:tabs>
      <w:bidi w:val="0"/>
      <w:spacing w:lineRule="atLeast" w:line="220" w:before="220" w:after="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Brdtexthalv" w:customStyle="1">
    <w:name w:val="Brödtext halv"/>
    <w:uiPriority w:val="99"/>
    <w:qFormat/>
    <w:pPr>
      <w:widowControl/>
      <w:bidi w:val="0"/>
      <w:spacing w:lineRule="atLeast" w:line="220" w:before="100" w:after="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Brdtextlinje" w:customStyle="1">
    <w:name w:val="Brödtext linje"/>
    <w:uiPriority w:val="99"/>
    <w:qFormat/>
    <w:pPr>
      <w:widowControl/>
      <w:pBdr>
        <w:top w:val="single" w:sz="8" w:space="0" w:color="00000A"/>
      </w:pBdr>
      <w:bidi w:val="0"/>
      <w:spacing w:lineRule="atLeast" w:line="220"/>
      <w:ind w:firstLine="1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Fotnot" w:customStyle="1">
    <w:name w:val="Fotnot"/>
    <w:uiPriority w:val="99"/>
    <w:qFormat/>
    <w:pPr>
      <w:widowControl w:val="false"/>
      <w:tabs>
        <w:tab w:val="left" w:pos="100" w:leader="none"/>
      </w:tabs>
      <w:bidi w:val="0"/>
      <w:spacing w:lineRule="atLeast" w:line="160"/>
      <w:jc w:val="both"/>
    </w:pPr>
    <w:rPr>
      <w:rFonts w:ascii="Times" w:hAnsi="Times" w:cs="Times" w:eastAsia="Times New Roman"/>
      <w:color w:val="000000"/>
      <w:w w:val="100"/>
      <w:kern w:val="0"/>
      <w:sz w:val="16"/>
      <w:szCs w:val="16"/>
      <w:lang w:val="fi-FI" w:eastAsia="fi-FI" w:bidi="fi-FI"/>
    </w:rPr>
  </w:style>
  <w:style w:type="paragraph" w:styleId="Alatunniste">
    <w:name w:val="Footer"/>
    <w:basedOn w:val="Normal"/>
    <w:link w:val="FooterChar"/>
    <w:uiPriority w:val="99"/>
    <w:pPr>
      <w:widowControl w:val="false"/>
      <w:tabs>
        <w:tab w:val="center" w:pos="3840" w:leader="none"/>
        <w:tab w:val="right" w:pos="7680" w:leader="none"/>
      </w:tabs>
      <w:spacing w:lineRule="atLeast" w:line="220" w:before="0" w:after="0"/>
      <w:jc w:val="right"/>
    </w:pPr>
    <w:rPr>
      <w:rFonts w:ascii="Times" w:hAnsi="Times" w:cs="Times"/>
      <w:color w:val="000000"/>
      <w:w w:val="100"/>
      <w:sz w:val="18"/>
      <w:szCs w:val="18"/>
    </w:rPr>
  </w:style>
  <w:style w:type="paragraph" w:styleId="Yltunniste">
    <w:name w:val="Header"/>
    <w:basedOn w:val="Normal"/>
    <w:link w:val="HeaderChar"/>
    <w:uiPriority w:val="99"/>
    <w:pPr>
      <w:widowControl w:val="false"/>
      <w:tabs>
        <w:tab w:val="left" w:pos="2680" w:leader="none"/>
        <w:tab w:val="left" w:pos="4860" w:leader="none"/>
      </w:tabs>
      <w:spacing w:lineRule="atLeast" w:line="240" w:before="0" w:after="0"/>
      <w:jc w:val="both"/>
    </w:pPr>
    <w:rPr>
      <w:rFonts w:ascii="Times" w:hAnsi="Times" w:cs="Times"/>
      <w:b/>
      <w:bCs/>
      <w:color w:val="000000"/>
      <w:w w:val="100"/>
      <w:sz w:val="20"/>
      <w:szCs w:val="20"/>
    </w:rPr>
  </w:style>
  <w:style w:type="paragraph" w:styleId="Rubrik1" w:customStyle="1">
    <w:name w:val="Rubrik1"/>
    <w:uiPriority w:val="99"/>
    <w:qFormat/>
    <w:pPr>
      <w:widowControl w:val="false"/>
      <w:suppressAutoHyphens w:val="true"/>
      <w:bidi w:val="0"/>
      <w:spacing w:lineRule="atLeast" w:line="240"/>
      <w:ind w:right="240" w:hanging="0"/>
      <w:jc w:val="left"/>
    </w:pPr>
    <w:rPr>
      <w:rFonts w:ascii="Times" w:hAnsi="Times" w:cs="Times" w:eastAsia="Times New Roman"/>
      <w:b/>
      <w:bCs/>
      <w:color w:val="000000"/>
      <w:w w:val="100"/>
      <w:kern w:val="0"/>
      <w:sz w:val="24"/>
      <w:szCs w:val="24"/>
      <w:lang w:val="fi-FI" w:eastAsia="fi-FI" w:bidi="fi-FI"/>
    </w:rPr>
  </w:style>
  <w:style w:type="paragraph" w:styleId="Rubrik2engelsk" w:customStyle="1">
    <w:name w:val="Rubrik2 engelsk"/>
    <w:uiPriority w:val="99"/>
    <w:qFormat/>
    <w:pPr>
      <w:keepNext w:val="true"/>
      <w:widowControl w:val="false"/>
      <w:bidi w:val="0"/>
      <w:spacing w:lineRule="atLeast" w:line="200" w:before="320" w:after="0"/>
      <w:jc w:val="both"/>
    </w:pPr>
    <w:rPr>
      <w:rFonts w:ascii="Times" w:hAnsi="Times" w:cs="Times" w:eastAsia="Times New Roman"/>
      <w:b/>
      <w:bCs/>
      <w:color w:val="000000"/>
      <w:w w:val="100"/>
      <w:kern w:val="0"/>
      <w:sz w:val="22"/>
      <w:szCs w:val="20"/>
      <w:lang w:val="fi-FI" w:eastAsia="fi-FI" w:bidi="fi-FI"/>
    </w:rPr>
  </w:style>
  <w:style w:type="paragraph" w:styleId="Rubrik3" w:customStyle="1">
    <w:name w:val="Rubrik3"/>
    <w:uiPriority w:val="99"/>
    <w:qFormat/>
    <w:pPr>
      <w:keepNext w:val="true"/>
      <w:widowControl w:val="false"/>
      <w:suppressAutoHyphens w:val="true"/>
      <w:bidi w:val="0"/>
      <w:spacing w:lineRule="atLeast" w:line="220" w:before="360" w:after="0"/>
      <w:jc w:val="left"/>
    </w:pPr>
    <w:rPr>
      <w:rFonts w:ascii="Times" w:hAnsi="Times" w:cs="Times" w:eastAsia="Times New Roman"/>
      <w:b/>
      <w:bCs/>
      <w:color w:val="000000"/>
      <w:w w:val="100"/>
      <w:kern w:val="0"/>
      <w:sz w:val="18"/>
      <w:szCs w:val="18"/>
      <w:lang w:val="fi-FI" w:eastAsia="fi-FI" w:bidi="fi-FI"/>
    </w:rPr>
  </w:style>
  <w:style w:type="paragraph" w:styleId="Rubrik30" w:customStyle="1">
    <w:name w:val="Rubrik30"/>
    <w:uiPriority w:val="99"/>
    <w:qFormat/>
    <w:pPr>
      <w:keepNext w:val="true"/>
      <w:widowControl w:val="false"/>
      <w:suppressAutoHyphens w:val="true"/>
      <w:bidi w:val="0"/>
      <w:spacing w:lineRule="atLeast" w:line="220" w:before="100" w:after="0"/>
      <w:jc w:val="left"/>
    </w:pPr>
    <w:rPr>
      <w:rFonts w:ascii="Times" w:hAnsi="Times" w:cs="Times" w:eastAsia="Times New Roman"/>
      <w:b/>
      <w:bCs/>
      <w:color w:val="000000"/>
      <w:w w:val="100"/>
      <w:kern w:val="0"/>
      <w:sz w:val="18"/>
      <w:szCs w:val="18"/>
      <w:lang w:val="fi-FI" w:eastAsia="fi-FI" w:bidi="fi-FI"/>
    </w:rPr>
  </w:style>
  <w:style w:type="paragraph" w:styleId="Kantrubrik" w:customStyle="1">
    <w:name w:val="Kantrubrik"/>
    <w:uiPriority w:val="99"/>
    <w:qFormat/>
    <w:pPr>
      <w:widowControl w:val="false"/>
      <w:suppressAutoHyphens w:val="true"/>
      <w:bidi w:val="0"/>
      <w:spacing w:lineRule="atLeast" w:line="280"/>
      <w:jc w:val="left"/>
    </w:pPr>
    <w:rPr>
      <w:rFonts w:ascii="Times" w:hAnsi="Times" w:cs="Times" w:eastAsia="Times New Roman"/>
      <w:b/>
      <w:bCs/>
      <w:color w:val="000000"/>
      <w:w w:val="100"/>
      <w:kern w:val="0"/>
      <w:sz w:val="22"/>
      <w:szCs w:val="22"/>
      <w:lang w:val="fi-FI" w:eastAsia="fi-FI" w:bidi="fi-FI"/>
    </w:rPr>
  </w:style>
  <w:style w:type="paragraph" w:styleId="Rubrik4" w:customStyle="1">
    <w:name w:val="Rubrik4"/>
    <w:uiPriority w:val="99"/>
    <w:qFormat/>
    <w:pPr>
      <w:keepNext w:val="true"/>
      <w:widowControl w:val="false"/>
      <w:suppressAutoHyphens w:val="true"/>
      <w:bidi w:val="0"/>
      <w:spacing w:lineRule="atLeast" w:line="220" w:before="360" w:after="0"/>
      <w:jc w:val="left"/>
    </w:pPr>
    <w:rPr>
      <w:rFonts w:ascii="Times" w:hAnsi="Times" w:cs="Times" w:eastAsia="Times New Roman"/>
      <w:i/>
      <w:iCs/>
      <w:color w:val="000000"/>
      <w:w w:val="100"/>
      <w:kern w:val="0"/>
      <w:sz w:val="18"/>
      <w:szCs w:val="18"/>
      <w:lang w:val="fi-FI" w:eastAsia="fi-FI" w:bidi="fi-FI"/>
    </w:rPr>
  </w:style>
  <w:style w:type="paragraph" w:styleId="Rubrik40" w:customStyle="1">
    <w:name w:val="Rubrik40"/>
    <w:uiPriority w:val="99"/>
    <w:qFormat/>
    <w:pPr>
      <w:keepNext w:val="true"/>
      <w:widowControl w:val="false"/>
      <w:suppressAutoHyphens w:val="true"/>
      <w:bidi w:val="0"/>
      <w:spacing w:lineRule="atLeast" w:line="220" w:before="100" w:after="0"/>
      <w:jc w:val="left"/>
    </w:pPr>
    <w:rPr>
      <w:rFonts w:ascii="Times" w:hAnsi="Times" w:cs="Times" w:eastAsia="Times New Roman"/>
      <w:i/>
      <w:iCs/>
      <w:color w:val="000000"/>
      <w:w w:val="100"/>
      <w:kern w:val="0"/>
      <w:sz w:val="18"/>
      <w:szCs w:val="18"/>
      <w:lang w:val="fi-FI" w:eastAsia="fi-FI" w:bidi="fi-FI"/>
    </w:rPr>
  </w:style>
  <w:style w:type="paragraph" w:styleId="Rubrik400utanluftver" w:customStyle="1">
    <w:name w:val="Rubrik400 utan luft över"/>
    <w:uiPriority w:val="99"/>
    <w:qFormat/>
    <w:pPr>
      <w:keepNext w:val="true"/>
      <w:widowControl w:val="false"/>
      <w:suppressAutoHyphens w:val="true"/>
      <w:bidi w:val="0"/>
      <w:spacing w:lineRule="atLeast" w:line="220"/>
      <w:jc w:val="left"/>
    </w:pPr>
    <w:rPr>
      <w:rFonts w:ascii="Times" w:hAnsi="Times" w:cs="Times" w:eastAsia="Times New Roman"/>
      <w:i/>
      <w:iCs/>
      <w:color w:val="000000"/>
      <w:w w:val="100"/>
      <w:kern w:val="0"/>
      <w:sz w:val="18"/>
      <w:szCs w:val="18"/>
      <w:lang w:val="fi-FI" w:eastAsia="fi-FI" w:bidi="fi-FI"/>
    </w:rPr>
  </w:style>
  <w:style w:type="paragraph" w:styleId="Rubrik5" w:customStyle="1">
    <w:name w:val="Rubrik5"/>
    <w:uiPriority w:val="99"/>
    <w:qFormat/>
    <w:pPr>
      <w:keepNext w:val="true"/>
      <w:widowControl w:val="false"/>
      <w:suppressAutoHyphens w:val="true"/>
      <w:bidi w:val="0"/>
      <w:spacing w:lineRule="atLeast" w:line="220" w:before="360" w:after="0"/>
      <w:jc w:val="left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Rubrik50" w:customStyle="1">
    <w:name w:val="Rubrik50"/>
    <w:uiPriority w:val="99"/>
    <w:qFormat/>
    <w:pPr>
      <w:keepNext w:val="true"/>
      <w:widowControl w:val="false"/>
      <w:suppressAutoHyphens w:val="true"/>
      <w:bidi w:val="0"/>
      <w:spacing w:lineRule="atLeast" w:line="220" w:before="100" w:after="0"/>
      <w:jc w:val="left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Strecklinjeunder" w:customStyle="1">
    <w:name w:val="Strecklinje under"/>
    <w:uiPriority w:val="99"/>
    <w:qFormat/>
    <w:pPr>
      <w:widowControl/>
      <w:pBdr>
        <w:bottom w:val="single" w:sz="8" w:space="0" w:color="00000A"/>
      </w:pBdr>
      <w:tabs>
        <w:tab w:val="left" w:pos="3060" w:leader="none"/>
      </w:tabs>
      <w:bidi w:val="0"/>
      <w:spacing w:lineRule="atLeast" w:line="22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Strecklinjever" w:customStyle="1">
    <w:name w:val="Strecklinje över"/>
    <w:uiPriority w:val="99"/>
    <w:qFormat/>
    <w:pPr>
      <w:widowControl/>
      <w:pBdr>
        <w:top w:val="single" w:sz="8" w:space="0" w:color="00000A"/>
      </w:pBdr>
      <w:tabs>
        <w:tab w:val="left" w:pos="2560" w:leader="none"/>
        <w:tab w:val="left" w:pos="4600" w:leader="none"/>
      </w:tabs>
      <w:bidi w:val="0"/>
      <w:spacing w:lineRule="atLeast" w:line="22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Tabellfotnot" w:customStyle="1">
    <w:name w:val="Tabellfotnot"/>
    <w:uiPriority w:val="99"/>
    <w:qFormat/>
    <w:pPr>
      <w:widowControl w:val="false"/>
      <w:tabs>
        <w:tab w:val="left" w:pos="560" w:leader="none"/>
      </w:tabs>
      <w:bidi w:val="0"/>
      <w:spacing w:lineRule="atLeast" w:line="160"/>
      <w:jc w:val="both"/>
    </w:pPr>
    <w:rPr>
      <w:rFonts w:ascii="Times" w:hAnsi="Times" w:cs="Times" w:eastAsia="Times New Roman"/>
      <w:color w:val="000000"/>
      <w:w w:val="100"/>
      <w:kern w:val="0"/>
      <w:sz w:val="16"/>
      <w:szCs w:val="16"/>
      <w:lang w:val="fi-FI" w:eastAsia="fi-FI" w:bidi="fi-FI"/>
    </w:rPr>
  </w:style>
  <w:style w:type="paragraph" w:styleId="Tabelltext" w:customStyle="1">
    <w:name w:val="Tabelltext"/>
    <w:uiPriority w:val="99"/>
    <w:qFormat/>
    <w:pPr>
      <w:widowControl w:val="false"/>
      <w:bidi w:val="0"/>
      <w:spacing w:lineRule="atLeast" w:line="160"/>
      <w:jc w:val="both"/>
    </w:pPr>
    <w:rPr>
      <w:rFonts w:ascii="Times" w:hAnsi="Times" w:cs="Times" w:eastAsia="Times New Roman"/>
      <w:color w:val="000000"/>
      <w:w w:val="100"/>
      <w:kern w:val="0"/>
      <w:sz w:val="16"/>
      <w:szCs w:val="16"/>
      <w:lang w:val="fi-FI" w:eastAsia="fi-FI" w:bidi="fi-FI"/>
    </w:rPr>
  </w:style>
  <w:style w:type="paragraph" w:styleId="Tabelltitel" w:customStyle="1">
    <w:name w:val="Tabelltitel"/>
    <w:uiPriority w:val="99"/>
    <w:qFormat/>
    <w:pPr>
      <w:keepNext w:val="true"/>
      <w:pageBreakBefore/>
      <w:widowControl w:val="false"/>
      <w:suppressAutoHyphens w:val="true"/>
      <w:bidi w:val="0"/>
      <w:spacing w:lineRule="atLeast" w:line="180" w:before="180" w:after="0"/>
      <w:jc w:val="left"/>
    </w:pPr>
    <w:rPr>
      <w:rFonts w:ascii="Times" w:hAnsi="Times" w:cs="Times" w:eastAsia="Times New Roman"/>
      <w:b/>
      <w:bCs/>
      <w:color w:val="000000"/>
      <w:w w:val="100"/>
      <w:kern w:val="0"/>
      <w:sz w:val="18"/>
      <w:szCs w:val="18"/>
      <w:lang w:val="fi-FI" w:eastAsia="fi-FI" w:bidi="fi-FI"/>
    </w:rPr>
  </w:style>
  <w:style w:type="paragraph" w:styleId="Teksti" w:customStyle="1">
    <w:name w:val="Teksti"/>
    <w:basedOn w:val="Normal"/>
    <w:uiPriority w:val="99"/>
    <w:qFormat/>
    <w:pPr>
      <w:widowControl w:val="false"/>
      <w:tabs>
        <w:tab w:val="left" w:pos="760" w:leader="none"/>
      </w:tabs>
      <w:bidi w:val="0"/>
      <w:spacing w:lineRule="atLeast" w:line="180" w:before="120" w:after="160"/>
      <w:jc w:val="both"/>
    </w:pPr>
    <w:rPr>
      <w:rFonts w:ascii="Times" w:hAnsi="Times" w:cs="Times"/>
      <w:color w:val="000000"/>
      <w:w w:val="100"/>
      <w:sz w:val="14"/>
      <w:szCs w:val="14"/>
      <w:lang w:val="fi-FI" w:eastAsia="fi-FI"/>
    </w:rPr>
  </w:style>
  <w:style w:type="paragraph" w:styleId="Brdtextfyrkant" w:customStyle="1">
    <w:name w:val="brödtext fyrkant"/>
    <w:uiPriority w:val="99"/>
    <w:qFormat/>
    <w:pPr>
      <w:widowControl/>
      <w:tabs>
        <w:tab w:val="left" w:pos="3060" w:leader="none"/>
      </w:tabs>
      <w:bidi w:val="0"/>
      <w:spacing w:lineRule="atLeast" w:line="220"/>
      <w:ind w:firstLine="1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Upprkningaz" w:customStyle="1">
    <w:name w:val="uppräkning a-z"/>
    <w:uiPriority w:val="99"/>
    <w:qFormat/>
    <w:pPr>
      <w:widowControl/>
      <w:tabs>
        <w:tab w:val="left" w:pos="280" w:leader="none"/>
      </w:tabs>
      <w:bidi w:val="0"/>
      <w:spacing w:lineRule="atLeast" w:line="220"/>
      <w:ind w:left="280" w:hanging="2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Upprkningazstart" w:customStyle="1">
    <w:name w:val="uppräkning a-z start"/>
    <w:uiPriority w:val="99"/>
    <w:qFormat/>
    <w:pPr>
      <w:widowControl/>
      <w:tabs>
        <w:tab w:val="left" w:pos="280" w:leader="none"/>
      </w:tabs>
      <w:bidi w:val="0"/>
      <w:spacing w:lineRule="atLeast" w:line="220" w:before="100" w:after="0"/>
      <w:ind w:left="280" w:hanging="2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Upprkningstreck" w:customStyle="1">
    <w:name w:val="uppräkning streck"/>
    <w:uiPriority w:val="99"/>
    <w:qFormat/>
    <w:pPr>
      <w:widowControl/>
      <w:tabs>
        <w:tab w:val="left" w:pos="560" w:leader="none"/>
      </w:tabs>
      <w:bidi w:val="0"/>
      <w:spacing w:lineRule="atLeast" w:line="220"/>
      <w:ind w:left="560" w:hanging="2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Rubrik2" w:customStyle="1">
    <w:name w:val="Rubrik2"/>
    <w:uiPriority w:val="99"/>
    <w:qFormat/>
    <w:pPr>
      <w:keepNext w:val="true"/>
      <w:widowControl/>
      <w:suppressAutoHyphens w:val="true"/>
      <w:bidi w:val="0"/>
      <w:spacing w:lineRule="atLeast" w:line="220" w:before="360" w:after="0"/>
      <w:jc w:val="left"/>
    </w:pPr>
    <w:rPr>
      <w:rFonts w:ascii="Times" w:hAnsi="Times" w:cs="Times" w:eastAsia="Times New Roman"/>
      <w:b/>
      <w:bCs/>
      <w:color w:val="000000"/>
      <w:w w:val="100"/>
      <w:kern w:val="0"/>
      <w:sz w:val="22"/>
      <w:szCs w:val="20"/>
      <w:lang w:val="fi-FI" w:eastAsia="fi-FI" w:bidi="fi-FI"/>
    </w:rPr>
  </w:style>
  <w:style w:type="paragraph" w:styleId="Brdtextnytt" w:customStyle="1">
    <w:name w:val="Brödtext nytt"/>
    <w:uiPriority w:val="99"/>
    <w:qFormat/>
    <w:pPr>
      <w:widowControl/>
      <w:tabs>
        <w:tab w:val="left" w:pos="3060" w:leader="none"/>
      </w:tabs>
      <w:bidi w:val="0"/>
      <w:spacing w:lineRule="atLeast" w:line="220"/>
      <w:ind w:firstLine="180"/>
      <w:jc w:val="both"/>
    </w:pPr>
    <w:rPr>
      <w:rFonts w:ascii="Times" w:hAnsi="Times" w:cs="Times" w:eastAsia="Times New Roman"/>
      <w:color w:val="000000"/>
      <w:w w:val="100"/>
      <w:kern w:val="0"/>
      <w:sz w:val="18"/>
      <w:szCs w:val="18"/>
      <w:lang w:val="fi-FI" w:eastAsia="fi-FI" w:bidi="fi-FI"/>
    </w:rPr>
  </w:style>
  <w:style w:type="paragraph" w:styleId="PlainText">
    <w:name w:val="Plain Text"/>
    <w:basedOn w:val="Normal"/>
    <w:link w:val="PlainTextChar"/>
    <w:uiPriority w:val="99"/>
    <w:unhideWhenUsed/>
    <w:qFormat/>
    <w:rsid w:val="003d5b62"/>
    <w:pPr>
      <w:spacing w:lineRule="auto" w:line="240" w:before="0" w:after="0"/>
    </w:pPr>
    <w:rPr>
      <w:rFonts w:ascii="Consolas" w:hAnsi="Consolas"/>
      <w:sz w:val="21"/>
      <w:szCs w:val="21"/>
      <w:lang w:val="fi-FI" w:eastAsia="fi-FI"/>
    </w:rPr>
  </w:style>
  <w:style w:type="paragraph" w:styleId="Alavii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LibreOffice/5.4.7.2$Windows_X86_64 LibreOffice_project/c838ef25c16710f8838b1faec480ebba495259d0</Application>
  <Pages>9</Pages>
  <Words>2276</Words>
  <Characters>16619</Characters>
  <CharactersWithSpaces>18682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2018-11-09T14:20:00Z</dcterms:created>
  <dc:creator>rkuser1</dc:creator>
  <dc:description/>
  <dc:language>fi-FI</dc:language>
  <cp:lastModifiedBy/>
  <dcterms:modified xsi:type="dcterms:W3CDTF">2018-11-22T09:12:06Z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