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D0" w:rsidRDefault="008C35D0" w:rsidP="008C35D0">
      <w:pPr>
        <w:pStyle w:val="PlainText"/>
        <w:ind w:firstLine="708"/>
        <w:rPr>
          <w:rFonts w:ascii="Courier New" w:hAnsi="Courier New" w:cs="Courier New"/>
          <w:sz w:val="20"/>
          <w:szCs w:val="20"/>
          <w:lang/>
        </w:rPr>
      </w:pPr>
      <w:r>
        <w:rPr>
          <w:rFonts w:ascii="Courier New" w:hAnsi="Courier New"/>
          <w:sz w:val="20"/>
        </w:rPr>
        <w:t xml:space="preserve">1. </w:t>
      </w:r>
      <w:r>
        <w:rPr>
          <w:rFonts w:ascii="Courier New" w:hAnsi="Courier New"/>
          <w:sz w:val="20"/>
        </w:rPr>
        <w:t xml:space="preserve">------IND- 2019 0601 D ES- ------ 20191209 --- --- PROJET </w:t>
      </w:r>
    </w:p>
    <w:p w:rsidR="00E75853" w:rsidRPr="00AA37C3" w:rsidRDefault="00E75853" w:rsidP="00E75853">
      <w:pPr>
        <w:spacing w:after="0" w:line="240" w:lineRule="auto"/>
        <w:ind w:right="-370"/>
        <w:jc w:val="center"/>
        <w:rPr>
          <w:rFonts w:ascii="Arial" w:eastAsia="Times New Roman" w:hAnsi="Arial" w:cs="Times New Roman"/>
          <w:b/>
          <w:sz w:val="24"/>
          <w:szCs w:val="20"/>
          <w:lang/>
        </w:rPr>
      </w:pPr>
      <w:r>
        <w:rPr>
          <w:rFonts w:ascii="Arial" w:hAnsi="Arial"/>
          <w:b/>
          <w:sz w:val="24"/>
        </w:rPr>
        <w:t>Decreto regional por el que se modifica el Decreto regional relativo a la prevención de infecciones en centros médicos</w:t>
      </w:r>
    </w:p>
    <w:p w:rsidR="00E75853" w:rsidRPr="00B76BEC" w:rsidRDefault="00E75853" w:rsidP="00E75853">
      <w:pPr>
        <w:spacing w:after="0" w:line="240" w:lineRule="auto"/>
        <w:jc w:val="center"/>
        <w:rPr>
          <w:rFonts w:ascii="Arial" w:eastAsia="Times New Roman" w:hAnsi="Arial" w:cs="Times New Roman"/>
          <w:b/>
          <w:sz w:val="24"/>
          <w:szCs w:val="20"/>
          <w:lang/>
        </w:rPr>
      </w:pPr>
      <w:r>
        <w:rPr>
          <w:rFonts w:ascii="Arial" w:hAnsi="Arial"/>
          <w:b/>
          <w:sz w:val="24"/>
        </w:rPr>
        <w:t>(Decreto de prevención médica de infecciones)</w:t>
      </w:r>
      <w:r>
        <w:rPr>
          <w:rStyle w:val="FootnoteReference"/>
          <w:rFonts w:ascii="Arial" w:hAnsi="Arial"/>
          <w:b/>
          <w:sz w:val="24"/>
        </w:rPr>
        <w:footnoteReference w:id="1"/>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jc w:val="center"/>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jc w:val="center"/>
        <w:rPr>
          <w:rFonts w:ascii="Arial" w:eastAsia="Times New Roman" w:hAnsi="Arial" w:cs="Times New Roman"/>
          <w:sz w:val="24"/>
          <w:szCs w:val="20"/>
          <w:lang/>
        </w:rPr>
      </w:pPr>
    </w:p>
    <w:p w:rsidR="00E75853" w:rsidRPr="00B76BEC" w:rsidRDefault="00E75853" w:rsidP="00E75853">
      <w:pPr>
        <w:spacing w:after="0" w:line="240" w:lineRule="auto"/>
        <w:jc w:val="center"/>
        <w:rPr>
          <w:rFonts w:ascii="Arial" w:eastAsia="Times New Roman" w:hAnsi="Arial" w:cs="Times New Roman"/>
          <w:sz w:val="24"/>
          <w:szCs w:val="20"/>
          <w:lang/>
        </w:rPr>
      </w:pPr>
      <w:r>
        <w:rPr>
          <w:rFonts w:ascii="Arial" w:hAnsi="Arial"/>
          <w:sz w:val="24"/>
        </w:rPr>
        <w:t>De XX de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jc w:val="center"/>
        <w:rPr>
          <w:rFonts w:ascii="Arial" w:eastAsia="Times New Roman" w:hAnsi="Arial" w:cs="Times New Roman"/>
          <w:sz w:val="24"/>
          <w:szCs w:val="20"/>
          <w:lang/>
        </w:rPr>
      </w:pPr>
    </w:p>
    <w:p w:rsidR="00E75853" w:rsidRPr="00B76BEC" w:rsidRDefault="00E75853" w:rsidP="00E75853">
      <w:pPr>
        <w:spacing w:after="0" w:line="240" w:lineRule="auto"/>
        <w:rPr>
          <w:rFonts w:ascii="Arial" w:eastAsia="Times New Roman" w:hAnsi="Arial" w:cs="Times New Roman"/>
          <w:sz w:val="24"/>
          <w:szCs w:val="20"/>
          <w:lang/>
        </w:rPr>
      </w:pPr>
      <w:r>
        <w:rPr>
          <w:rFonts w:ascii="Arial" w:hAnsi="Arial"/>
          <w:sz w:val="24"/>
        </w:rPr>
        <w:t xml:space="preserve">En virtud del artículo 23, apartado 8, de la Ley, de 20 de julio de 2000, sobre la protección contra las infecciones (Boletín Oficial Federal, </w:t>
      </w:r>
      <w:r>
        <w:rPr>
          <w:rFonts w:ascii="Arial" w:hAnsi="Arial"/>
          <w:sz w:val="24"/>
        </w:rPr>
        <w:t xml:space="preserve">parte I, p. 1045), modificada por última vez por el artículo 18 </w:t>
      </w:r>
      <w:r>
        <w:rPr>
          <w:rFonts w:ascii="Arial" w:hAnsi="Arial"/>
          <w:sz w:val="24"/>
          <w:i w:val="1"/>
        </w:rPr>
        <w:t>bis</w:t>
      </w:r>
      <w:r>
        <w:rPr>
          <w:rFonts w:ascii="Arial" w:hAnsi="Arial"/>
          <w:sz w:val="24"/>
        </w:rPr>
        <w:t xml:space="preserve"> de la Ley de 9 de agosto de 2019 (Boletín Oficial Federal, parte I, p. 1202), en relación con el artículo 13 del Decreto, de 13 de marzo de 2017, sobre la prevención médica de infecciones (Boletín Oficial del Estado federado de Schleswig-Holstein, p. 169) y el artículo 14, punto 5, en relación con el artículo 3, apartado 3, frase primera, de la Ley, de 14 de diciembre de 2001, sobre los servicios de salud (Boletín Oficial </w:t>
      </w:r>
      <w:r>
        <w:rPr>
          <w:rFonts w:ascii="Arial" w:hAnsi="Arial"/>
          <w:sz w:val="24"/>
        </w:rPr>
        <w:t xml:space="preserve">del Estado federado de Schleswig-Holstein, p. 398), modificada por última vez por el artículo 31 de la Ley de 2 de mayo de 2018 (Boletín Oficial </w:t>
      </w:r>
      <w:r>
        <w:rPr>
          <w:rFonts w:ascii="Arial" w:hAnsi="Arial"/>
          <w:sz w:val="24"/>
        </w:rPr>
        <w:t>del Estado federado de Schleswig-Holstein, p. 162), el Ministerio de Asuntos Sociales, Sanidad, Juventud, Familia y Tercera Edad decreta: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Default="00E75853" w:rsidP="00E75853">
      <w:pPr>
        <w:spacing w:after="0" w:line="240" w:lineRule="auto"/>
        <w:rPr>
          <w:rFonts w:ascii="Arial" w:eastAsia="Times New Roman" w:hAnsi="Arial" w:cs="Times New Roman"/>
          <w:sz w:val="24"/>
          <w:szCs w:val="20"/>
          <w:lang/>
        </w:rPr>
      </w:pPr>
    </w:p>
    <w:p w:rsidR="00D74E42" w:rsidRDefault="00D74E42" w:rsidP="00D74E42">
      <w:pPr>
        <w:spacing w:after="0" w:line="240" w:lineRule="auto"/>
        <w:ind w:left="705" w:hanging="705"/>
        <w:rPr>
          <w:rFonts w:ascii="Arial" w:eastAsia="Times New Roman" w:hAnsi="Arial" w:cs="Times New Roman"/>
          <w:sz w:val="24"/>
          <w:szCs w:val="20"/>
          <w:lang/>
        </w:rPr>
      </w:pPr>
      <w:r>
        <w:rPr>
          <w:rFonts w:ascii="Arial" w:hAnsi="Arial"/>
          <w:sz w:val="24"/>
        </w:rPr>
        <w:t>1)</w:t>
      </w:r>
      <w:r>
        <w:tab/>
      </w:r>
      <w:r>
        <w:rPr>
          <w:rFonts w:ascii="Arial" w:hAnsi="Arial"/>
          <w:sz w:val="24"/>
        </w:rPr>
        <w:t xml:space="preserve">el artículo 2 se modifica como sigue: </w:t>
      </w:r>
      <w:r>
        <w:rPr>
          <w:rFonts w:ascii="Arial" w:eastAsia="Times New Roman" w:hAnsi="Arial" w:cs="Times New Roman"/>
          <w:sz w:val="24"/>
          <w:szCs w:val="20"/>
        </w:rPr>
        <w:br/>
      </w:r>
    </w:p>
    <w:p w:rsidR="00D74E42" w:rsidRDefault="00D74E42" w:rsidP="001F1B0A">
      <w:pPr>
        <w:spacing w:after="0" w:line="240" w:lineRule="auto"/>
        <w:ind w:left="1134" w:hanging="429"/>
        <w:rPr>
          <w:rFonts w:ascii="Arial" w:eastAsia="Times New Roman" w:hAnsi="Arial" w:cs="Times New Roman"/>
          <w:sz w:val="24"/>
          <w:szCs w:val="20"/>
          <w:lang/>
        </w:rPr>
      </w:pPr>
      <w:r>
        <w:rPr>
          <w:rFonts w:ascii="Arial" w:hAnsi="Arial"/>
          <w:sz w:val="24"/>
        </w:rPr>
        <w:t>a)</w:t>
      </w:r>
      <w:r>
        <w:tab/>
      </w:r>
      <w:r>
        <w:rPr>
          <w:rFonts w:ascii="Arial" w:hAnsi="Arial"/>
          <w:sz w:val="24"/>
        </w:rPr>
        <w:t>el apartado 8 se reformula como sigue:</w:t>
      </w:r>
    </w:p>
    <w:p w:rsidR="00E75853" w:rsidRDefault="00D74E42" w:rsidP="006613B7">
      <w:pPr>
        <w:spacing w:after="0" w:line="240" w:lineRule="auto"/>
        <w:ind w:left="1134"/>
        <w:rPr>
          <w:rFonts w:ascii="Arial" w:eastAsia="Times New Roman" w:hAnsi="Arial" w:cs="Times New Roman"/>
          <w:sz w:val="24"/>
          <w:szCs w:val="20"/>
          <w:lang/>
        </w:rPr>
      </w:pPr>
      <w:r>
        <w:rPr>
          <w:rFonts w:ascii="Arial" w:hAnsi="Arial"/>
          <w:sz w:val="24"/>
        </w:rPr>
        <w:t xml:space="preserve">«8. El inventario de todas las salas destinadas al diagnóstico y al tratamiento en las que se prevea la contaminación de fluidos corporales y otros materiales con agentes patógenos deberá poder limpiarse y desinfectarse. </w:t>
      </w:r>
      <w:r>
        <w:rPr>
          <w:rFonts w:ascii="Arial" w:hAnsi="Arial"/>
          <w:sz w:val="24"/>
        </w:rPr>
        <w:t xml:space="preserve">Todos los desinfectantes utilizados deberán ser adecuados y haber demostrado su eficacia para prevenir infecciones en centros médicos. </w:t>
      </w:r>
      <w:r>
        <w:rPr>
          <w:rFonts w:ascii="Arial" w:hAnsi="Arial"/>
          <w:sz w:val="24"/>
        </w:rPr>
        <w:t xml:space="preserve">La eficacia para el ámbito de acción necesario que corresponda deberá ser al menos bactericida, levuricida y viricida limitada y, de ser necesario, también fungicida, tuberculocida, micobactericida y contra las esporas bacterianas. </w:t>
      </w:r>
      <w:r>
        <w:rPr>
          <w:rFonts w:ascii="Arial" w:hAnsi="Arial"/>
          <w:sz w:val="24"/>
        </w:rPr>
        <w:t xml:space="preserve">Deberá haber sido probada, al menos, por dos dictámenes independientes con los respectivos informes de ensayo. </w:t>
      </w:r>
      <w:r>
        <w:rPr>
          <w:rFonts w:ascii="Arial" w:hAnsi="Arial"/>
          <w:sz w:val="24"/>
        </w:rPr>
        <w:t xml:space="preserve">La eficacia se considerará probada si los ensayos han sido realizados por laboratorios de ensayo independientes del fabricante y los informes de ensayo han sido validados por expertos independientes en una evaluación con base científica. </w:t>
      </w:r>
      <w:r>
        <w:rPr>
          <w:rFonts w:ascii="Arial" w:hAnsi="Arial"/>
          <w:sz w:val="24"/>
        </w:rPr>
        <w:t xml:space="preserve">Los laboratorios de ensayo deberán tener la competencia necesaria, que puede probarse, por ejemplo, mediante la acreditación de conformidad con la norma DIN ISO EN 17025:2018-03 de marzo de 2018. </w:t>
      </w:r>
      <w:r>
        <w:rPr>
          <w:rFonts w:ascii="Arial" w:hAnsi="Arial"/>
          <w:sz w:val="24"/>
        </w:rPr>
        <w:t xml:space="preserve">El método de ensayo pertinente deberá validarse, por ejemplo, mediante ensayos interlaboratorios, a fin de tener en cuenta la variabilidad estadística que implica un número de al menos dos repeticiones necesarias del ensayo. </w:t>
      </w:r>
      <w:r>
        <w:rPr>
          <w:rFonts w:ascii="Arial" w:hAnsi="Arial"/>
          <w:sz w:val="24"/>
        </w:rPr>
        <w:t>Los ensayos realizados de conformidad con las especificaciones técnicas de otro Estado miembro de la Unión Europea, Turquía u otro Estado parte del Acuerdo sobre el Espacio Económico Europeo se reconocerán como equivalentes si estas cumplen del mismo modo y de forma permanente el nivel de protección exigido en la frase segunda.»;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6613B7" w:rsidRDefault="006613B7" w:rsidP="006613B7">
      <w:pPr>
        <w:spacing w:after="0" w:line="240" w:lineRule="auto"/>
        <w:ind w:left="1134"/>
        <w:rPr>
          <w:rFonts w:ascii="Arial" w:eastAsia="Times New Roman" w:hAnsi="Arial" w:cs="Times New Roman"/>
          <w:sz w:val="24"/>
          <w:szCs w:val="20"/>
          <w:lang/>
        </w:rPr>
      </w:pPr>
    </w:p>
    <w:p w:rsidR="00E75853" w:rsidRPr="00B76BEC" w:rsidRDefault="00BA5BE0" w:rsidP="00BA5BE0">
      <w:pPr>
        <w:spacing w:line="240" w:lineRule="auto"/>
        <w:ind w:left="1134" w:hanging="567"/>
        <w:rPr>
          <w:rFonts w:ascii="Arial" w:eastAsia="Times New Roman" w:hAnsi="Arial" w:cs="Times New Roman"/>
          <w:sz w:val="24"/>
          <w:szCs w:val="20"/>
          <w:lang/>
        </w:rPr>
      </w:pPr>
      <w:r>
        <w:rPr>
          <w:rFonts w:ascii="Arial" w:hAnsi="Arial"/>
          <w:sz w:val="24"/>
        </w:rPr>
        <w:t>b)</w:t>
      </w:r>
      <w:r>
        <w:tab/>
      </w:r>
      <w:r>
        <w:rPr>
          <w:rFonts w:ascii="Arial" w:hAnsi="Arial"/>
          <w:sz w:val="24"/>
        </w:rPr>
        <w:t>se añade el siguiente apartado 9:</w:t>
      </w:r>
      <w:r>
        <w:rPr>
          <w:rFonts w:ascii="Arial" w:eastAsia="Times New Roman" w:hAnsi="Arial" w:cs="Times New Roman"/>
          <w:sz w:val="24"/>
          <w:szCs w:val="20"/>
        </w:rPr>
        <w:br/>
      </w:r>
      <w:r>
        <w:rPr>
          <w:rFonts w:ascii="Arial" w:eastAsia="Times New Roman" w:hAnsi="Arial" w:cs="Times New Roman"/>
          <w:sz w:val="24"/>
          <w:szCs w:val="20"/>
        </w:rPr>
        <w:br/>
      </w:r>
      <w:r>
        <w:rPr>
          <w:rFonts w:ascii="Arial" w:hAnsi="Arial"/>
          <w:sz w:val="24"/>
        </w:rPr>
        <w:t xml:space="preserve">«9. Las instalaciones críticas, así como los sistemas de ventilación y climatización y los sistemas hidráulicos, se utilizarán, mantendrán y someterán a inspecciones higiénicas periódicas de conformidad con las normas técnicas generalmente reconocidas. </w:t>
      </w:r>
      <w:r>
        <w:rPr>
          <w:rFonts w:ascii="Arial" w:hAnsi="Arial"/>
          <w:sz w:val="24"/>
        </w:rPr>
        <w:t>Solo el personal debidamente capacitado podrá utilizar y mantener las instalaciones.»;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w:rsidR="00E75853" w:rsidRPr="00B76BEC" w:rsidRDefault="00BA5BE0" w:rsidP="00E75853">
      <w:pPr>
        <w:spacing w:after="0" w:line="240" w:lineRule="auto"/>
        <w:rPr>
          <w:rFonts w:ascii="Arial" w:eastAsia="Times New Roman" w:hAnsi="Arial" w:cs="Times New Roman"/>
          <w:sz w:val="24"/>
          <w:szCs w:val="20"/>
          <w:lang/>
        </w:rPr>
      </w:pPr>
      <w:r>
        <w:rPr>
          <w:rFonts w:ascii="Arial" w:hAnsi="Arial"/>
          <w:sz w:val="24"/>
        </w:rPr>
        <w:t>2)</w:t>
      </w:r>
      <w:r>
        <w:tab/>
      </w:r>
      <w:r>
        <w:rPr>
          <w:rFonts w:ascii="Arial" w:hAnsi="Arial"/>
          <w:sz w:val="24"/>
        </w:rPr>
        <w:t>en el artículo 12, tras la indicación «artículo 73, apartado 1» se añade la indicación «, letra 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w:rsidR="00BA5BE0" w:rsidRPr="00B76BEC" w:rsidRDefault="00BA5BE0" w:rsidP="00E75853">
      <w:pPr>
        <w:spacing w:after="0" w:line="240" w:lineRule="auto"/>
        <w:rPr>
          <w:rFonts w:ascii="Arial" w:eastAsia="Times New Roman" w:hAnsi="Arial" w:cs="Times New Roman"/>
          <w:sz w:val="24"/>
          <w:szCs w:val="20"/>
          <w:lang/>
        </w:rPr>
      </w:pPr>
      <w:r>
        <w:rPr>
          <w:rFonts w:ascii="Arial" w:hAnsi="Arial"/>
          <w:sz w:val="24"/>
        </w:rPr>
        <w:t>3)</w:t>
      </w:r>
      <w:r>
        <w:tab/>
      </w:r>
      <w:r>
        <w:rPr>
          <w:rFonts w:ascii="Arial" w:hAnsi="Arial"/>
          <w:sz w:val="24"/>
        </w:rPr>
        <w:t>el presente Decreto entrará en vigor el día de su publicación.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F1B0A" w:rsidRDefault="001F1B0A"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F1B0A" w:rsidRDefault="001F1B0A"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F1B0A" w:rsidRDefault="001F1B0A" w:rsidP="00E75853">
      <w:pPr>
        <w:spacing w:after="0" w:line="240" w:lineRule="auto"/>
        <w:rPr>
          <w:rFonts w:ascii="Arial" w:eastAsia="Times New Roman" w:hAnsi="Arial" w:cs="Times New Roman"/>
          <w:sz w:val="24"/>
          <w:szCs w:val="20"/>
          <w:lang/>
        </w:rPr>
      </w:pPr>
    </w:p>
    <w:p w:rsidR="00E75853" w:rsidRPr="00B76BEC" w:rsidRDefault="00E75853" w:rsidP="00E75853">
      <w:pPr>
        <w:spacing w:after="0" w:line="240" w:lineRule="auto"/>
        <w:rPr>
          <w:rFonts w:ascii="Arial" w:eastAsia="Times New Roman" w:hAnsi="Arial" w:cs="Times New Roman"/>
          <w:sz w:val="24"/>
          <w:szCs w:val="20"/>
          <w:lang/>
        </w:rPr>
      </w:pPr>
      <w:r>
        <w:rPr>
          <w:rFonts w:ascii="Arial" w:hAnsi="Arial"/>
          <w:sz w:val="24"/>
        </w:rPr>
        <w:t>Por la presente, se expide y debe promulgar el presente Decreto.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w:rsidR="00E75853" w:rsidRPr="00B76BEC" w:rsidRDefault="00E75853" w:rsidP="00E75853">
      <w:pPr>
        <w:spacing w:after="0" w:line="240" w:lineRule="auto"/>
        <w:rPr>
          <w:rFonts w:ascii="Arial" w:eastAsia="Times New Roman" w:hAnsi="Arial" w:cs="Times New Roman"/>
          <w:sz w:val="24"/>
          <w:szCs w:val="20"/>
          <w:lang/>
        </w:rPr>
      </w:pPr>
      <w:r>
        <w:rPr>
          <w:rFonts w:ascii="Arial" w:hAnsi="Arial"/>
          <w:sz w:val="24"/>
        </w:rPr>
        <w:t>Kiel, … de XX de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9214" w:type="dxa"/>
        <w:tblLook w:val="01E0" w:firstRow="1" w:lastRow="1" w:firstColumn="1" w:lastColumn="1" w:noHBand="0" w:noVBand="0"/>
      </w:tblPr>
      <w:tblGrid>
        <w:gridCol w:w="9214"/>
      </w:tblGrid>
      <w:tr w:rsidR="006613B7" w:rsidRPr="00B76BEC" w:rsidTr="006613B7">
        <w:trPr>
          <w:trHeight w:val="350"/>
        </w:trPr>
        <w:tc>
          <w:tcPr>
            <w:tcW w:w="9214" w:type="dxa"/>
            <w:shd w:val="clear" w:color="auto" w:fill="auto"/>
          </w:tcPr>
          <w:p w:rsidR="006613B7" w:rsidRPr="001F1B0A" w:rsidRDefault="006613B7" w:rsidP="00FE43B6">
            <w:pPr>
              <w:spacing w:after="0" w:line="240" w:lineRule="auto"/>
              <w:jc w:val="center"/>
              <w:rPr>
                <w:rFonts w:ascii="Arial" w:eastAsia="Times New Roman" w:hAnsi="Arial" w:cs="Times New Roman"/>
                <w:sz w:val="24"/>
                <w:szCs w:val="20"/>
                <w:lang/>
              </w:rPr>
            </w:pPr>
            <w:r>
              <w:rPr>
                <w:rFonts w:ascii="Arial" w:hAnsi="Arial"/>
                <w:sz w:val="24"/>
              </w:rPr>
              <w:t>Heiner Garg</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6613B7" w:rsidRPr="00C02463" w:rsidTr="006613B7">
        <w:trPr>
          <w:trHeight w:val="720"/>
        </w:trPr>
        <w:tc>
          <w:tcPr>
            <w:tcW w:w="9214" w:type="dxa"/>
            <w:shd w:val="clear" w:color="auto" w:fill="auto"/>
          </w:tcPr>
          <w:p w:rsidR="006613B7" w:rsidRPr="001F1B0A" w:rsidRDefault="006613B7" w:rsidP="00B40FA8">
            <w:pPr>
              <w:spacing w:after="0" w:line="240" w:lineRule="auto"/>
              <w:jc w:val="center"/>
              <w:rPr>
                <w:rFonts w:ascii="Arial" w:eastAsia="Times New Roman" w:hAnsi="Arial" w:cs="Times New Roman"/>
                <w:sz w:val="24"/>
                <w:szCs w:val="20"/>
                <w:lang/>
              </w:rPr>
            </w:pPr>
            <w:r>
              <w:rPr>
                <w:rFonts w:ascii="Arial" w:hAnsi="Arial"/>
                <w:sz w:val="24"/>
              </w:rPr>
              <w:t>Ministro de Asuntos Sociales, Sanidad, Juventud,</w:t>
            </w:r>
            <w:r>
              <w:rPr>
                <w:rFonts w:ascii="Arial" w:eastAsia="Times New Roman" w:hAnsi="Arial" w:cs="Times New Roman"/>
                <w:sz w:val="24"/>
                <w:szCs w:val="20"/>
              </w:rPr>
              <w:br/>
            </w:r>
            <w:r>
              <w:rPr>
                <w:rFonts w:ascii="Arial" w:hAnsi="Arial"/>
                <w:sz w:val="24"/>
              </w:rPr>
              <w:t>Familia y Tercera Edad</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Default="00E75853" w:rsidP="00E75853">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A138F" w:rsidRDefault="00CA138F">
      <w:pP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A138F" w:rsidSect="00265F13">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pgMar w:top="1418" w:right="1361" w:bottom="1134" w:left="1418" w:header="720" w:footer="720" w:gutter="0"/>
      <w:paperSrc w:first="15" w:other="15"/>
      <w:cols w:space="720"/>
      <w:titlePg/>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0D5818" w:rsidRDefault="000D5818" w:rsidP="00E75853">
      <w:pPr>
        <w:spacing w:after="0" w:line="240" w:lineRule="auto"/>
      </w:pPr>
      <w:r>
        <w:separator/>
      </w:r>
    </w:p>
  </w:endnote>
  <w:endnote xmlns:w15="http://schemas.microsoft.com/office/word/2012/wordml" w:type="continuationSeparator" w:id="0">
    <w:p w:rsidR="000D5818" w:rsidRDefault="000D5818" w:rsidP="00E7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Foote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Foote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D9" w:rsidRDefault="008C35D0">
    <w:pPr>
      <w:pStyle w:val="Footer"/>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0D5818" w:rsidRDefault="000D5818" w:rsidP="00E75853">
      <w:pPr>
        <w:spacing w:after="0" w:line="240" w:lineRule="auto"/>
      </w:pPr>
      <w:r>
        <w:separator/>
      </w:r>
    </w:p>
  </w:footnote>
  <w:footnote xmlns:w15="http://schemas.microsoft.com/office/word/2012/wordml" w:type="continuationSeparator" w:id="0">
    <w:p w:rsidR="000D5818" w:rsidRDefault="000D5818" w:rsidP="00E75853">
      <w:pPr>
        <w:spacing w:after="0" w:line="240" w:lineRule="auto"/>
      </w:pPr>
      <w:r>
        <w:continuationSeparator/>
      </w:r>
    </w:p>
  </w:footnote>
  <w:footnote xmlns:w="http://schemas.openxmlformats.org/wordprocessingml/2006/main" w:id="1">
    <w:proofErr w:type="spellStart"/>
    <w:proofErr w:type="spellEnd"/>
    <w:proofErr w:type="spellStart"/>
    <w:proofErr w:type="spellEnd"/>
    <w:p w:rsidR="00E75853" w:rsidRDefault="00E75853" w:rsidP="00E75853">
      <w:pPr>
        <w:pStyle w:val="FootnoteText"/>
      </w:pPr>
      <w:r>
        <w:rPr>
          <w:rStyle w:val="FootnoteReference"/>
        </w:rPr>
        <w:footnoteRef/>
      </w:r>
      <w:r>
        <w:t xml:space="preserve"> </w:t>
      </w:r>
      <w:r>
        <w:t>Se han cumplido las obligaciones de información de conformidad con la Directiva (UE) 2015/1535 del Parlamento Europeo y del Consejo, de 9 de septiembre de 2015, por la que se establece un procedimiento de información en materia de reglamentaciones técnicas y de reglas relativas a los servicios de la sociedad de la información (DO L 241, p. 1).</w:t>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Heade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Default="00450C35">
    <w:pPr>
      <w:pStyle w:val="Header"/>
      <w:jc w:val="cente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8C35D0">
      <w:rPr>
        <w:rStyle w:val="PageNumber"/>
        <w:noProof/>
      </w:rPr>
      <w:t>2</w:t>
    </w:r>
    <w:r>
      <w:rPr>
        <w:rStyle w:val="PageNumber"/>
      </w:rPr>
      <w:fldChar w:fldCharType="end"/>
    </w:r>
    <w:r>
      <w:rPr>
        <w:rStyle w:val="PageNumber"/>
      </w:rPr>
      <w:t xml:space="preserve">  -</w:t>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Pr="00170838" w:rsidRDefault="008C35D0" w:rsidP="00192A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14591"/>
    <w:multiLevelType w:val="hybridMultilevel"/>
    <w:tmpl w:val="067870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53"/>
    <w:rsid w:val="000D5818"/>
    <w:rsid w:val="0016465D"/>
    <w:rsid w:val="00165DAA"/>
    <w:rsid w:val="001F1B0A"/>
    <w:rsid w:val="003950FE"/>
    <w:rsid w:val="003B236C"/>
    <w:rsid w:val="003C022D"/>
    <w:rsid w:val="003D0062"/>
    <w:rsid w:val="00450C35"/>
    <w:rsid w:val="006613B7"/>
    <w:rsid w:val="00783A31"/>
    <w:rsid w:val="008C35D0"/>
    <w:rsid w:val="00997B90"/>
    <w:rsid w:val="00AA37C3"/>
    <w:rsid w:val="00AA68CA"/>
    <w:rsid w:val="00B40FA8"/>
    <w:rsid w:val="00BA5BE0"/>
    <w:rsid w:val="00CA138F"/>
    <w:rsid w:val="00D674C7"/>
    <w:rsid w:val="00D74E42"/>
    <w:rsid w:val="00E3571C"/>
    <w:rsid w:val="00E63817"/>
    <w:rsid w:val="00E75853"/>
    <w:rsid w:val="00F313C2"/>
    <w:rsid w:val="00FE43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F625944-31E1-4731-B00B-AE3FAD6E9E85}"/>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rsid w:val="00E75853"/>
    <w:pPr>
      <w:spacing w:after="200" w:line="276" w:lineRule="auto"/>
    </w:pPr>
    <w:rPr>
      <w:rFonts w:eastAsiaTheme="minorEastAsia"/>
      <w:lang w:eastAsia="es-ES"/>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styleId="Header">
    <w:name w:val="header"/>
    <w:basedOn w:val="Normal"/>
    <w:link w:val="HeaderChar"/>
    <w:uiPriority w:val="99"/>
    <w:unhideWhenUsed/>
    <w:rsid w:val="00E75853"/>
    <w:pPr>
      <w:tabs>
        <w:tab w:val="center" w:pos="4536"/>
        <w:tab w:val="right" w:pos="9072"/>
      </w:tabs>
      <w:spacing w:after="0" w:line="240" w:lineRule="auto"/>
    </w:pPr>
  </w:style>
  <w:style xmlns:w15="http://schemas.microsoft.com/office/word/2012/wordml" w:type="character" w:customStyle="1" w:styleId="HeaderChar">
    <w:name w:val="Header Char"/>
    <w:basedOn w:val="DefaultParagraphFont"/>
    <w:link w:val="Header"/>
    <w:uiPriority w:val="99"/>
    <w:rsid w:val="00E75853"/>
    <w:rPr>
      <w:rFonts w:eastAsiaTheme="minorEastAsia"/>
      <w:lang w:eastAsia="es-ES"/>
    </w:rPr>
  </w:style>
  <w:style xmlns:w15="http://schemas.microsoft.com/office/word/2012/wordml" w:type="paragraph" w:styleId="Footer">
    <w:name w:val="footer"/>
    <w:basedOn w:val="Normal"/>
    <w:link w:val="FooterChar"/>
    <w:uiPriority w:val="99"/>
    <w:unhideWhenUsed/>
    <w:rsid w:val="00E75853"/>
    <w:pPr>
      <w:tabs>
        <w:tab w:val="center" w:pos="4536"/>
        <w:tab w:val="right" w:pos="9072"/>
      </w:tabs>
      <w:spacing w:after="0" w:line="240" w:lineRule="auto"/>
    </w:pPr>
  </w:style>
  <w:style xmlns:w15="http://schemas.microsoft.com/office/word/2012/wordml" w:type="character" w:customStyle="1" w:styleId="FooterChar">
    <w:name w:val="Footer Char"/>
    <w:basedOn w:val="DefaultParagraphFont"/>
    <w:link w:val="Footer"/>
    <w:uiPriority w:val="99"/>
    <w:rsid w:val="00E75853"/>
    <w:rPr>
      <w:rFonts w:eastAsiaTheme="minorEastAsia"/>
      <w:lang w:eastAsia="es-ES"/>
    </w:rPr>
  </w:style>
  <w:style xmlns:w15="http://schemas.microsoft.com/office/word/2012/wordml" w:type="character" w:styleId="PageNumber">
    <w:name w:val="page number"/>
    <w:rsid w:val="00E75853"/>
    <w:rPr>
      <w:sz w:val="20"/>
    </w:rPr>
  </w:style>
  <w:style xmlns:w15="http://schemas.microsoft.com/office/word/2012/wordml" w:type="paragraph" w:styleId="FootnoteText">
    <w:name w:val="footnote text"/>
    <w:basedOn w:val="Normal"/>
    <w:link w:val="FootnoteTextChar"/>
    <w:uiPriority w:val="99"/>
    <w:semiHidden/>
    <w:unhideWhenUsed/>
    <w:rsid w:val="00E75853"/>
    <w:pPr>
      <w:spacing w:after="0" w:line="240" w:lineRule="auto"/>
    </w:pPr>
    <w:rPr>
      <w:sz w:val="20"/>
      <w:szCs w:val="20"/>
    </w:rPr>
  </w:style>
  <w:style xmlns:w15="http://schemas.microsoft.com/office/word/2012/wordml" w:type="character" w:customStyle="1" w:styleId="FootnoteTextChar">
    <w:name w:val="Footnote Text Char"/>
    <w:basedOn w:val="DefaultParagraphFont"/>
    <w:link w:val="FootnoteText"/>
    <w:uiPriority w:val="99"/>
    <w:semiHidden/>
    <w:rsid w:val="00E75853"/>
    <w:rPr>
      <w:rFonts w:eastAsiaTheme="minorEastAsia"/>
      <w:sz w:val="20"/>
      <w:szCs w:val="20"/>
      <w:lang w:eastAsia="es-ES"/>
    </w:rPr>
  </w:style>
  <w:style xmlns:w15="http://schemas.microsoft.com/office/word/2012/wordml" w:type="character" w:styleId="FootnoteReference">
    <w:name w:val="footnote reference"/>
    <w:basedOn w:val="DefaultParagraphFont"/>
    <w:uiPriority w:val="99"/>
    <w:semiHidden/>
    <w:unhideWhenUsed/>
    <w:rsid w:val="00E75853"/>
    <w:rPr>
      <w:vertAlign w:val="superscript"/>
    </w:rPr>
  </w:style>
  <w:style xmlns:w15="http://schemas.microsoft.com/office/word/2012/wordml" w:type="paragraph" w:styleId="ListParagraph">
    <w:name w:val="List Paragraph"/>
    <w:basedOn w:val="Normal"/>
    <w:uiPriority w:val="34"/>
    <w:qFormat/>
    <w:rsid w:val="00D74E42"/>
    <w:pPr>
      <w:ind w:left="720"/>
      <w:contextualSpacing/>
    </w:pPr>
  </w:style>
  <w:style xmlns:w15="http://schemas.microsoft.com/office/word/2012/wordml" w:type="paragraph" w:styleId="PlainText">
    <w:name w:val="Plain Text"/>
    <w:basedOn w:val="Normal"/>
    <w:link w:val="PlainTextChar"/>
    <w:uiPriority w:val="99"/>
    <w:semiHidden/>
    <w:unhideWhenUsed/>
    <w:rsid w:val="008C35D0"/>
    <w:pPr>
      <w:spacing w:after="0" w:line="240" w:lineRule="auto"/>
    </w:pPr>
    <w:rPr>
      <w:rFonts w:ascii="Consolas" w:eastAsia="Times New Roman" w:hAnsi="Consolas" w:cs="Times New Roman"/>
      <w:sz w:val="21"/>
      <w:szCs w:val="21"/>
      <w:lang w:val="es-ES" w:eastAsia="es-ES"/>
    </w:rPr>
  </w:style>
  <w:style xmlns:w15="http://schemas.microsoft.com/office/word/2012/wordml" w:type="character" w:customStyle="1" w:styleId="PlainTextChar">
    <w:name w:val="Plain Text Char"/>
    <w:basedOn w:val="DefaultParagraphFont"/>
    <w:link w:val="PlainText"/>
    <w:uiPriority w:val="99"/>
    <w:semiHidden/>
    <w:rsid w:val="008C35D0"/>
    <w:rPr>
      <w:rFonts w:ascii="Consolas" w:eastAsia="Times New Roman" w:hAnsi="Consolas" w:cs="Times New Roman"/>
      <w:sz w:val="21"/>
      <w:szCs w:val="2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2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2819</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Land Schleswig-Holstein</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Först, Andrea (Sozialministerium)</dc:creator>
  <cp:lastModifiedBy>Varga, Eszter</cp:lastModifiedBy>
  <cp:revision>2</cp:revision>
  <dcterms:created xsi:type="dcterms:W3CDTF">2019-12-02T13:10:00Z</dcterms:created>
  <dcterms:modified xsi:type="dcterms:W3CDTF">2019-12-02T13:10:00Z</dcterms:modified>
</cp:coreProperties>
</file>