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3"/>
        <w:gridCol w:w="4935"/>
      </w:tblGrid>
      <w:tr w:rsidR="002D7106" w14:paraId="3F99993F" w14:textId="77777777" w:rsidTr="00301A8E">
        <w:tc>
          <w:tcPr>
            <w:tcW w:w="9908" w:type="dxa"/>
            <w:gridSpan w:val="2"/>
            <w:shd w:val="clear" w:color="auto" w:fill="auto"/>
          </w:tcPr>
          <w:p w14:paraId="2194080D" w14:textId="04E9B5EB" w:rsidR="002D7106" w:rsidRDefault="006E6B03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F71BCF" wp14:editId="563330F3">
                  <wp:extent cx="428625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05ABB8" w14:textId="06F6EBCF" w:rsidR="002D7106" w:rsidRDefault="007145A4">
            <w:pPr>
              <w:spacing w:line="340" w:lineRule="exact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C1277C" wp14:editId="76D39F4B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235585</wp:posOffset>
                      </wp:positionV>
                      <wp:extent cx="1473225" cy="55816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3225" cy="558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30C0CC" w14:textId="5653554F" w:rsidR="007145A4" w:rsidRPr="007145A4" w:rsidRDefault="007145A4" w:rsidP="007145A4">
                                  <w:pPr>
                                    <w:ind w:left="180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1B58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001B58"/>
                                      <w:sz w:val="24"/>
                                    </w:rPr>
                                    <w:t>NTJP</w:t>
                                  </w:r>
                                </w:p>
                                <w:p w14:paraId="45127187" w14:textId="73FC6D8F" w:rsidR="007145A4" w:rsidRPr="007145A4" w:rsidRDefault="007145A4" w:rsidP="007145A4">
                                  <w:pPr>
                                    <w:ind w:left="180"/>
                                    <w:rPr>
                                      <w:rFonts w:asciiTheme="minorHAnsi" w:hAnsiTheme="minorHAnsi" w:cstheme="minorHAnsi"/>
                                      <w:color w:val="001B5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color w:val="001B58"/>
                                    </w:rPr>
                                    <w:t>Neovisno tijelo</w:t>
                                  </w:r>
                                  <w:r>
                                    <w:rPr>
                                      <w:rFonts w:asciiTheme="minorHAnsi" w:hAnsiTheme="minorHAnsi"/>
                                      <w:color w:val="001B58"/>
                                    </w:rPr>
                                    <w:br/>
                                    <w:t>za javne prihode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C127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39.15pt;margin-top:18.55pt;width:116pt;height:4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" fillcolor="white [3201]" stroked="f" strokeweight=".5pt">
                      <v:textbox inset="0,0,0,0">
                        <w:txbxContent>
                          <w:p w14:paraId="0230C0CC" w14:textId="5653554F" w:rsidR="007145A4" w:rsidRPr="007145A4" w:rsidRDefault="007145A4" w:rsidP="007145A4">
                            <w:pPr>
                              <w:ind w:left="18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1B5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1B58"/>
                                <w:sz w:val="24"/>
                              </w:rPr>
                              <w:t>NTJP</w:t>
                            </w:r>
                          </w:p>
                          <w:p w14:paraId="45127187" w14:textId="73FC6D8F" w:rsidR="007145A4" w:rsidRPr="007145A4" w:rsidRDefault="007145A4" w:rsidP="007145A4">
                            <w:pPr>
                              <w:ind w:left="180"/>
                              <w:rPr>
                                <w:rFonts w:asciiTheme="minorHAnsi" w:hAnsiTheme="minorHAnsi" w:cstheme="minorHAnsi"/>
                                <w:color w:val="001B5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B58"/>
                              </w:rPr>
                              <w:t>Neovisno tijelo</w:t>
                            </w:r>
                            <w:r>
                              <w:rPr>
                                <w:rFonts w:asciiTheme="minorHAnsi" w:hAnsiTheme="minorHAnsi"/>
                                <w:color w:val="001B58"/>
                              </w:rPr>
                              <w:br/>
                              <w:t>za javne prihode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HELENSKA REPUBLIKA</w:t>
            </w: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9F28E1E" wp14:editId="2C6C9E0C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227965</wp:posOffset>
                  </wp:positionV>
                  <wp:extent cx="2007235" cy="558165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235" cy="558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7106" w14:paraId="38FB1E5C" w14:textId="77777777" w:rsidTr="00301A8E">
        <w:tc>
          <w:tcPr>
            <w:tcW w:w="9908" w:type="dxa"/>
            <w:gridSpan w:val="2"/>
            <w:shd w:val="clear" w:color="auto" w:fill="auto"/>
          </w:tcPr>
          <w:p w14:paraId="0298D2D8" w14:textId="77777777" w:rsidR="002D7106" w:rsidRDefault="006E6B03">
            <w:pPr>
              <w:spacing w:line="340" w:lineRule="exact"/>
            </w:pPr>
            <w:r>
              <w:rPr>
                <w:b/>
              </w:rPr>
              <w:t>GLAVNA UPRAVA GLAVNOG DRŽAVNOG KEMIJSKOG LABORATORIJA (GDKL)</w:t>
            </w:r>
          </w:p>
          <w:p w14:paraId="3BDD4A7D" w14:textId="77777777" w:rsidR="002D7106" w:rsidRDefault="006E6B03">
            <w:pPr>
              <w:spacing w:line="340" w:lineRule="exact"/>
            </w:pPr>
            <w:r>
              <w:rPr>
                <w:b/>
              </w:rPr>
              <w:t>Uprava za energetiku, industriju i kemijske proizvode</w:t>
            </w:r>
          </w:p>
          <w:p w14:paraId="337F62B9" w14:textId="3C80CF64" w:rsidR="002D7106" w:rsidRDefault="00CD7716">
            <w:pPr>
              <w:spacing w:line="340" w:lineRule="exact"/>
            </w:pPr>
            <w:r>
              <w:rPr>
                <w:b/>
              </w:rPr>
              <w:t>Odjeljak B – Kemijski proizvodi</w:t>
            </w:r>
          </w:p>
        </w:tc>
      </w:tr>
      <w:tr w:rsidR="002D7106" w14:paraId="68DF052B" w14:textId="77777777" w:rsidTr="00301A8E">
        <w:tc>
          <w:tcPr>
            <w:tcW w:w="4973" w:type="dxa"/>
            <w:shd w:val="clear" w:color="auto" w:fill="auto"/>
          </w:tcPr>
          <w:p w14:paraId="14C89062" w14:textId="77777777" w:rsidR="002D7106" w:rsidRDefault="002D7106">
            <w:pPr>
              <w:rPr>
                <w:b/>
              </w:rPr>
            </w:pPr>
          </w:p>
        </w:tc>
        <w:tc>
          <w:tcPr>
            <w:tcW w:w="4935" w:type="dxa"/>
            <w:shd w:val="clear" w:color="auto" w:fill="auto"/>
          </w:tcPr>
          <w:p w14:paraId="6D57B4B9" w14:textId="69FE398D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Atena, 19. prosinca 2022.</w:t>
            </w:r>
          </w:p>
          <w:p w14:paraId="58BD1517" w14:textId="07B5F17F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 xml:space="preserve">Protokol br. 30/004/000/1693 </w:t>
            </w:r>
          </w:p>
        </w:tc>
      </w:tr>
      <w:tr w:rsidR="002D7106" w14:paraId="03712E77" w14:textId="77777777" w:rsidTr="00301A8E">
        <w:tc>
          <w:tcPr>
            <w:tcW w:w="4973" w:type="dxa"/>
            <w:shd w:val="clear" w:color="auto" w:fill="auto"/>
          </w:tcPr>
          <w:p w14:paraId="4ED63F73" w14:textId="492DB4FC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Adresa: 16, An. Tsocha str., 115 21 Atena</w:t>
            </w:r>
          </w:p>
        </w:tc>
        <w:tc>
          <w:tcPr>
            <w:tcW w:w="4935" w:type="dxa"/>
            <w:shd w:val="clear" w:color="auto" w:fill="auto"/>
          </w:tcPr>
          <w:p w14:paraId="0C4D1026" w14:textId="77777777" w:rsidR="002D7106" w:rsidRDefault="002D7106">
            <w:pPr>
              <w:spacing w:line="340" w:lineRule="exact"/>
              <w:jc w:val="both"/>
              <w:rPr>
                <w:b/>
                <w:bCs/>
              </w:rPr>
            </w:pPr>
          </w:p>
        </w:tc>
      </w:tr>
      <w:tr w:rsidR="002D7106" w14:paraId="773B038D" w14:textId="77777777" w:rsidTr="00301A8E">
        <w:tc>
          <w:tcPr>
            <w:tcW w:w="4973" w:type="dxa"/>
            <w:shd w:val="clear" w:color="auto" w:fill="auto"/>
          </w:tcPr>
          <w:p w14:paraId="28104899" w14:textId="34A0F3E3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Informacije: Elli – Maria Apergi</w:t>
            </w:r>
          </w:p>
        </w:tc>
        <w:tc>
          <w:tcPr>
            <w:tcW w:w="4935" w:type="dxa"/>
            <w:shd w:val="clear" w:color="auto" w:fill="auto"/>
          </w:tcPr>
          <w:p w14:paraId="13BDE65C" w14:textId="77777777" w:rsidR="002D7106" w:rsidRDefault="006E6B03">
            <w:pPr>
              <w:spacing w:line="340" w:lineRule="exact"/>
              <w:jc w:val="both"/>
            </w:pPr>
            <w:r>
              <w:rPr>
                <w:b/>
                <w:u w:val="single"/>
              </w:rPr>
              <w:t>Primatelj</w:t>
            </w:r>
          </w:p>
        </w:tc>
      </w:tr>
      <w:tr w:rsidR="002D7106" w14:paraId="4B336E39" w14:textId="77777777" w:rsidTr="00301A8E">
        <w:tc>
          <w:tcPr>
            <w:tcW w:w="4973" w:type="dxa"/>
            <w:shd w:val="clear" w:color="auto" w:fill="auto"/>
          </w:tcPr>
          <w:p w14:paraId="2E0437E7" w14:textId="640105AF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Tel.: 210 6479406</w:t>
            </w:r>
          </w:p>
        </w:tc>
        <w:tc>
          <w:tcPr>
            <w:tcW w:w="4935" w:type="dxa"/>
            <w:shd w:val="clear" w:color="auto" w:fill="auto"/>
          </w:tcPr>
          <w:p w14:paraId="72E1602C" w14:textId="77777777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Vrhovno vijeće za kemikalije</w:t>
            </w:r>
          </w:p>
        </w:tc>
      </w:tr>
      <w:tr w:rsidR="002D7106" w:rsidRPr="00424FBE" w14:paraId="798B3D59" w14:textId="77777777" w:rsidTr="00301A8E">
        <w:tc>
          <w:tcPr>
            <w:tcW w:w="4973" w:type="dxa"/>
            <w:shd w:val="clear" w:color="auto" w:fill="auto"/>
          </w:tcPr>
          <w:p w14:paraId="0F184C76" w14:textId="77777777" w:rsidR="002D7106" w:rsidRPr="00424FBE" w:rsidRDefault="006E6B03">
            <w:pPr>
              <w:spacing w:line="340" w:lineRule="exact"/>
              <w:jc w:val="both"/>
            </w:pPr>
            <w:r>
              <w:rPr>
                <w:b/>
              </w:rPr>
              <w:t xml:space="preserve">e-pošta: </w:t>
            </w:r>
            <w:hyperlink r:id="rId7" w:history="1">
              <w:r>
                <w:rPr>
                  <w:b/>
                </w:rPr>
                <w:t>e.dima@aade.gr</w:t>
              </w:r>
            </w:hyperlink>
            <w:r>
              <w:rPr>
                <w:b/>
              </w:rPr>
              <w:t xml:space="preserve">, </w:t>
            </w:r>
            <w:hyperlink r:id="rId8" w:history="1">
              <w:r>
                <w:rPr>
                  <w:b/>
                </w:rPr>
                <w:t>e.apergi@aade.gr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4935" w:type="dxa"/>
            <w:shd w:val="clear" w:color="auto" w:fill="auto"/>
          </w:tcPr>
          <w:p w14:paraId="323A16D8" w14:textId="77777777" w:rsidR="002D7106" w:rsidRPr="00424FBE" w:rsidRDefault="002D7106">
            <w:pPr>
              <w:spacing w:line="340" w:lineRule="exact"/>
              <w:jc w:val="both"/>
              <w:rPr>
                <w:b/>
                <w:bCs/>
                <w:lang w:val="it-IT"/>
              </w:rPr>
            </w:pPr>
          </w:p>
        </w:tc>
      </w:tr>
      <w:tr w:rsidR="002D7106" w14:paraId="25757648" w14:textId="77777777" w:rsidTr="00301A8E">
        <w:tc>
          <w:tcPr>
            <w:tcW w:w="4973" w:type="dxa"/>
            <w:shd w:val="clear" w:color="auto" w:fill="auto"/>
          </w:tcPr>
          <w:p w14:paraId="6DBD7A36" w14:textId="77777777" w:rsidR="002D7106" w:rsidRPr="00424FBE" w:rsidRDefault="002D7106">
            <w:pPr>
              <w:spacing w:line="340" w:lineRule="exact"/>
              <w:jc w:val="both"/>
              <w:rPr>
                <w:b/>
                <w:bCs/>
                <w:lang w:val="it-IT"/>
              </w:rPr>
            </w:pPr>
          </w:p>
        </w:tc>
        <w:tc>
          <w:tcPr>
            <w:tcW w:w="4935" w:type="dxa"/>
            <w:shd w:val="clear" w:color="auto" w:fill="auto"/>
          </w:tcPr>
          <w:p w14:paraId="190665A0" w14:textId="77777777" w:rsidR="002D7106" w:rsidRDefault="006E6B03">
            <w:pPr>
              <w:spacing w:line="340" w:lineRule="exact"/>
              <w:jc w:val="both"/>
            </w:pPr>
            <w:r>
              <w:rPr>
                <w:b/>
                <w:u w:val="single"/>
              </w:rPr>
              <w:t>Interna distribucija:</w:t>
            </w:r>
          </w:p>
        </w:tc>
      </w:tr>
      <w:tr w:rsidR="002D7106" w14:paraId="068164B0" w14:textId="77777777" w:rsidTr="00301A8E">
        <w:tc>
          <w:tcPr>
            <w:tcW w:w="4973" w:type="dxa"/>
            <w:shd w:val="clear" w:color="auto" w:fill="auto"/>
          </w:tcPr>
          <w:p w14:paraId="264762C1" w14:textId="77777777" w:rsidR="002D7106" w:rsidRDefault="002D7106">
            <w:pPr>
              <w:spacing w:line="340" w:lineRule="exact"/>
              <w:jc w:val="both"/>
              <w:rPr>
                <w:b/>
                <w:bCs/>
              </w:rPr>
            </w:pPr>
          </w:p>
        </w:tc>
        <w:tc>
          <w:tcPr>
            <w:tcW w:w="4935" w:type="dxa"/>
            <w:shd w:val="clear" w:color="auto" w:fill="auto"/>
          </w:tcPr>
          <w:p w14:paraId="1BA43B3D" w14:textId="46244341" w:rsidR="002D7106" w:rsidRDefault="006E6B03">
            <w:pPr>
              <w:spacing w:line="340" w:lineRule="exact"/>
              <w:jc w:val="both"/>
            </w:pPr>
            <w:r>
              <w:rPr>
                <w:b/>
              </w:rPr>
              <w:t>1. Ured ravnatelja Glavne uprave GDKL-a</w:t>
            </w:r>
          </w:p>
        </w:tc>
      </w:tr>
      <w:tr w:rsidR="00301A8E" w14:paraId="7CC59617" w14:textId="77777777" w:rsidTr="00301A8E">
        <w:tc>
          <w:tcPr>
            <w:tcW w:w="4973" w:type="dxa"/>
            <w:shd w:val="clear" w:color="auto" w:fill="auto"/>
          </w:tcPr>
          <w:p w14:paraId="2D005907" w14:textId="77777777" w:rsidR="00301A8E" w:rsidRDefault="00301A8E">
            <w:pPr>
              <w:spacing w:line="340" w:lineRule="exact"/>
              <w:jc w:val="both"/>
              <w:rPr>
                <w:b/>
                <w:bCs/>
              </w:rPr>
            </w:pPr>
          </w:p>
        </w:tc>
        <w:tc>
          <w:tcPr>
            <w:tcW w:w="4935" w:type="dxa"/>
            <w:vMerge w:val="restart"/>
            <w:shd w:val="clear" w:color="auto" w:fill="auto"/>
          </w:tcPr>
          <w:p w14:paraId="01643804" w14:textId="766E70E2" w:rsidR="00301A8E" w:rsidRDefault="00301A8E" w:rsidP="00301A8E">
            <w:pPr>
              <w:spacing w:line="340" w:lineRule="exact"/>
              <w:ind w:right="555"/>
            </w:pPr>
            <w:r>
              <w:rPr>
                <w:b/>
                <w:u w:val="single"/>
              </w:rPr>
              <w:t>2. Uprava za energetiku, industriju i kemijske proizvode</w:t>
            </w:r>
          </w:p>
        </w:tc>
      </w:tr>
      <w:tr w:rsidR="00301A8E" w14:paraId="3BC2082F" w14:textId="77777777" w:rsidTr="00301A8E">
        <w:tc>
          <w:tcPr>
            <w:tcW w:w="4973" w:type="dxa"/>
            <w:shd w:val="clear" w:color="auto" w:fill="auto"/>
          </w:tcPr>
          <w:p w14:paraId="431BE9BE" w14:textId="77777777" w:rsidR="00301A8E" w:rsidRDefault="00301A8E">
            <w:pPr>
              <w:spacing w:line="340" w:lineRule="exact"/>
              <w:jc w:val="both"/>
              <w:rPr>
                <w:b/>
                <w:bCs/>
              </w:rPr>
            </w:pPr>
          </w:p>
        </w:tc>
        <w:tc>
          <w:tcPr>
            <w:tcW w:w="4935" w:type="dxa"/>
            <w:vMerge/>
            <w:shd w:val="clear" w:color="auto" w:fill="auto"/>
          </w:tcPr>
          <w:p w14:paraId="20E2E6EE" w14:textId="3EEBDCE3" w:rsidR="00301A8E" w:rsidRDefault="00301A8E">
            <w:pPr>
              <w:spacing w:line="340" w:lineRule="exact"/>
              <w:jc w:val="both"/>
            </w:pPr>
          </w:p>
        </w:tc>
      </w:tr>
    </w:tbl>
    <w:p w14:paraId="1DC0D71B" w14:textId="77777777" w:rsidR="002D7106" w:rsidRDefault="002D7106">
      <w:pPr>
        <w:spacing w:line="340" w:lineRule="exact"/>
        <w:jc w:val="both"/>
        <w:rPr>
          <w:b/>
        </w:rPr>
      </w:pPr>
    </w:p>
    <w:p w14:paraId="0A08ED18" w14:textId="4AEE2B02" w:rsidR="002D7106" w:rsidRDefault="006E6B03">
      <w:pPr>
        <w:spacing w:line="340" w:lineRule="exact"/>
        <w:jc w:val="both"/>
      </w:pPr>
      <w:r>
        <w:rPr>
          <w:b/>
        </w:rPr>
        <w:t>Predmet</w:t>
      </w:r>
      <w:r>
        <w:t xml:space="preserve">: </w:t>
      </w:r>
      <w:r>
        <w:rPr>
          <w:b/>
        </w:rPr>
        <w:t xml:space="preserve">Utvrđivanje mjera nadzora i sankcija za provedbu Uredbe (EZ) br. 1907/2006 Europskog parlamenta i Vijeća </w:t>
      </w:r>
      <w:bookmarkStart w:id="0" w:name="_Hlk122350013"/>
      <w:bookmarkEnd w:id="0"/>
    </w:p>
    <w:p w14:paraId="137C73BC" w14:textId="77777777" w:rsidR="002D7106" w:rsidRDefault="002D7106">
      <w:pPr>
        <w:spacing w:before="120" w:after="120" w:line="276" w:lineRule="auto"/>
        <w:jc w:val="both"/>
      </w:pPr>
    </w:p>
    <w:p w14:paraId="2870A7C0" w14:textId="77777777" w:rsidR="002D7106" w:rsidRDefault="006E6B03">
      <w:pPr>
        <w:spacing w:before="120" w:after="120" w:line="276" w:lineRule="auto"/>
        <w:jc w:val="both"/>
      </w:pPr>
      <w:r>
        <w:t>Budući da:</w:t>
      </w:r>
    </w:p>
    <w:p w14:paraId="04E029ED" w14:textId="2351B195" w:rsidR="002D7106" w:rsidRDefault="006E6B03">
      <w:pPr>
        <w:numPr>
          <w:ilvl w:val="0"/>
          <w:numId w:val="5"/>
        </w:numPr>
        <w:spacing w:before="120" w:after="120" w:line="276" w:lineRule="auto"/>
        <w:contextualSpacing/>
        <w:jc w:val="both"/>
      </w:pPr>
      <w:r>
        <w:t xml:space="preserve">Uredba (EZ) br. 1907/2006 Europskog parlamenta i Vijeća o registraciji, evaluaciji, autorizaciji i ograničavanju kemikalija (REACH) donesena je u svrhu bolje zaštite zdravlja ljudi i okoliša od rizika koje predstavljaju kemikalije i te kako bi se povećala konkurentnost kemijske industrije EU-a. Njome se također promiču alternativne metode za procjenu rizika tvari s ciljem smanjenja broja ispitivanja provedenih na životinjama, </w:t>
      </w:r>
    </w:p>
    <w:p w14:paraId="26B50CEA" w14:textId="1C3C196E" w:rsidR="002D7106" w:rsidRDefault="006E6B03">
      <w:pPr>
        <w:numPr>
          <w:ilvl w:val="0"/>
          <w:numId w:val="5"/>
        </w:numPr>
        <w:spacing w:before="120" w:after="120" w:line="276" w:lineRule="auto"/>
        <w:contextualSpacing/>
        <w:jc w:val="both"/>
      </w:pPr>
      <w:r>
        <w:t>Uprava za energetiku, industrijske i kemijske proizvode imenovana je Odlukom br. 3013966/2726/2007 (Β΄1025) državnog tajnika za gospodarstvo i financije nacionalnim nadležnim tijelom za provedbu odredaba prethodno navedene Uredbe.</w:t>
      </w:r>
    </w:p>
    <w:p w14:paraId="0ABD401B" w14:textId="7BBABE52" w:rsidR="002D7106" w:rsidRDefault="006E6B03">
      <w:pPr>
        <w:numPr>
          <w:ilvl w:val="0"/>
          <w:numId w:val="5"/>
        </w:numPr>
        <w:spacing w:before="120" w:after="120" w:line="276" w:lineRule="auto"/>
        <w:contextualSpacing/>
        <w:jc w:val="both"/>
      </w:pPr>
      <w:r>
        <w:t>Nakon toga, na temelju odobrenja izdanog u skladu s člancima 125. i 126. Uredbe, uvedene su mjere nadzora za provedbu Uredbe Odlukom br. 450/2008 (Β΄ 2553) državnog tajnika za gospodarstvo i financije, dok su utvrđene Odlukom br. 82/2009 (Β΄ 581) državnog tajnika za gospodarstvo i financije.</w:t>
      </w:r>
    </w:p>
    <w:p w14:paraId="19511025" w14:textId="2BB062A2" w:rsidR="002D7106" w:rsidRDefault="006E6B03">
      <w:pPr>
        <w:numPr>
          <w:ilvl w:val="0"/>
          <w:numId w:val="5"/>
        </w:numPr>
        <w:spacing w:before="120" w:after="120" w:line="276" w:lineRule="auto"/>
        <w:contextualSpacing/>
        <w:jc w:val="both"/>
      </w:pPr>
      <w:r>
        <w:t>Od izrade prethodno navedenih odluka prošlo je više od desetljeća, a tijekom tog razdoblja došlo je do promjena u gospodarskom i društvenom okruženju;</w:t>
      </w:r>
    </w:p>
    <w:p w14:paraId="55E52818" w14:textId="77777777" w:rsidR="002D7106" w:rsidRDefault="002D7106">
      <w:pPr>
        <w:spacing w:before="120" w:after="120" w:line="276" w:lineRule="auto"/>
        <w:contextualSpacing/>
        <w:jc w:val="both"/>
      </w:pPr>
    </w:p>
    <w:p w14:paraId="533FF397" w14:textId="31773D5F" w:rsidR="002D7106" w:rsidRDefault="006E6B03">
      <w:pPr>
        <w:spacing w:before="120" w:after="120" w:line="276" w:lineRule="auto"/>
        <w:jc w:val="both"/>
      </w:pPr>
      <w:r>
        <w:rPr>
          <w:b/>
        </w:rPr>
        <w:t>Potrebno je ažurirati mjere nadzora i sankcije za provedbu Uredbe (EZ) br. 1907/2006 Europskog parlamenta i Vijeća.</w:t>
      </w:r>
    </w:p>
    <w:p w14:paraId="5770BDA6" w14:textId="77777777" w:rsidR="002D7106" w:rsidRDefault="006E6B03">
      <w:pPr>
        <w:spacing w:before="120" w:after="120" w:line="276" w:lineRule="auto"/>
        <w:jc w:val="both"/>
      </w:pPr>
      <w:r>
        <w:t>Nacrtom nove odluke objedinjuju se mjere nadzora i sankcije za provedbu Uredbe u jedinstveni tekst kako bi se pružila potpora svim dionicima, uz istovremeno pojašnjenje postupaka nadzora i modernizaciju administrativnih sankcija.</w:t>
      </w:r>
    </w:p>
    <w:p w14:paraId="1B286252" w14:textId="77777777" w:rsidR="002D7106" w:rsidRDefault="006E6B03">
      <w:pPr>
        <w:spacing w:before="120" w:after="120" w:line="276" w:lineRule="auto"/>
        <w:jc w:val="both"/>
      </w:pPr>
      <w:r>
        <w:lastRenderedPageBreak/>
        <w:t>Osnovna razlika između nacrta nove odluke i odluka stavljenih izvan snage jesu formulacija i određivanje kriterija za izricanje mjera i sankcija, čime se nastoje povećati ih u pogledu povreda propisa koje čine gospodarski subjekti, kako bi se poštovalo načelo proporcionalnosti uz istodobnu zaštitu zdravlja ljudi, okoliša i bilo kojeg drugog aspekta od javnog interesa.</w:t>
      </w:r>
    </w:p>
    <w:p w14:paraId="7750B588" w14:textId="77777777" w:rsidR="002D7106" w:rsidRDefault="006E6B03">
      <w:pPr>
        <w:spacing w:before="120" w:after="120" w:line="276" w:lineRule="auto"/>
        <w:jc w:val="both"/>
      </w:pPr>
      <w:r>
        <w:t>Osim toga, njime se povećava transparentnost u odlukama uprave izbjegavanjem širokog raspona cijena utvrđenih bez kriterija za svaku povredu.</w:t>
      </w:r>
    </w:p>
    <w:p w14:paraId="6E512920" w14:textId="77777777" w:rsidR="002D7106" w:rsidRDefault="006E6B03">
      <w:pPr>
        <w:spacing w:before="120" w:after="120" w:line="276" w:lineRule="auto"/>
        <w:jc w:val="both"/>
      </w:pPr>
      <w:r>
        <w:t xml:space="preserve">Odredbe </w:t>
      </w:r>
      <w:bookmarkStart w:id="1" w:name="_Hlk122350719"/>
      <w:r>
        <w:t>ovog nacrta</w:t>
      </w:r>
      <w:bookmarkEnd w:id="1"/>
      <w:r>
        <w:t xml:space="preserve"> ne podrazumijevaju rashode na štetu državnog proračuna.</w:t>
      </w:r>
    </w:p>
    <w:p w14:paraId="3AA3A13E" w14:textId="77777777" w:rsidR="002D7106" w:rsidRDefault="006E6B03">
      <w:pPr>
        <w:spacing w:before="120" w:after="120" w:line="276" w:lineRule="auto"/>
        <w:jc w:val="both"/>
      </w:pPr>
      <w:r>
        <w:t>Odredbe ovog nacrta izrađene su nakon savjetovanja s odjelima za kemikalije odgovornima za primjenu i provedbu sankcija.</w:t>
      </w:r>
    </w:p>
    <w:p w14:paraId="326DA1AA" w14:textId="7608711C" w:rsidR="002D7106" w:rsidRDefault="006E6B03">
      <w:pPr>
        <w:spacing w:before="120" w:after="120" w:line="276" w:lineRule="auto"/>
        <w:jc w:val="both"/>
      </w:pPr>
      <w:r>
        <w:rPr>
          <w:b/>
        </w:rPr>
        <w:t>S obzirom na prethodno navedeno, dostavljamo sljedeći NACRT na odobrenje Vrhovnom vijeću za kemikalije (VVK) i ostajemo Vam na raspolaganju za sva pojašnjenja ili informacije.</w:t>
      </w:r>
    </w:p>
    <w:p w14:paraId="32DFBDF1" w14:textId="65E376EF" w:rsidR="002D7106" w:rsidRDefault="006E6B03">
      <w:pPr>
        <w:spacing w:before="120" w:after="120" w:line="276" w:lineRule="auto"/>
        <w:jc w:val="both"/>
      </w:pPr>
      <w:r>
        <w:t>Uprava za energetiku, industriju i kemijske proizvode Glavnog državnog laboratorija za kemikalije (GDLK) u izvršavanju svojih ovlasti koje joj pripadaju kao nacionalnom nadležnom tijelu za europsku uredbu REACH o kemikalijama nastavlja s donošenjem nacionalnih mjera nadzora i sankcija povezanih s provedbom Uredbe (EZ) br. 1907/2006 Europskog parlamenta i Vijeća.</w:t>
      </w:r>
    </w:p>
    <w:p w14:paraId="4C868F75" w14:textId="48D0D5ED" w:rsidR="002D7106" w:rsidRDefault="006E6B03">
      <w:pPr>
        <w:spacing w:before="120" w:after="120" w:line="276" w:lineRule="auto"/>
        <w:jc w:val="both"/>
      </w:pPr>
      <w:r>
        <w:t xml:space="preserve">Nakon ishođenja suglasnosti VKK-a s prijedlogom, nacrt će biti stavljen na raspolaganje u svrhu javnog savjetovanja tijekom razdoblja od tri mjeseca u skladu s Direktivom (EU) 2015/1535 Europskog parlamenta i Vijeća od 9. rujna 2015. o utvrđivanju postupka pružanja informacija u području tehničkih propisa i pravila o uslugama informacijskog društva, koja je prenesena u nacionalno pravo Predsjedničkom uredbom 81/2018. </w:t>
      </w:r>
    </w:p>
    <w:p w14:paraId="613A4B3A" w14:textId="5F0027E3" w:rsidR="002D7106" w:rsidRDefault="006E6B03">
      <w:pPr>
        <w:spacing w:before="120" w:after="120" w:line="276" w:lineRule="auto"/>
        <w:jc w:val="both"/>
      </w:pPr>
      <w:r>
        <w:t>Po završetku javnog savjetovanja VKK će raspraviti o/odobriti podnesena očitovanja/primjedbe kako bi se izradio konačni NACRT Zajedničke ministarske odluke, koji će se proslijediti na potpisivanje nadležnim ministarstvima financija, razvoja i ulaganja.</w:t>
      </w:r>
    </w:p>
    <w:p w14:paraId="1464D41A" w14:textId="77777777" w:rsidR="002D7106" w:rsidRDefault="006E6B03">
      <w:pPr>
        <w:spacing w:before="120" w:after="120" w:line="276" w:lineRule="auto"/>
        <w:ind w:left="4320" w:firstLine="720"/>
        <w:jc w:val="both"/>
      </w:pPr>
      <w:r>
        <w:t>Eftychia Dima</w:t>
      </w:r>
    </w:p>
    <w:p w14:paraId="7B29AFBA" w14:textId="77777777" w:rsidR="002D7106" w:rsidRDefault="006E6B03">
      <w:pPr>
        <w:spacing w:before="120" w:after="120" w:line="276" w:lineRule="auto"/>
        <w:ind w:left="4320" w:firstLine="720"/>
        <w:jc w:val="both"/>
      </w:pPr>
      <w:r>
        <w:t>Ravnateljica Uprave</w:t>
      </w:r>
    </w:p>
    <w:p w14:paraId="09475AF3" w14:textId="344A7397" w:rsidR="002D7106" w:rsidRDefault="006E6B03" w:rsidP="00907705">
      <w:pPr>
        <w:jc w:val="center"/>
      </w:pPr>
      <w:r>
        <w:rPr>
          <w:b/>
        </w:rPr>
        <w:t>NACRT PRIJEDLOGA</w:t>
      </w:r>
    </w:p>
    <w:p w14:paraId="1178D0CE" w14:textId="77777777" w:rsidR="002D7106" w:rsidRDefault="002D7106">
      <w:pPr>
        <w:rPr>
          <w:rFonts w:cs="MgHelveticaUCPol"/>
        </w:rPr>
      </w:pPr>
    </w:p>
    <w:p w14:paraId="62EF2EF9" w14:textId="77777777" w:rsidR="002D7106" w:rsidRDefault="006E6B03">
      <w:pPr>
        <w:jc w:val="center"/>
      </w:pPr>
      <w:r>
        <w:t>Članak 1.</w:t>
      </w:r>
    </w:p>
    <w:p w14:paraId="0CE9F2E2" w14:textId="77777777" w:rsidR="002D7106" w:rsidRDefault="006E6B03">
      <w:pPr>
        <w:jc w:val="center"/>
      </w:pPr>
      <w:r>
        <w:t>Mjere nadzora</w:t>
      </w:r>
    </w:p>
    <w:p w14:paraId="06177536" w14:textId="77777777" w:rsidR="002D7106" w:rsidRDefault="002D7106">
      <w:pPr>
        <w:jc w:val="center"/>
        <w:rPr>
          <w:rFonts w:cs="MgHelveticaUCPol"/>
        </w:rPr>
      </w:pPr>
    </w:p>
    <w:p w14:paraId="4CF8596E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rPr>
          <w:color w:val="000000"/>
        </w:rPr>
        <w:t>Kako bi se pratila primjena odredaba Uredbe br. 1907/2006/EZ na tvari, u čistom obliku, smjese i proizvode, na mjestima proizvodnje, skladištenja i općenitog rukovanja takvim proizvodima provode se inspekcije, provjere i uzorkovanje.</w:t>
      </w:r>
    </w:p>
    <w:p w14:paraId="6E8BAF5E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rPr>
          <w:color w:val="000000"/>
        </w:rPr>
        <w:t>Postupci uzorkovanja i ispitivanja uzoraka kemijskih tvari, smjesa i proizvoda, koji su obuhvaćeni odredbama Uredbe br. 1907/2006/EZ, provode se na sličan način kao što je predviđeno općim odredbama Zakonika o hrani, piću i predmetima opće uporabe.</w:t>
      </w:r>
    </w:p>
    <w:p w14:paraId="7FD3A441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t xml:space="preserve">Službe Glavne uprave GDKL-a Neovisnog tijela za javne prihode (NTJP), nadležne za kontrolu, nadzor i inspekciju, izrađuju i provode programe inspekcije / nadzora u poduzećima koja proizvode, pakiraju, skladište i/ili zbrinjavaju kemijske proizvode, smjese i proizvode, pod nadzorom i koordinacijom Uprave za energetiku, industriju i kemijske proizvode prethodno navedene Glavne uprave, koja je odgovorna za provedbu odredaba Uredbe 1907/2006/EZ. </w:t>
      </w:r>
    </w:p>
    <w:p w14:paraId="75513C3C" w14:textId="05EB9683" w:rsidR="002D7106" w:rsidRDefault="006E6B03">
      <w:pPr>
        <w:spacing w:line="276" w:lineRule="auto"/>
        <w:contextualSpacing/>
        <w:jc w:val="both"/>
      </w:pPr>
      <w:r>
        <w:t>Inspekcije se provode sa ili bez prethodne obavijesti poduzeću o predstojećoj inspekciji / nadzoru. Inspekcija / nadzor bez prethodne obavijesti poduzeću provodi se u slučajevima pritužbe, osnivanja zajedničkih timova s drugim nadležnim tijelima, naloga javnog tužitelja ili po službenoj dužnosti, u skladu s provjerama upravnih mjera ograničavanja, kao i u svrhu zaštite zdravlja ljudi i okoliša.</w:t>
      </w:r>
    </w:p>
    <w:p w14:paraId="4880B5EB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rPr>
          <w:color w:val="000000"/>
        </w:rPr>
        <w:t>Zaposlenici podružnice „Kemičari sa sveučilišnom diplomom” GDKL-a koji provode inspekciju / nadzor sastavljaju pisano izvješće o inspekciji i podnose ga voditelju organizacijske jedinice GDKL-a</w:t>
      </w:r>
      <w:r>
        <w:t xml:space="preserve"> u čijoj teritorijalnoj nadležnosti društvo posluje, u roku od dvadeset (20) radnih dana:</w:t>
      </w:r>
    </w:p>
    <w:p w14:paraId="0CCFD669" w14:textId="77777777" w:rsidR="002D7106" w:rsidRDefault="006E6B03">
      <w:pPr>
        <w:spacing w:line="276" w:lineRule="auto"/>
        <w:jc w:val="both"/>
      </w:pPr>
      <w:r>
        <w:t xml:space="preserve">(a) od završetka inspekcije/nadzora, ako </w:t>
      </w:r>
      <w:r>
        <w:rPr>
          <w:color w:val="000000"/>
        </w:rPr>
        <w:t xml:space="preserve"> nije provedeno uzorkovanje, i</w:t>
      </w:r>
      <w:r>
        <w:t xml:space="preserve"> </w:t>
      </w:r>
    </w:p>
    <w:p w14:paraId="1C612C0D" w14:textId="3DE41EB7" w:rsidR="002D7106" w:rsidRDefault="006E6B03">
      <w:pPr>
        <w:spacing w:line="276" w:lineRule="auto"/>
        <w:jc w:val="both"/>
      </w:pPr>
      <w:r>
        <w:rPr>
          <w:color w:val="000000"/>
        </w:rPr>
        <w:lastRenderedPageBreak/>
        <w:t>(b) od zaključenja rezultata laboratorijskog ispitivanja, ako su provedeni uzorkovanje i analiza uzorka/uzoraka.</w:t>
      </w:r>
      <w:r>
        <w:t xml:space="preserve"> </w:t>
      </w:r>
    </w:p>
    <w:p w14:paraId="56E3A126" w14:textId="77777777" w:rsidR="002D7106" w:rsidRDefault="006E6B03">
      <w:pPr>
        <w:spacing w:line="276" w:lineRule="auto"/>
        <w:jc w:val="both"/>
      </w:pPr>
      <w:r>
        <w:rPr>
          <w:color w:val="000000"/>
        </w:rPr>
        <w:t>Prethodno navedeni voditelj organizacijske jedinice GDKL-a bez odlaganja prosljeđuje izvješće o inspekciji upravitelju poduzeća preporučenim pismom ili elektroničkim putem s potvrdom o primitku.</w:t>
      </w:r>
    </w:p>
    <w:p w14:paraId="75AA1202" w14:textId="77777777" w:rsidR="002D7106" w:rsidRDefault="006E6B03">
      <w:pPr>
        <w:numPr>
          <w:ilvl w:val="0"/>
          <w:numId w:val="1"/>
        </w:numPr>
        <w:spacing w:line="276" w:lineRule="auto"/>
        <w:ind w:left="0" w:firstLine="0"/>
        <w:contextualSpacing/>
        <w:jc w:val="both"/>
      </w:pPr>
      <w:r>
        <w:rPr>
          <w:color w:val="000000"/>
        </w:rPr>
        <w:t>Ako se inspekcijom/nadzorom utvrde nesukladnosti s odredbama Uredbe 1907/2006/</w:t>
      </w:r>
      <w:r>
        <w:t>EZ:</w:t>
      </w:r>
    </w:p>
    <w:p w14:paraId="1881C373" w14:textId="7984F0D3" w:rsidR="002D7106" w:rsidRDefault="006E6B03">
      <w:pPr>
        <w:spacing w:line="276" w:lineRule="auto"/>
        <w:jc w:val="both"/>
      </w:pPr>
      <w:r>
        <w:t xml:space="preserve">(a) upravitelj poduzeća </w:t>
      </w:r>
      <w:r>
        <w:rPr>
          <w:color w:val="000000"/>
        </w:rPr>
        <w:t>ima pravo dostaviti pisana objašnjenja o otkrivenim nesukladnostima voditelju organizacijske jedinice GDKL-a,</w:t>
      </w:r>
      <w:r>
        <w:t xml:space="preserve"> u čijoj mjesnoj nadležnosti poduzeće posluje, </w:t>
      </w:r>
      <w:r>
        <w:rPr>
          <w:color w:val="000000"/>
        </w:rPr>
        <w:t>u roku od dvadeset (20) radnih dana po primitku izvješća o inspekciji.</w:t>
      </w:r>
    </w:p>
    <w:p w14:paraId="4533DBD5" w14:textId="50D1A42E" w:rsidR="002D7106" w:rsidRDefault="006E6B03">
      <w:pPr>
        <w:spacing w:line="276" w:lineRule="auto"/>
        <w:jc w:val="both"/>
      </w:pPr>
      <w:r>
        <w:t>Ako prethodno navedena pisana objašnjenja nisu pružena ili ako ih prethodno navedeni voditelj ne smatra zadovoljavajućima, voditelj nadležne službe za kemikalije GDKL-a izriče administrativne sankcije za otkrivene povrede, u skladu s člancima 2., 3. i 4. ove Odluke.</w:t>
      </w:r>
    </w:p>
    <w:p w14:paraId="71855809" w14:textId="77777777" w:rsidR="002D7106" w:rsidRDefault="006E6B03">
      <w:pPr>
        <w:spacing w:line="276" w:lineRule="auto"/>
        <w:jc w:val="both"/>
      </w:pPr>
      <w:r>
        <w:rPr>
          <w:color w:val="000000"/>
        </w:rPr>
        <w:t xml:space="preserve">(b) </w:t>
      </w:r>
      <w:r>
        <w:t xml:space="preserve">Ako je moguće primijeniti korektivne mjere, određuju se rokovi za njihovo podnošenje i provedbu od strane poduzeća. Ovisno o vrsti nesukladnosti </w:t>
      </w:r>
      <w:r>
        <w:rPr>
          <w:color w:val="000000"/>
        </w:rPr>
        <w:t>, ti datumi mogu biti u rasponu od jednog (1) do tri (3) mjeseca nakon što upravitelj društva primi izvješće o inspekciji.</w:t>
      </w:r>
    </w:p>
    <w:p w14:paraId="238F536C" w14:textId="365C50D8" w:rsidR="002D7106" w:rsidRDefault="006E6B03">
      <w:pPr>
        <w:spacing w:line="276" w:lineRule="auto"/>
        <w:jc w:val="both"/>
      </w:pPr>
      <w:r>
        <w:t>Korektivne mjere i njihovu provedbu ocjenjuju zaposlenici GDKL-a koji su proveli inspekciju zbog kako bi se utvrdilo jesu li ispravne i primjerene.</w:t>
      </w:r>
      <w:r>
        <w:rPr>
          <w:color w:val="000000"/>
        </w:rPr>
        <w:t xml:space="preserve"> Nakon evaluacije voditelj organizacijske jedinice GDKL-a</w:t>
      </w:r>
      <w:r>
        <w:t xml:space="preserve"> u čijoj mjesnoj nadležnosti </w:t>
      </w:r>
      <w:r>
        <w:rPr>
          <w:color w:val="000000"/>
        </w:rPr>
        <w:t>poduzeće posluje prosljeđuje zaključke inspekcije upravitelju poduzeća preporučenim pismom.</w:t>
      </w:r>
    </w:p>
    <w:p w14:paraId="4C801D57" w14:textId="1B68576F" w:rsidR="002D7106" w:rsidRDefault="006E6B03">
      <w:pPr>
        <w:spacing w:line="276" w:lineRule="auto"/>
        <w:jc w:val="both"/>
      </w:pPr>
      <w:r>
        <w:t>Ako korektivne mjere nisu dostavljene i/ili provedene ili ako se utvrdi da su netočne i/ili nedostatne, voditelj nadležne službe za kemikalije izriče propisane administrativne sankcije kako je navedeno u člancima 2., 3. i 4. ove Odluke.</w:t>
      </w:r>
    </w:p>
    <w:p w14:paraId="69F27AE7" w14:textId="46B54D57" w:rsidR="002D7106" w:rsidRDefault="006E6B03">
      <w:pPr>
        <w:spacing w:line="276" w:lineRule="auto"/>
        <w:jc w:val="both"/>
      </w:pPr>
      <w:r>
        <w:t>6. U slučaju ispitivanja uzoraka, ako se utvrdi da se njima krše odredbe Uredbe (EZ) br. 1907/2006, odgovornim osobama izriču se administrativne sankcije predviđene člancima 2., 3. i 4. ove Odluke.</w:t>
      </w:r>
    </w:p>
    <w:p w14:paraId="1661EA21" w14:textId="77777777" w:rsidR="002D7106" w:rsidRDefault="002D7106">
      <w:pPr>
        <w:spacing w:line="276" w:lineRule="auto"/>
        <w:jc w:val="both"/>
        <w:rPr>
          <w:rFonts w:cs="MyriadPro-Regular"/>
          <w:color w:val="2E74B5"/>
        </w:rPr>
      </w:pPr>
    </w:p>
    <w:p w14:paraId="455FB148" w14:textId="77777777" w:rsidR="002D7106" w:rsidRDefault="006E6B03">
      <w:pPr>
        <w:jc w:val="center"/>
      </w:pPr>
      <w:r>
        <w:rPr>
          <w:color w:val="000000"/>
        </w:rPr>
        <w:t>Članak 2.</w:t>
      </w:r>
    </w:p>
    <w:p w14:paraId="0320E0F7" w14:textId="77777777" w:rsidR="002D7106" w:rsidRDefault="006E6B03">
      <w:pPr>
        <w:jc w:val="center"/>
      </w:pPr>
      <w:r>
        <w:rPr>
          <w:color w:val="000000"/>
        </w:rPr>
        <w:t>Sankcije i mjere nadzora – opća načela</w:t>
      </w:r>
    </w:p>
    <w:p w14:paraId="1F6313FD" w14:textId="77777777" w:rsidR="002D7106" w:rsidRDefault="002D7106">
      <w:pPr>
        <w:rPr>
          <w:rFonts w:cs="MgHelveticaUCPol"/>
          <w:color w:val="000000"/>
        </w:rPr>
      </w:pPr>
    </w:p>
    <w:p w14:paraId="3702837D" w14:textId="77777777" w:rsidR="002D7106" w:rsidRDefault="006E6B03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Proizvodnja, stavljanje na tržište i/ili uporaba kemijskih tvari u čistom obliku, u smjesama i proizvodima, kao i stavljanje na tržište i/ili uporaba smjesa i proizvoda dopušteni su ako su u skladu s odredbama Uredbe (EZ) br. 1907/2006. U protivnom se primjenjuju mjere i sankcije.</w:t>
      </w:r>
    </w:p>
    <w:p w14:paraId="767B3430" w14:textId="77777777" w:rsidR="002D7106" w:rsidRDefault="006E6B03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Izrečene mjere i sankcije moraju biti razmjerne, na temelju procjene rizika za zaštitu javnog interesa koji predstavlja utvrđena povreda, i namijenjene su sprečavanju ili smanjenju rizika za zdravlje ljudi, okoliš i bilo koji drugi aspekt od javnog interesa.</w:t>
      </w:r>
    </w:p>
    <w:p w14:paraId="6F8E1736" w14:textId="77777777" w:rsidR="002D7106" w:rsidRDefault="006E6B03">
      <w:pPr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Izrečene mjere i sankcije mogu biti sljedeće:</w:t>
      </w:r>
    </w:p>
    <w:p w14:paraId="391D6389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(a) izricanje novčane kazne;</w:t>
      </w:r>
    </w:p>
    <w:p w14:paraId="37804E6B" w14:textId="1E721BAE" w:rsidR="002D7106" w:rsidRDefault="006E6B03">
      <w:pPr>
        <w:spacing w:line="276" w:lineRule="auto"/>
        <w:jc w:val="both"/>
      </w:pPr>
      <w:r>
        <w:rPr>
          <w:color w:val="000000"/>
        </w:rPr>
        <w:t>(b) dodatne ograničavajuće administrativne mjere kojima se zabranjuje</w:t>
      </w:r>
      <w:r>
        <w:t xml:space="preserve"> stavljanje na tržište i povlačenje s tržišta ili </w:t>
      </w:r>
      <w:r>
        <w:rPr>
          <w:color w:val="000000"/>
        </w:rPr>
        <w:t>oduzimanje proizvoda i povlačenje s tržišta.</w:t>
      </w:r>
    </w:p>
    <w:p w14:paraId="504D3BEE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3E010A3A" w14:textId="77777777" w:rsidR="002D7106" w:rsidRDefault="006E6B03">
      <w:pPr>
        <w:jc w:val="center"/>
      </w:pPr>
      <w:r>
        <w:rPr>
          <w:color w:val="000000"/>
        </w:rPr>
        <w:t>Članak 3.</w:t>
      </w:r>
    </w:p>
    <w:p w14:paraId="48F23B12" w14:textId="77777777" w:rsidR="002D7106" w:rsidRDefault="006E6B03">
      <w:pPr>
        <w:jc w:val="center"/>
      </w:pPr>
      <w:r>
        <w:rPr>
          <w:color w:val="000000"/>
        </w:rPr>
        <w:t>Klasifikacija povreda i izricanje novčanih kazni</w:t>
      </w:r>
    </w:p>
    <w:p w14:paraId="0FD0FFE1" w14:textId="77777777" w:rsidR="002D7106" w:rsidRDefault="002D7106">
      <w:pPr>
        <w:jc w:val="center"/>
        <w:rPr>
          <w:rFonts w:cs="MgHelveticaUCPol"/>
          <w:color w:val="000000"/>
        </w:rPr>
      </w:pPr>
    </w:p>
    <w:p w14:paraId="5FF50226" w14:textId="77777777" w:rsidR="002D7106" w:rsidRDefault="006E6B03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Izricanje novčane kazne slijedi načelo proporcionalnosti. Pri utvrđivanju novčane kazne u obzir se uzima sljedeće:</w:t>
      </w:r>
    </w:p>
    <w:p w14:paraId="55605A79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(a) ozbiljnost povreda, na temelju čega se utvrđuje najviša osnovna cijena (NOC) novčane kazne, u skladu sa stavkom 2. točkom (a);</w:t>
      </w:r>
    </w:p>
    <w:p w14:paraId="6C7BB8A9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(b) status gospodarskog subjekta nad kojim se provodi nadzor, na temelju kojeg se određuje koeficijent za određivanje novčane kazne (KONK), u skladu sa stavkom 2. točkom (b);</w:t>
      </w:r>
    </w:p>
    <w:p w14:paraId="61680A07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 xml:space="preserve">(c) određeni operativni čimbenici koji su navedeni i procijenjeni u skladu sa stavkom 2. točkom (c), uz navođenje stupnja i naknadno koeficijenta za izricanje novčane kazne (KINK). </w:t>
      </w:r>
    </w:p>
    <w:p w14:paraId="6F559844" w14:textId="77777777" w:rsidR="002D7106" w:rsidRDefault="006E6B03">
      <w:pPr>
        <w:numPr>
          <w:ilvl w:val="0"/>
          <w:numId w:val="3"/>
        </w:numPr>
        <w:tabs>
          <w:tab w:val="left" w:pos="426"/>
        </w:tabs>
        <w:ind w:left="0" w:firstLine="0"/>
        <w:contextualSpacing/>
        <w:jc w:val="both"/>
      </w:pPr>
      <w:r>
        <w:rPr>
          <w:color w:val="000000"/>
        </w:rPr>
        <w:t>Za izračun iznosa novčane kazne izračunava se sljedeće:</w:t>
      </w:r>
    </w:p>
    <w:p w14:paraId="41BF4DDB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631AACCA" w14:textId="77777777" w:rsidR="002D7106" w:rsidRDefault="006E6B03">
      <w:pPr>
        <w:tabs>
          <w:tab w:val="left" w:pos="426"/>
        </w:tabs>
        <w:spacing w:line="276" w:lineRule="auto"/>
        <w:jc w:val="both"/>
      </w:pPr>
      <w:r>
        <w:rPr>
          <w:color w:val="000000"/>
        </w:rPr>
        <w:t>(a) određivanje najviše osnovne cijene (NOC) novčane kazne pomoću tablice u nastavku:</w:t>
      </w:r>
    </w:p>
    <w:p w14:paraId="1163A03F" w14:textId="77777777" w:rsidR="002D7106" w:rsidRDefault="002D7106">
      <w:pPr>
        <w:tabs>
          <w:tab w:val="left" w:pos="426"/>
        </w:tabs>
        <w:jc w:val="both"/>
        <w:rPr>
          <w:rFonts w:cs="MyriadPro-Regular"/>
          <w:color w:val="000000"/>
        </w:rPr>
      </w:pPr>
    </w:p>
    <w:tbl>
      <w:tblPr>
        <w:tblW w:w="8715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401"/>
        <w:gridCol w:w="3295"/>
        <w:gridCol w:w="2019"/>
      </w:tblGrid>
      <w:tr w:rsidR="002D7106" w14:paraId="7DD254F4" w14:textId="77777777" w:rsidTr="002F6115">
        <w:trPr>
          <w:trHeight w:val="15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0742B7" w14:textId="6DA93048" w:rsidR="002D7106" w:rsidRDefault="006E6B03">
            <w:r>
              <w:rPr>
                <w:b/>
                <w:color w:val="000000"/>
              </w:rPr>
              <w:lastRenderedPageBreak/>
              <w:t>Povrede kategorije A – Odredbe Uredbe (EZ) br. 1907/2006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97384D" w14:textId="483C0435" w:rsidR="002D7106" w:rsidRDefault="006E6B03">
            <w:r>
              <w:rPr>
                <w:b/>
                <w:color w:val="000000"/>
              </w:rPr>
              <w:t>Članci Uredbe (EZ) br. 1907/2006 kojima su obuhvaćene povrede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57C94C" w14:textId="0766FF67" w:rsidR="002D7106" w:rsidRDefault="006E6B03">
            <w:r>
              <w:rPr>
                <w:b/>
                <w:color w:val="000000"/>
              </w:rPr>
              <w:t>Najviša osnovna cijena (NOC) po tvari / smjesi / proizvodu i po povredi</w:t>
            </w:r>
            <w:r>
              <w:rPr>
                <w:b/>
                <w:color w:val="000000"/>
              </w:rPr>
              <w:br/>
              <w:t>u eurima</w:t>
            </w:r>
          </w:p>
        </w:tc>
      </w:tr>
      <w:tr w:rsidR="002D7106" w14:paraId="1BA7AA06" w14:textId="77777777" w:rsidTr="002F6115">
        <w:trPr>
          <w:trHeight w:val="54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207A9" w14:textId="7D84EBFE" w:rsidR="002D7106" w:rsidRDefault="006E6B03">
            <w:r>
              <w:rPr>
                <w:color w:val="000000"/>
              </w:rPr>
              <w:t xml:space="preserve">Povrede u vezi s obvezom registracije 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8AFB" w14:textId="77777777" w:rsidR="002D7106" w:rsidRDefault="006E6B03">
            <w:r>
              <w:rPr>
                <w:color w:val="000000"/>
              </w:rPr>
              <w:t>Povrede članaka</w:t>
            </w:r>
            <w:r>
              <w:t> 5., 6., 7., 8.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C7595" w14:textId="77777777" w:rsidR="002D7106" w:rsidRDefault="006E6B03">
            <w:r>
              <w:rPr>
                <w:color w:val="000000"/>
              </w:rPr>
              <w:t>10 000</w:t>
            </w:r>
          </w:p>
        </w:tc>
      </w:tr>
      <w:tr w:rsidR="002D7106" w14:paraId="112868D1" w14:textId="77777777" w:rsidTr="002F6115">
        <w:trPr>
          <w:trHeight w:val="7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327A4E" w14:textId="77777777" w:rsidR="002D7106" w:rsidRDefault="006E6B03">
            <w:r>
              <w:rPr>
                <w:color w:val="000000"/>
              </w:rPr>
              <w:t>Povrede zahtjeva za odobravanje izuzeća od registracije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AB8CF" w14:textId="77777777" w:rsidR="002D7106" w:rsidRDefault="006E6B03">
            <w:r>
              <w:rPr>
                <w:color w:val="000000"/>
              </w:rPr>
              <w:t xml:space="preserve">Povrede </w:t>
            </w:r>
            <w:r>
              <w:t>članka 9.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B90F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6265CFBC" w14:textId="77777777" w:rsidTr="002F6115">
        <w:trPr>
          <w:trHeight w:val="9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49D0C6" w14:textId="07494E88" w:rsidR="002D7106" w:rsidRDefault="006E6B03">
            <w:r>
              <w:rPr>
                <w:color w:val="000000"/>
              </w:rPr>
              <w:t xml:space="preserve">Povrede u vezi s obvezom registracije za određene vrste intermedijera i izoliranih proizvoda 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B1445" w14:textId="77777777" w:rsidR="002D7106" w:rsidRDefault="006E6B03">
            <w:r>
              <w:rPr>
                <w:color w:val="000000"/>
              </w:rPr>
              <w:t xml:space="preserve">Povrede </w:t>
            </w:r>
            <w:r>
              <w:t>članaka 17. i 18.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7AD3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18A51558" w14:textId="77777777" w:rsidTr="002F6115">
        <w:trPr>
          <w:trHeight w:val="6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F4C64" w14:textId="77777777" w:rsidR="002D7106" w:rsidRDefault="006E6B03">
            <w:r>
              <w:rPr>
                <w:color w:val="000000"/>
              </w:rPr>
              <w:t>Povrede zahtjeva u pogledu obavješćivanja u svrhu registracije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28426" w14:textId="5352B3D7" w:rsidR="002D7106" w:rsidRDefault="006E6B03">
            <w:r>
              <w:t>Povrede članaka 10., 12., 13., 14.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48E54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5671ADFE" w14:textId="77777777" w:rsidTr="002F6115">
        <w:trPr>
          <w:trHeight w:val="6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088F2" w14:textId="77777777" w:rsidR="002D7106" w:rsidRDefault="006E6B03">
            <w:r>
              <w:rPr>
                <w:color w:val="000000"/>
              </w:rPr>
              <w:t xml:space="preserve">Povrede u vezi sa zajedničkim podnošenjem podataka 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5354" w14:textId="77777777" w:rsidR="002D7106" w:rsidRDefault="006E6B03">
            <w:r>
              <w:rPr>
                <w:color w:val="000000"/>
              </w:rPr>
              <w:t>Povrede članaka 11. i 19.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385D2" w14:textId="77777777" w:rsidR="002D7106" w:rsidRDefault="006E6B03">
            <w:r>
              <w:rPr>
                <w:color w:val="000000"/>
              </w:rPr>
              <w:t>1 000</w:t>
            </w:r>
          </w:p>
        </w:tc>
      </w:tr>
      <w:tr w:rsidR="002D7106" w14:paraId="3976C038" w14:textId="77777777" w:rsidTr="002F6115">
        <w:trPr>
          <w:trHeight w:val="54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CC7E8" w14:textId="77777777" w:rsidR="002D7106" w:rsidRDefault="006E6B03">
            <w:r>
              <w:rPr>
                <w:color w:val="000000"/>
              </w:rPr>
              <w:t>Povrede daljnjih obveza podnositelja registracije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DF8EE" w14:textId="77777777" w:rsidR="002D7106" w:rsidRDefault="006E6B03">
            <w:r>
              <w:rPr>
                <w:color w:val="000000"/>
              </w:rPr>
              <w:t>Povrede članaka 21. i 22.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3A0A6" w14:textId="77777777" w:rsidR="002D7106" w:rsidRDefault="006E6B03">
            <w:r>
              <w:rPr>
                <w:color w:val="000000"/>
              </w:rPr>
              <w:t>1 000</w:t>
            </w:r>
          </w:p>
        </w:tc>
      </w:tr>
      <w:tr w:rsidR="002D7106" w14:paraId="35DE343C" w14:textId="77777777" w:rsidTr="002F6115">
        <w:trPr>
          <w:trHeight w:val="90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8FBDD" w14:textId="77777777" w:rsidR="002D7106" w:rsidRDefault="006E6B03">
            <w:r>
              <w:rPr>
                <w:color w:val="000000"/>
              </w:rPr>
              <w:t>Povrede u pogledu razmjene podataka o ispitivanjima – Odbijanje dostavljanja studije ili dokaza o troškovima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06C2" w14:textId="77777777" w:rsidR="002D7106" w:rsidRDefault="006E6B03">
            <w:r>
              <w:rPr>
                <w:color w:val="000000"/>
              </w:rPr>
              <w:t>Povrede članka 30.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7002A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0FF17441" w14:textId="77777777" w:rsidTr="002F6115">
        <w:trPr>
          <w:trHeight w:val="906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86A7A2" w14:textId="310F3A64" w:rsidR="002D7106" w:rsidRDefault="006E6B03">
            <w:r>
              <w:rPr>
                <w:color w:val="000000"/>
              </w:rPr>
              <w:t>Povrede obveza dobavljača da pružaju i ažuriraju informacije lancu opskrbe i da čuvaju informacije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9B06A" w14:textId="1C8FC441" w:rsidR="002D7106" w:rsidRDefault="006E6B03">
            <w:r>
              <w:rPr>
                <w:color w:val="000000"/>
              </w:rPr>
              <w:t>Povrede članka 31.</w:t>
            </w:r>
          </w:p>
          <w:p w14:paraId="4A51C60C" w14:textId="77777777" w:rsidR="002D7106" w:rsidRDefault="006E6B03">
            <w:r>
              <w:rPr>
                <w:color w:val="000000"/>
              </w:rPr>
              <w:t>(ako nisu dostavljene nikakve informacije, utvrđuje se najviša cijena)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97A5" w14:textId="77777777" w:rsidR="002D7106" w:rsidRDefault="006E6B03">
            <w:r>
              <w:rPr>
                <w:color w:val="000000"/>
              </w:rPr>
              <w:t xml:space="preserve">500 do 5 000 </w:t>
            </w:r>
          </w:p>
        </w:tc>
      </w:tr>
      <w:tr w:rsidR="002D7106" w14:paraId="28DFA1EB" w14:textId="77777777" w:rsidTr="002F6115">
        <w:trPr>
          <w:trHeight w:val="636"/>
        </w:trPr>
        <w:tc>
          <w:tcPr>
            <w:tcW w:w="3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0596E3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61ED" w14:textId="77777777" w:rsidR="002D7106" w:rsidRDefault="006E6B03">
            <w:r>
              <w:rPr>
                <w:color w:val="000000"/>
              </w:rPr>
              <w:t>Povrede članaka 32., 33., 34., 35., 36.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B844E" w14:textId="77777777" w:rsidR="002D7106" w:rsidRDefault="006E6B03">
            <w:r>
              <w:rPr>
                <w:color w:val="000000"/>
              </w:rPr>
              <w:t>500</w:t>
            </w:r>
          </w:p>
        </w:tc>
      </w:tr>
      <w:tr w:rsidR="002D7106" w14:paraId="585FB785" w14:textId="77777777" w:rsidTr="002F6115">
        <w:trPr>
          <w:trHeight w:val="130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37855" w14:textId="17B6E54F" w:rsidR="002D7106" w:rsidRDefault="006E6B03">
            <w:r>
              <w:rPr>
                <w:color w:val="000000"/>
              </w:rPr>
              <w:t>Povrede u vezi s procjenom kemijske sigurnosti i otkrivanjem provedbe i preporuka mjera za smanjenje rizika od strane daljnjih korisnika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C250D" w14:textId="77777777" w:rsidR="002D7106" w:rsidRDefault="006E6B03">
            <w:r>
              <w:rPr>
                <w:color w:val="000000"/>
              </w:rPr>
              <w:t>Povrede članka 37.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64B32" w14:textId="77777777" w:rsidR="002D7106" w:rsidRDefault="006E6B03">
            <w:r>
              <w:rPr>
                <w:color w:val="000000"/>
              </w:rPr>
              <w:t>2 000</w:t>
            </w:r>
          </w:p>
        </w:tc>
      </w:tr>
      <w:tr w:rsidR="002D7106" w14:paraId="74B96BEF" w14:textId="77777777" w:rsidTr="002F6115">
        <w:trPr>
          <w:trHeight w:val="105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05AFB" w14:textId="69821FC6" w:rsidR="002D7106" w:rsidRDefault="006E6B03">
            <w:r>
              <w:rPr>
                <w:color w:val="000000"/>
              </w:rPr>
              <w:t>Povrede obveza daljnjih korisnika da pružaju i čuvaju informacije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F3E13" w14:textId="77777777" w:rsidR="002D7106" w:rsidRDefault="006E6B03">
            <w:r>
              <w:rPr>
                <w:color w:val="000000"/>
              </w:rPr>
              <w:t>Povrede članaka 38. i 39.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D5883" w14:textId="77777777" w:rsidR="002D7106" w:rsidRDefault="006E6B03">
            <w:r>
              <w:rPr>
                <w:color w:val="000000"/>
              </w:rPr>
              <w:t>1 000</w:t>
            </w:r>
          </w:p>
        </w:tc>
      </w:tr>
      <w:tr w:rsidR="002D7106" w14:paraId="43A58062" w14:textId="77777777" w:rsidTr="002F6115">
        <w:trPr>
          <w:trHeight w:val="64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EA192" w14:textId="77777777" w:rsidR="002D7106" w:rsidRDefault="006E6B03">
            <w:r>
              <w:rPr>
                <w:color w:val="000000"/>
              </w:rPr>
              <w:t xml:space="preserve">Povrede u fazi evaluacije predmeta 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90754" w14:textId="77777777" w:rsidR="002D7106" w:rsidRDefault="006E6B03">
            <w:r>
              <w:t>Povrede članaka 40., 41., 46.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D838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739FE590" w14:textId="77777777" w:rsidTr="002F6115">
        <w:trPr>
          <w:trHeight w:val="960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3B179B" w14:textId="77777777" w:rsidR="002D7106" w:rsidRDefault="006E6B03">
            <w:r>
              <w:rPr>
                <w:color w:val="000000"/>
              </w:rPr>
              <w:t xml:space="preserve">Povrede obveze pružanja dodatnih informacija </w:t>
            </w:r>
          </w:p>
        </w:tc>
        <w:tc>
          <w:tcPr>
            <w:tcW w:w="32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6448" w14:textId="77777777" w:rsidR="002D7106" w:rsidRDefault="006E6B03">
            <w:r>
              <w:rPr>
                <w:color w:val="000000"/>
              </w:rPr>
              <w:t>Povreda članaka 49. i 50.</w:t>
            </w:r>
          </w:p>
        </w:tc>
        <w:tc>
          <w:tcPr>
            <w:tcW w:w="20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093B" w14:textId="77777777" w:rsidR="002D7106" w:rsidRDefault="006E6B03">
            <w:r>
              <w:rPr>
                <w:color w:val="000000"/>
              </w:rPr>
              <w:t>1 500</w:t>
            </w:r>
          </w:p>
        </w:tc>
      </w:tr>
      <w:tr w:rsidR="002D7106" w14:paraId="05ED5674" w14:textId="77777777" w:rsidTr="002F6115">
        <w:trPr>
          <w:trHeight w:val="735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A9F1" w14:textId="77777777" w:rsidR="002D7106" w:rsidRDefault="006E6B03">
            <w:r>
              <w:rPr>
                <w:color w:val="000000"/>
              </w:rPr>
              <w:t>Povrede zahtjeva za izdavanje dozvola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25A4B" w14:textId="77777777" w:rsidR="002D7106" w:rsidRDefault="006E6B03">
            <w:r>
              <w:rPr>
                <w:color w:val="000000"/>
              </w:rPr>
              <w:t xml:space="preserve">Povrede </w:t>
            </w:r>
            <w:r>
              <w:t>članka 56.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EBD9E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7B3A99F6" w14:textId="77777777" w:rsidTr="002F6115">
        <w:trPr>
          <w:trHeight w:val="12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1A63F3" w14:textId="77777777" w:rsidR="002D7106" w:rsidRDefault="006E6B03">
            <w:r>
              <w:rPr>
                <w:color w:val="000000"/>
              </w:rPr>
              <w:t xml:space="preserve">Povrede u vezi s preispitivanjem dozvola, naknadnim zahtjevima za izdavanje dozvola i obvezama nositelja dozvola za tvari i daljnjih korisnika 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949E0" w14:textId="77777777" w:rsidR="002D7106" w:rsidRDefault="006E6B03">
            <w:r>
              <w:rPr>
                <w:color w:val="000000"/>
              </w:rPr>
              <w:t>Povrede članaka 61., 63., 65., 66.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0617" w14:textId="77777777" w:rsidR="002D7106" w:rsidRDefault="006E6B03">
            <w:r>
              <w:rPr>
                <w:color w:val="000000"/>
              </w:rPr>
              <w:t>1 000</w:t>
            </w:r>
          </w:p>
        </w:tc>
      </w:tr>
      <w:tr w:rsidR="002D7106" w14:paraId="286DB7C1" w14:textId="77777777" w:rsidTr="002F6115">
        <w:trPr>
          <w:trHeight w:val="6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16B01" w14:textId="77777777" w:rsidR="002D7106" w:rsidRDefault="006E6B03">
            <w:r>
              <w:rPr>
                <w:color w:val="000000"/>
              </w:rPr>
              <w:lastRenderedPageBreak/>
              <w:t xml:space="preserve">Povrede ograničenja u pogledu proizvodnje, odlaganja i uporabe tvari 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2C9ED" w14:textId="77777777" w:rsidR="002D7106" w:rsidRDefault="006E6B03">
            <w:r>
              <w:t>Povrede članka 67.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9444A" w14:textId="77777777" w:rsidR="002D7106" w:rsidRDefault="006E6B03">
            <w:r>
              <w:rPr>
                <w:color w:val="000000"/>
              </w:rPr>
              <w:t>3 000</w:t>
            </w:r>
          </w:p>
        </w:tc>
      </w:tr>
      <w:tr w:rsidR="002D7106" w14:paraId="21A038BD" w14:textId="77777777" w:rsidTr="002F6115">
        <w:trPr>
          <w:trHeight w:val="15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3E1C" w14:textId="77777777" w:rsidR="002D7106" w:rsidRDefault="006E6B03">
            <w:r>
              <w:rPr>
                <w:color w:val="000000"/>
              </w:rPr>
              <w:t>Lažna izjava poduzeća podnesena Agenciji za kemikalije u vezi s kategorijom MSP-ova (mala i srednja poduzeća te mikropoduzeća) „u vezi s definicijom mikropoduzeća te malih i srednjih poduzeća”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6739" w14:textId="3CBCF20E" w:rsidR="002D7106" w:rsidRDefault="006E6B03">
            <w:r>
              <w:rPr>
                <w:color w:val="000000"/>
              </w:rPr>
              <w:t>Preporuka Komisije 2003/361/EZ (L 124/20.5.2003.)</w:t>
            </w: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AF89B" w14:textId="77777777" w:rsidR="002D7106" w:rsidRDefault="006E6B03">
            <w:r>
              <w:rPr>
                <w:color w:val="000000"/>
              </w:rPr>
              <w:t>2 000</w:t>
            </w:r>
          </w:p>
        </w:tc>
      </w:tr>
      <w:tr w:rsidR="002D7106" w14:paraId="50A17BD6" w14:textId="77777777" w:rsidTr="002F6115">
        <w:trPr>
          <w:trHeight w:val="15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AD69D4" w14:textId="77777777" w:rsidR="002D7106" w:rsidRDefault="006E6B03">
            <w:r>
              <w:rPr>
                <w:b/>
                <w:color w:val="000000"/>
              </w:rPr>
              <w:t>Prekršaji kategorije B</w:t>
            </w:r>
          </w:p>
          <w:p w14:paraId="09C1A237" w14:textId="77777777" w:rsidR="002D7106" w:rsidRDefault="006E6B03">
            <w:r>
              <w:rPr>
                <w:b/>
                <w:color w:val="000000"/>
              </w:rPr>
              <w:t>Ometanje inspekcije/nadzora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78D44C" w14:textId="77777777" w:rsidR="002D7106" w:rsidRDefault="002D7106">
            <w:pPr>
              <w:rPr>
                <w:b/>
                <w:bCs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7549EB" w14:textId="77777777" w:rsidR="002D7106" w:rsidRDefault="006E6B03">
            <w:r>
              <w:rPr>
                <w:b/>
                <w:color w:val="000000"/>
              </w:rPr>
              <w:t>Najviša osnovna cijena (NOC) po tvari / smjesi / proizvodu i po prekršaju u eurima</w:t>
            </w:r>
          </w:p>
        </w:tc>
      </w:tr>
      <w:tr w:rsidR="002D7106" w14:paraId="2B2F3D06" w14:textId="77777777" w:rsidTr="002F6115">
        <w:trPr>
          <w:trHeight w:val="131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31347" w14:textId="75C1589D" w:rsidR="002D7106" w:rsidRDefault="006E6B03" w:rsidP="00E12AE7">
            <w:pPr>
              <w:rPr>
                <w:rFonts w:cs="MgHelveticaUCPol"/>
                <w:color w:val="000000"/>
              </w:rPr>
            </w:pPr>
            <w:r>
              <w:rPr>
                <w:color w:val="000000"/>
              </w:rPr>
              <w:t>Odbijanje pružanja informacija ili dostave podataka tijekom provjere/nadzora sukladnosti s odredbama Uredbe (EZ) br. 1907/2006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88E6" w14:textId="77777777" w:rsidR="002D7106" w:rsidRDefault="002D7106">
            <w:pPr>
              <w:rPr>
                <w:rFonts w:cs="MgHelveticaUCPol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AE01" w14:textId="77777777" w:rsidR="002D7106" w:rsidRDefault="006E6B03">
            <w:r>
              <w:rPr>
                <w:color w:val="000000"/>
              </w:rPr>
              <w:t>5 000</w:t>
            </w:r>
          </w:p>
        </w:tc>
      </w:tr>
      <w:tr w:rsidR="002D7106" w14:paraId="02F3AA24" w14:textId="77777777" w:rsidTr="002F6115">
        <w:trPr>
          <w:trHeight w:val="141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4CEF1" w14:textId="77777777" w:rsidR="002D7106" w:rsidRDefault="006E6B03">
            <w:r>
              <w:rPr>
                <w:color w:val="000000"/>
              </w:rPr>
              <w:t>Ometanje ili odbijanje inspekcije/nadzora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E37E" w14:textId="77777777" w:rsidR="002D7106" w:rsidRDefault="002D7106">
            <w:pPr>
              <w:rPr>
                <w:rFonts w:cs="MgHelveticaUCPol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40DA" w14:textId="77777777" w:rsidR="002D7106" w:rsidRDefault="006E6B03">
            <w:r>
              <w:rPr>
                <w:color w:val="000000"/>
              </w:rPr>
              <w:t>50 000</w:t>
            </w:r>
          </w:p>
        </w:tc>
      </w:tr>
      <w:tr w:rsidR="002D7106" w14:paraId="09E3235D" w14:textId="77777777" w:rsidTr="002F6115">
        <w:trPr>
          <w:trHeight w:val="78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D2CA5E" w14:textId="77777777" w:rsidR="002D7106" w:rsidRDefault="006E6B03">
            <w:r>
              <w:rPr>
                <w:b/>
                <w:color w:val="000000"/>
              </w:rPr>
              <w:t>Prekršaji kategorije C</w:t>
            </w:r>
          </w:p>
          <w:p w14:paraId="29AA6732" w14:textId="77777777" w:rsidR="002D7106" w:rsidRDefault="006E6B03">
            <w:r>
              <w:rPr>
                <w:b/>
                <w:color w:val="000000"/>
              </w:rPr>
              <w:t>Ostali prekršaji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45BAFD" w14:textId="77777777" w:rsidR="002D7106" w:rsidRDefault="002D7106">
            <w:pPr>
              <w:rPr>
                <w:rFonts w:cs="MgHelveticaUCPol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233CDF" w14:textId="77777777" w:rsidR="002D7106" w:rsidRDefault="006E6B03">
            <w:r>
              <w:rPr>
                <w:b/>
                <w:color w:val="000000"/>
              </w:rPr>
              <w:t>Najviša osnovna cijena (NOC) po tvari / smjesi / proizvodu i po prekršaju</w:t>
            </w:r>
            <w:r>
              <w:rPr>
                <w:b/>
                <w:color w:val="000000"/>
              </w:rPr>
              <w:br/>
              <w:t>u eurima</w:t>
            </w:r>
          </w:p>
        </w:tc>
      </w:tr>
      <w:tr w:rsidR="002D7106" w14:paraId="6BEC92E4" w14:textId="77777777" w:rsidTr="002F6115">
        <w:trPr>
          <w:trHeight w:val="150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4CEC" w14:textId="77777777" w:rsidR="002D7106" w:rsidRDefault="006E6B03">
            <w:r>
              <w:rPr>
                <w:color w:val="000000"/>
              </w:rPr>
              <w:t>Neprovođenje izrečenih mjera zabrane proizvodnje i/ili prometa i/ili uporabe</w:t>
            </w:r>
          </w:p>
        </w:tc>
        <w:tc>
          <w:tcPr>
            <w:tcW w:w="32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3E507" w14:textId="77777777" w:rsidR="002D7106" w:rsidRDefault="002D7106">
            <w:pPr>
              <w:rPr>
                <w:b/>
                <w:bCs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41F1" w14:textId="77777777" w:rsidR="002D7106" w:rsidRDefault="006E6B03">
            <w:r>
              <w:rPr>
                <w:color w:val="000000"/>
              </w:rPr>
              <w:t>50 000</w:t>
            </w:r>
          </w:p>
        </w:tc>
      </w:tr>
    </w:tbl>
    <w:p w14:paraId="6DCC1496" w14:textId="77777777" w:rsidR="002D7106" w:rsidRDefault="002D7106">
      <w:pPr>
        <w:rPr>
          <w:rFonts w:cs="MgHelveticaUCPol"/>
          <w:color w:val="000000"/>
        </w:rPr>
      </w:pPr>
    </w:p>
    <w:p w14:paraId="493E9DBA" w14:textId="539011EB" w:rsidR="002D7106" w:rsidRDefault="006E6B03">
      <w:pPr>
        <w:jc w:val="both"/>
      </w:pPr>
      <w:r>
        <w:rPr>
          <w:color w:val="000000"/>
        </w:rPr>
        <w:t>U slučaju višestrukih povreda u istoj kategoriji A iz prethodne tablice zbrajaju se najviše osnovne cijene, ali ukupna cijena novčane kazne ne smije prelaziti gornju granicu te kategorije, odnosno deset tisuća eura (10 000 EUR).</w:t>
      </w:r>
    </w:p>
    <w:p w14:paraId="0235BD51" w14:textId="77777777" w:rsidR="002D7106" w:rsidRDefault="006E6B03">
      <w:pPr>
        <w:jc w:val="both"/>
      </w:pPr>
      <w:r>
        <w:rPr>
          <w:color w:val="000000"/>
        </w:rPr>
        <w:t>Najviša osnovna cijena kategorija B i C navedena u tablici neovisna je i samostalna.</w:t>
      </w:r>
    </w:p>
    <w:p w14:paraId="62AC909C" w14:textId="77777777" w:rsidR="002D7106" w:rsidRDefault="002D7106">
      <w:pPr>
        <w:rPr>
          <w:rFonts w:cs="MgHelveticaUCPol"/>
          <w:color w:val="000000"/>
        </w:rPr>
      </w:pPr>
    </w:p>
    <w:p w14:paraId="113495C1" w14:textId="77777777" w:rsidR="002D7106" w:rsidRDefault="006E6B03">
      <w:r>
        <w:rPr>
          <w:color w:val="000000"/>
        </w:rPr>
        <w:t>(b) Određivanje koeficijenta za određivanje novčane kazne (KONK) na temelju statusa gospodarskog subjekta nad kojim se vrši nadzor, kako slijedi:</w:t>
      </w:r>
    </w:p>
    <w:p w14:paraId="2961D8DE" w14:textId="77777777" w:rsidR="002D7106" w:rsidRDefault="002D7106">
      <w:pPr>
        <w:rPr>
          <w:rFonts w:cs="MgHelveticaUCPol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06"/>
        <w:gridCol w:w="1843"/>
      </w:tblGrid>
      <w:tr w:rsidR="002D7106" w14:paraId="00967840" w14:textId="77777777">
        <w:trPr>
          <w:trHeight w:val="630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C988A1" w14:textId="77777777" w:rsidR="002D7106" w:rsidRDefault="006E6B03">
            <w:r>
              <w:rPr>
                <w:b/>
                <w:color w:val="000000"/>
              </w:rPr>
              <w:t>Status gospodarskog subjekta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8B4302" w14:textId="77777777" w:rsidR="002D7106" w:rsidRDefault="006E6B03">
            <w:r>
              <w:rPr>
                <w:b/>
                <w:color w:val="000000"/>
              </w:rPr>
              <w:t>Koeficijent za određivanje novčane kazne</w:t>
            </w:r>
          </w:p>
        </w:tc>
      </w:tr>
      <w:tr w:rsidR="002D7106" w14:paraId="4B8FC489" w14:textId="77777777">
        <w:trPr>
          <w:trHeight w:val="600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FDE88" w14:textId="77777777" w:rsidR="002D7106" w:rsidRDefault="006E6B03">
            <w:r>
              <w:rPr>
                <w:color w:val="000000"/>
              </w:rPr>
              <w:t>Proizvođač, ekskluzivni zastupnik, uvoznik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8D27C" w14:textId="77777777" w:rsidR="002D7106" w:rsidRDefault="006E6B03">
            <w:r>
              <w:rPr>
                <w:color w:val="000000"/>
              </w:rPr>
              <w:t>1</w:t>
            </w:r>
          </w:p>
        </w:tc>
      </w:tr>
      <w:tr w:rsidR="002D7106" w14:paraId="17841C83" w14:textId="77777777">
        <w:trPr>
          <w:trHeight w:val="435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3AA10" w14:textId="77777777" w:rsidR="002D7106" w:rsidRDefault="006E6B03">
            <w:r>
              <w:rPr>
                <w:color w:val="000000"/>
              </w:rPr>
              <w:t>Daljnji korisnik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50100A" w14:textId="77777777" w:rsidR="002D7106" w:rsidRDefault="006E6B03">
            <w:r>
              <w:rPr>
                <w:color w:val="000000"/>
              </w:rPr>
              <w:t>0,7</w:t>
            </w:r>
          </w:p>
        </w:tc>
      </w:tr>
      <w:tr w:rsidR="002D7106" w14:paraId="2C515FE3" w14:textId="77777777" w:rsidTr="002F6115">
        <w:trPr>
          <w:trHeight w:val="427"/>
        </w:trPr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68F01" w14:textId="77777777" w:rsidR="002D7106" w:rsidRDefault="006E6B03">
            <w:r>
              <w:rPr>
                <w:color w:val="000000"/>
              </w:rPr>
              <w:t>Distributer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8E2CB" w14:textId="77777777" w:rsidR="002D7106" w:rsidRDefault="006E6B03">
            <w:r>
              <w:rPr>
                <w:color w:val="000000"/>
              </w:rPr>
              <w:t>0,4</w:t>
            </w:r>
          </w:p>
        </w:tc>
      </w:tr>
    </w:tbl>
    <w:p w14:paraId="48D84EA6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2D4DFF36" w14:textId="77777777" w:rsidR="002D7106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lastRenderedPageBreak/>
        <w:t>(c) Ocjena kriterija koji se odnose na gospodarski subjekt ili korisnika nad kojim je provedena revizija i bodovanje odgovarajućih kriterija, u skladu s tablicom u nastavku:</w:t>
      </w:r>
    </w:p>
    <w:p w14:paraId="24448A58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747C0FA2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92"/>
        <w:gridCol w:w="3782"/>
        <w:gridCol w:w="922"/>
      </w:tblGrid>
      <w:tr w:rsidR="002D7106" w14:paraId="1904DCBC" w14:textId="77777777">
        <w:trPr>
          <w:trHeight w:val="300"/>
        </w:trPr>
        <w:tc>
          <w:tcPr>
            <w:tcW w:w="3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670A67F" w14:textId="77777777" w:rsidR="002D7106" w:rsidRDefault="006E6B03">
            <w:r>
              <w:rPr>
                <w:b/>
                <w:color w:val="000000"/>
              </w:rPr>
              <w:t xml:space="preserve">Kriterij </w:t>
            </w:r>
          </w:p>
        </w:tc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AB03EAA" w14:textId="77777777" w:rsidR="002D7106" w:rsidRDefault="006E6B03">
            <w:r>
              <w:rPr>
                <w:b/>
                <w:color w:val="000000"/>
              </w:rPr>
              <w:t xml:space="preserve">Ocjenjivanje 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60C226" w14:textId="77777777" w:rsidR="002D7106" w:rsidRDefault="006E6B03">
            <w:r>
              <w:rPr>
                <w:b/>
                <w:color w:val="000000"/>
              </w:rPr>
              <w:t>Rezultat</w:t>
            </w:r>
          </w:p>
        </w:tc>
      </w:tr>
      <w:tr w:rsidR="002D7106" w14:paraId="6EC7F615" w14:textId="77777777">
        <w:trPr>
          <w:trHeight w:val="900"/>
        </w:trPr>
        <w:tc>
          <w:tcPr>
            <w:tcW w:w="3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E339" w14:textId="77777777" w:rsidR="002D7106" w:rsidRDefault="006E6B03">
            <w:r>
              <w:rPr>
                <w:color w:val="000000"/>
              </w:rPr>
              <w:t xml:space="preserve">Stupanj suradnje gospodarskog subjekta nad kojim se provodi revizija </w:t>
            </w: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DF41F" w14:textId="77777777" w:rsidR="002D7106" w:rsidRDefault="006E6B03">
            <w:r>
              <w:rPr>
                <w:color w:val="000000"/>
              </w:rPr>
              <w:t>Izvrsno: Dobrovoljno djelovanje – Preventivne mjere kojima se osigurava da se povreda ne ponovi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B311D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4BFFEE40" w14:textId="77777777">
        <w:trPr>
          <w:trHeight w:val="795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6796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AA4F4" w14:textId="77777777" w:rsidR="002D7106" w:rsidRDefault="006E6B03">
            <w:r>
              <w:rPr>
                <w:color w:val="000000"/>
              </w:rPr>
              <w:t>Dobro: Sposobnost procjene situacije – Poduzete korektivne mjere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71F13" w14:textId="77777777" w:rsidR="002D7106" w:rsidRDefault="006E6B03">
            <w:r>
              <w:rPr>
                <w:color w:val="000000"/>
              </w:rPr>
              <w:t>5</w:t>
            </w:r>
          </w:p>
        </w:tc>
      </w:tr>
      <w:tr w:rsidR="002D7106" w14:paraId="78173FEA" w14:textId="77777777">
        <w:trPr>
          <w:trHeight w:val="810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3D8A1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A67FC" w14:textId="7596D258" w:rsidR="002D7106" w:rsidRDefault="006E6B03">
            <w:r>
              <w:rPr>
                <w:color w:val="000000"/>
              </w:rPr>
              <w:t>Srednje: Kritično postupanje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42408" w14:textId="77777777" w:rsidR="002D7106" w:rsidRDefault="006E6B03">
            <w:r>
              <w:rPr>
                <w:color w:val="000000"/>
              </w:rPr>
              <w:t>10</w:t>
            </w:r>
          </w:p>
        </w:tc>
      </w:tr>
      <w:tr w:rsidR="002D7106" w14:paraId="0FB3973B" w14:textId="77777777">
        <w:trPr>
          <w:trHeight w:val="900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DB56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A384E" w14:textId="77777777" w:rsidR="002D7106" w:rsidRDefault="006E6B03">
            <w:r>
              <w:rPr>
                <w:color w:val="000000"/>
              </w:rPr>
              <w:t>Loše: Negativni stav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EB570" w14:textId="77777777" w:rsidR="002D7106" w:rsidRDefault="006E6B03">
            <w:r>
              <w:rPr>
                <w:color w:val="000000"/>
              </w:rPr>
              <w:t>20</w:t>
            </w:r>
          </w:p>
        </w:tc>
      </w:tr>
      <w:tr w:rsidR="002D7106" w14:paraId="5C04ADB9" w14:textId="77777777">
        <w:trPr>
          <w:trHeight w:val="300"/>
        </w:trPr>
        <w:tc>
          <w:tcPr>
            <w:tcW w:w="3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6A8D" w14:textId="77777777" w:rsidR="002D7106" w:rsidRDefault="006E6B03">
            <w:r>
              <w:rPr>
                <w:color w:val="000000"/>
              </w:rPr>
              <w:t>Komercijalna vrijednost nesukladnih proizvoda (količina X, jedinična cijena), na temelju dokumentacije o proizvodnji, uvozu, rukovanju i stavljanju na tržište u eurima</w:t>
            </w:r>
          </w:p>
        </w:tc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DA54D" w14:textId="77777777" w:rsidR="002D7106" w:rsidRDefault="006E6B03">
            <w:r>
              <w:rPr>
                <w:color w:val="000000"/>
              </w:rPr>
              <w:t>Vrlo mala: Komercijalna vrijednost &lt; 1 000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B3B09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18D0F229" w14:textId="77777777">
        <w:trPr>
          <w:trHeight w:val="300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969F3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25DA7" w14:textId="77777777" w:rsidR="002D7106" w:rsidRDefault="006E6B03">
            <w:r>
              <w:rPr>
                <w:color w:val="000000"/>
              </w:rPr>
              <w:t>Mala: 1 000 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Trgovačka vrijednost &lt; 50 000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FA95C" w14:textId="77777777" w:rsidR="002D7106" w:rsidRDefault="006E6B03">
            <w:r>
              <w:rPr>
                <w:color w:val="000000"/>
              </w:rPr>
              <w:t>5</w:t>
            </w:r>
          </w:p>
        </w:tc>
      </w:tr>
      <w:tr w:rsidR="002D7106" w14:paraId="4BD6D48B" w14:textId="77777777">
        <w:trPr>
          <w:trHeight w:val="300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CA2A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67ABD" w14:textId="454B5455" w:rsidR="002D7106" w:rsidRDefault="006E6B03">
            <w:r>
              <w:rPr>
                <w:color w:val="000000"/>
              </w:rPr>
              <w:t>Srednja: 50 000 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Trgovačka vrijednost &lt; 100 000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F5118" w14:textId="77777777" w:rsidR="002D7106" w:rsidRDefault="006E6B03">
            <w:r>
              <w:rPr>
                <w:color w:val="000000"/>
              </w:rPr>
              <w:t>10</w:t>
            </w:r>
          </w:p>
        </w:tc>
      </w:tr>
      <w:tr w:rsidR="002D7106" w14:paraId="51B7B033" w14:textId="77777777">
        <w:trPr>
          <w:trHeight w:val="300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B5A3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8D939" w14:textId="77777777" w:rsidR="002D7106" w:rsidRDefault="006E6B03">
            <w:r>
              <w:rPr>
                <w:color w:val="000000"/>
              </w:rPr>
              <w:t xml:space="preserve">Visoka komercijalna vrijednost </w:t>
            </w:r>
            <w:r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> 100 000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24396" w14:textId="77777777" w:rsidR="002D7106" w:rsidRDefault="006E6B03">
            <w:r>
              <w:rPr>
                <w:color w:val="000000"/>
              </w:rPr>
              <w:t>20</w:t>
            </w:r>
          </w:p>
        </w:tc>
      </w:tr>
      <w:tr w:rsidR="002D7106" w14:paraId="792D1113" w14:textId="77777777">
        <w:trPr>
          <w:trHeight w:val="525"/>
        </w:trPr>
        <w:tc>
          <w:tcPr>
            <w:tcW w:w="35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8526" w14:textId="77777777" w:rsidR="002D7106" w:rsidRDefault="006E6B03">
            <w:r>
              <w:rPr>
                <w:color w:val="000000"/>
              </w:rPr>
              <w:t>Povijest nesukladnosti na temelju rezultata prethodno provedenih postupaka nadzora</w:t>
            </w: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3B682" w14:textId="77777777" w:rsidR="002D7106" w:rsidRDefault="006E6B03">
            <w:r>
              <w:rPr>
                <w:color w:val="000000"/>
              </w:rPr>
              <w:t>Ne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D5970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4486FFA2" w14:textId="77777777">
        <w:trPr>
          <w:trHeight w:val="615"/>
        </w:trPr>
        <w:tc>
          <w:tcPr>
            <w:tcW w:w="35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FB9D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59DA9" w14:textId="77777777" w:rsidR="002D7106" w:rsidRDefault="006E6B03">
            <w:r>
              <w:rPr>
                <w:color w:val="000000"/>
              </w:rPr>
              <w:t>Da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E3E41" w14:textId="77777777" w:rsidR="002D7106" w:rsidRDefault="006E6B03">
            <w:r>
              <w:rPr>
                <w:color w:val="000000"/>
              </w:rPr>
              <w:t>20</w:t>
            </w:r>
          </w:p>
        </w:tc>
      </w:tr>
      <w:tr w:rsidR="002D7106" w14:paraId="69EE318A" w14:textId="77777777">
        <w:trPr>
          <w:trHeight w:val="300"/>
        </w:trPr>
        <w:tc>
          <w:tcPr>
            <w:tcW w:w="3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9B04A" w14:textId="77777777" w:rsidR="002D7106" w:rsidRDefault="006E6B03">
            <w:r>
              <w:rPr>
                <w:color w:val="000000"/>
              </w:rPr>
              <w:t>Povijest incidenata i pritužbi</w:t>
            </w: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CB078" w14:textId="77777777" w:rsidR="002D7106" w:rsidRDefault="006E6B03">
            <w:r>
              <w:rPr>
                <w:color w:val="000000"/>
              </w:rPr>
              <w:t>Ne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ABE2A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70C7C6B6" w14:textId="77777777">
        <w:trPr>
          <w:trHeight w:val="300"/>
        </w:trPr>
        <w:tc>
          <w:tcPr>
            <w:tcW w:w="3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64A1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46B1B" w14:textId="77777777" w:rsidR="002D7106" w:rsidRDefault="006E6B03">
            <w:r>
              <w:rPr>
                <w:color w:val="000000"/>
              </w:rPr>
              <w:t>Da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D8C9A" w14:textId="77777777" w:rsidR="002D7106" w:rsidRDefault="006E6B03">
            <w:r>
              <w:rPr>
                <w:color w:val="000000"/>
              </w:rPr>
              <w:t>10</w:t>
            </w:r>
          </w:p>
        </w:tc>
      </w:tr>
      <w:tr w:rsidR="002D7106" w14:paraId="69C3D68E" w14:textId="77777777">
        <w:trPr>
          <w:trHeight w:val="600"/>
        </w:trPr>
        <w:tc>
          <w:tcPr>
            <w:tcW w:w="3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1AFF" w14:textId="77777777" w:rsidR="002D7106" w:rsidRDefault="006E6B03">
            <w:r>
              <w:rPr>
                <w:color w:val="000000"/>
              </w:rPr>
              <w:t>Veličina gospodarskog subjekta, povezana s brojem zaposlenika (godišnja radna jedinica (GRJ)) i/ili godišnjim prometom (u milijunima EUR)</w:t>
            </w: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B6B40" w14:textId="77777777" w:rsidR="002D7106" w:rsidRDefault="006E6B03">
            <w:r>
              <w:rPr>
                <w:color w:val="000000"/>
              </w:rPr>
              <w:t xml:space="preserve">Vrlo mali GRJ &lt; 10 zaposlenika i/ili promet ostvaren tijekom prethodne godine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2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E3C15" w14:textId="77777777" w:rsidR="002D7106" w:rsidRDefault="006E6B03">
            <w:r>
              <w:rPr>
                <w:color w:val="000000"/>
              </w:rPr>
              <w:t>0</w:t>
            </w:r>
          </w:p>
        </w:tc>
      </w:tr>
      <w:tr w:rsidR="002D7106" w14:paraId="00073648" w14:textId="77777777">
        <w:trPr>
          <w:trHeight w:val="600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AF921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41DE9" w14:textId="71E66ABF" w:rsidR="002D7106" w:rsidRDefault="006E6B03">
            <w:r>
              <w:rPr>
                <w:color w:val="000000"/>
              </w:rPr>
              <w:t xml:space="preserve">Mali 10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GRJ &lt; 50 zaposlenika i/ili 2 &lt; promet ostvaren tijekom prethodne godine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10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C52F5" w14:textId="77777777" w:rsidR="002D7106" w:rsidRDefault="006E6B03">
            <w:r>
              <w:rPr>
                <w:color w:val="000000"/>
              </w:rPr>
              <w:t>5</w:t>
            </w:r>
          </w:p>
        </w:tc>
      </w:tr>
      <w:tr w:rsidR="002D7106" w14:paraId="0252FD70" w14:textId="77777777">
        <w:trPr>
          <w:trHeight w:val="600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A2141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A7DD4" w14:textId="2165B8C8" w:rsidR="002D7106" w:rsidRDefault="006E6B03">
            <w:r>
              <w:rPr>
                <w:color w:val="000000"/>
              </w:rPr>
              <w:t xml:space="preserve">Srednji 50 </w:t>
            </w:r>
            <w:r>
              <w:rPr>
                <w:color w:val="000000"/>
                <w:u w:val="single"/>
              </w:rPr>
              <w:t xml:space="preserve">&lt; </w:t>
            </w:r>
            <w:r>
              <w:rPr>
                <w:color w:val="000000"/>
              </w:rPr>
              <w:t xml:space="preserve"> GRJ &lt; 250 zaposlenika i/ili 10 &lt; promet ostvaren tijekom prethodne godine </w:t>
            </w:r>
            <w:r>
              <w:rPr>
                <w:color w:val="000000"/>
                <w:u w:val="single"/>
              </w:rPr>
              <w:t>&lt;</w:t>
            </w:r>
            <w:r>
              <w:rPr>
                <w:color w:val="000000"/>
              </w:rPr>
              <w:t xml:space="preserve"> 50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9EC81" w14:textId="77777777" w:rsidR="002D7106" w:rsidRDefault="006E6B03">
            <w:r>
              <w:rPr>
                <w:color w:val="000000"/>
              </w:rPr>
              <w:t>10</w:t>
            </w:r>
          </w:p>
        </w:tc>
      </w:tr>
      <w:tr w:rsidR="002D7106" w14:paraId="6F792232" w14:textId="77777777">
        <w:trPr>
          <w:trHeight w:val="600"/>
        </w:trPr>
        <w:tc>
          <w:tcPr>
            <w:tcW w:w="3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6CBB" w14:textId="77777777" w:rsidR="002D7106" w:rsidRDefault="002D7106">
            <w:pPr>
              <w:rPr>
                <w:color w:val="000000"/>
              </w:rPr>
            </w:pP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520DF" w14:textId="77777777" w:rsidR="002D7106" w:rsidRDefault="006E6B03">
            <w:r>
              <w:rPr>
                <w:color w:val="000000"/>
              </w:rPr>
              <w:t>Veliki GRJ</w:t>
            </w:r>
            <w:r>
              <w:rPr>
                <w:color w:val="000000"/>
                <w:u w:val="single"/>
              </w:rPr>
              <w:t xml:space="preserve"> &gt;</w:t>
            </w:r>
            <w:r>
              <w:rPr>
                <w:color w:val="000000"/>
              </w:rPr>
              <w:t xml:space="preserve"> 250 zaposlenika i/ili promet ostvaren tijekom prethodne godine &gt; 50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ADACF" w14:textId="77777777" w:rsidR="002D7106" w:rsidRDefault="006E6B03">
            <w:r>
              <w:rPr>
                <w:color w:val="000000"/>
              </w:rPr>
              <w:t>20</w:t>
            </w:r>
          </w:p>
        </w:tc>
      </w:tr>
      <w:tr w:rsidR="002D7106" w14:paraId="4A6D4F41" w14:textId="77777777">
        <w:trPr>
          <w:trHeight w:val="300"/>
        </w:trPr>
        <w:tc>
          <w:tcPr>
            <w:tcW w:w="3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1C0B1" w14:textId="77777777" w:rsidR="002D7106" w:rsidRDefault="006E6B03">
            <w:r>
              <w:rPr>
                <w:b/>
                <w:i/>
                <w:color w:val="000000"/>
              </w:rPr>
              <w:t>Ukupni rezultat</w:t>
            </w:r>
          </w:p>
        </w:tc>
        <w:tc>
          <w:tcPr>
            <w:tcW w:w="3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A08C3" w14:textId="77777777" w:rsidR="002D7106" w:rsidRDefault="006E6B03">
            <w:r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EFF1A" w14:textId="77777777" w:rsidR="002D7106" w:rsidRDefault="006E6B03">
            <w:r>
              <w:rPr>
                <w:color w:val="000000"/>
              </w:rPr>
              <w:t> </w:t>
            </w:r>
          </w:p>
        </w:tc>
      </w:tr>
    </w:tbl>
    <w:p w14:paraId="5E863D0A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5EE08CF6" w14:textId="77777777" w:rsidR="002D7106" w:rsidRDefault="006E6B03">
      <w:pPr>
        <w:tabs>
          <w:tab w:val="left" w:pos="426"/>
        </w:tabs>
        <w:contextualSpacing/>
        <w:jc w:val="both"/>
      </w:pPr>
      <w:r>
        <w:rPr>
          <w:color w:val="000000"/>
        </w:rPr>
        <w:t>i utvrđivanje koeficijenta za izricanje novčane kazne (KINK), ovisno o ukupnoj ocjeni operativnih čimbenika, u skladu s tablicom u nastavku:</w:t>
      </w:r>
    </w:p>
    <w:p w14:paraId="678C9B85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80"/>
        <w:gridCol w:w="2286"/>
        <w:gridCol w:w="2630"/>
      </w:tblGrid>
      <w:tr w:rsidR="002D7106" w14:paraId="123031EE" w14:textId="77777777">
        <w:trPr>
          <w:trHeight w:val="600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8373B93" w14:textId="77777777" w:rsidR="002D7106" w:rsidRDefault="006E6B03">
            <w:r>
              <w:rPr>
                <w:b/>
                <w:color w:val="000000"/>
              </w:rPr>
              <w:t>Ukupna ocjena kriterija evaluacije</w:t>
            </w:r>
          </w:p>
        </w:tc>
        <w:tc>
          <w:tcPr>
            <w:tcW w:w="22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F52C5A" w14:textId="77777777" w:rsidR="002D7106" w:rsidRDefault="006E6B03">
            <w:r>
              <w:rPr>
                <w:b/>
                <w:color w:val="000000"/>
              </w:rPr>
              <w:t>Stupanj izricanja novčane kazne</w:t>
            </w:r>
          </w:p>
        </w:tc>
        <w:tc>
          <w:tcPr>
            <w:tcW w:w="2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DB34A24" w14:textId="77777777" w:rsidR="002D7106" w:rsidRDefault="006E6B03">
            <w:r>
              <w:rPr>
                <w:b/>
                <w:color w:val="000000"/>
              </w:rPr>
              <w:t>Koeficijent za izricanje novčane kazne</w:t>
            </w:r>
          </w:p>
        </w:tc>
      </w:tr>
      <w:tr w:rsidR="002D7106" w14:paraId="58F554B8" w14:textId="77777777">
        <w:trPr>
          <w:trHeight w:val="300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82BD6" w14:textId="77777777" w:rsidR="002D7106" w:rsidRDefault="006E6B03">
            <w:r>
              <w:rPr>
                <w:color w:val="000000"/>
              </w:rPr>
              <w:t>60-90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6894F" w14:textId="77777777" w:rsidR="002D7106" w:rsidRDefault="006E6B03">
            <w:r>
              <w:rPr>
                <w:color w:val="000000"/>
              </w:rPr>
              <w:t>Visoki</w:t>
            </w:r>
          </w:p>
        </w:tc>
        <w:tc>
          <w:tcPr>
            <w:tcW w:w="2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E6A00" w14:textId="77777777" w:rsidR="002D7106" w:rsidRDefault="006E6B03">
            <w:r>
              <w:rPr>
                <w:color w:val="000000"/>
              </w:rPr>
              <w:t>1</w:t>
            </w:r>
          </w:p>
        </w:tc>
      </w:tr>
      <w:tr w:rsidR="002D7106" w14:paraId="1147DE2C" w14:textId="77777777">
        <w:trPr>
          <w:trHeight w:val="300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C00510" w14:textId="77777777" w:rsidR="002D7106" w:rsidRDefault="006E6B03">
            <w:r>
              <w:rPr>
                <w:color w:val="000000"/>
              </w:rPr>
              <w:t>30-55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F1812" w14:textId="77777777" w:rsidR="002D7106" w:rsidRDefault="006E6B03">
            <w:r>
              <w:rPr>
                <w:color w:val="000000"/>
              </w:rPr>
              <w:t>Srednji</w:t>
            </w:r>
          </w:p>
        </w:tc>
        <w:tc>
          <w:tcPr>
            <w:tcW w:w="2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B3B89" w14:textId="77777777" w:rsidR="002D7106" w:rsidRDefault="006E6B03">
            <w:r>
              <w:rPr>
                <w:color w:val="000000"/>
              </w:rPr>
              <w:t>0,7</w:t>
            </w:r>
          </w:p>
        </w:tc>
      </w:tr>
      <w:tr w:rsidR="002D7106" w14:paraId="521CA7D8" w14:textId="77777777">
        <w:trPr>
          <w:trHeight w:val="300"/>
        </w:trPr>
        <w:tc>
          <w:tcPr>
            <w:tcW w:w="3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30AF0" w14:textId="77777777" w:rsidR="002D7106" w:rsidRDefault="006E6B03">
            <w:r>
              <w:rPr>
                <w:color w:val="000000"/>
              </w:rPr>
              <w:t>0-25</w:t>
            </w:r>
          </w:p>
        </w:tc>
        <w:tc>
          <w:tcPr>
            <w:tcW w:w="22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76192" w14:textId="77777777" w:rsidR="002D7106" w:rsidRDefault="006E6B03">
            <w:r>
              <w:rPr>
                <w:color w:val="000000"/>
              </w:rPr>
              <w:t>Niski</w:t>
            </w:r>
          </w:p>
        </w:tc>
        <w:tc>
          <w:tcPr>
            <w:tcW w:w="26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6E359" w14:textId="77777777" w:rsidR="002D7106" w:rsidRDefault="006E6B03">
            <w:r>
              <w:rPr>
                <w:color w:val="000000"/>
              </w:rPr>
              <w:t>0,4</w:t>
            </w:r>
          </w:p>
        </w:tc>
      </w:tr>
    </w:tbl>
    <w:p w14:paraId="305FF37E" w14:textId="77777777" w:rsidR="002D7106" w:rsidRDefault="002D7106">
      <w:pPr>
        <w:tabs>
          <w:tab w:val="left" w:pos="426"/>
        </w:tabs>
        <w:contextualSpacing/>
        <w:jc w:val="both"/>
        <w:rPr>
          <w:rFonts w:cs="MyriadPro-Regular"/>
          <w:color w:val="000000"/>
        </w:rPr>
      </w:pPr>
    </w:p>
    <w:p w14:paraId="6C0D036F" w14:textId="77777777" w:rsidR="002D7106" w:rsidRDefault="006E6B03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lastRenderedPageBreak/>
        <w:t>Iznos novčane kazne (NK) određuje se množenjem najveće osnovne cijene, koeficijenta za određivanje novčane kazne i koeficijenta za izricanje novčane kazne:</w:t>
      </w:r>
    </w:p>
    <w:p w14:paraId="4A49B149" w14:textId="77777777" w:rsidR="002D7106" w:rsidRPr="00424FBE" w:rsidRDefault="006E6B03">
      <w:pPr>
        <w:tabs>
          <w:tab w:val="left" w:pos="426"/>
        </w:tabs>
        <w:spacing w:line="276" w:lineRule="auto"/>
        <w:contextualSpacing/>
        <w:jc w:val="both"/>
      </w:pPr>
      <w:r>
        <w:rPr>
          <w:color w:val="000000"/>
        </w:rPr>
        <w:t>F= (NOC) x (KO) x (KI)</w:t>
      </w:r>
    </w:p>
    <w:p w14:paraId="08231005" w14:textId="77777777" w:rsidR="002D7106" w:rsidRDefault="006E6B03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Ako isto poduzeće ponovno počini istu povredu ili ako ne provede korektivne mjere utvrđene u okviru inspekcije/nadzora, počinitelji se kažnjavaju novčanom kaznom dvostruko većom od početne novčane kazne.</w:t>
      </w:r>
    </w:p>
    <w:p w14:paraId="442A42C5" w14:textId="77777777" w:rsidR="002D7106" w:rsidRDefault="006E6B03">
      <w:pPr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t>Novčane kazne za povrede kategorija A i B izriče voditelj Odjela za kemikalije GDKL-a u kojem su provedeni uzorkovanje i/ili inspekcija/nadzor</w:t>
      </w:r>
      <w:r>
        <w:rPr>
          <w:color w:val="0070C0"/>
        </w:rPr>
        <w:t xml:space="preserve">. </w:t>
      </w:r>
      <w:r>
        <w:rPr>
          <w:color w:val="000000"/>
        </w:rPr>
        <w:t>Novčane kazne za povrede kategorije C izriče Uprava za energetiku, industrijske i kemijske proizvode</w:t>
      </w:r>
      <w:bookmarkStart w:id="2" w:name="_Hlk121478472"/>
      <w:r>
        <w:t xml:space="preserve"> </w:t>
      </w:r>
      <w:r>
        <w:rPr>
          <w:color w:val="000000"/>
        </w:rPr>
        <w:t>GDKL-a</w:t>
      </w:r>
      <w:bookmarkEnd w:id="2"/>
      <w:r>
        <w:t>.</w:t>
      </w:r>
    </w:p>
    <w:p w14:paraId="245046D3" w14:textId="77777777" w:rsidR="002D7106" w:rsidRDefault="002D7106">
      <w:pPr>
        <w:spacing w:line="276" w:lineRule="auto"/>
        <w:jc w:val="center"/>
        <w:rPr>
          <w:rFonts w:cs="MgHelveticaUCPol"/>
          <w:color w:val="000000"/>
        </w:rPr>
      </w:pPr>
    </w:p>
    <w:p w14:paraId="36B9DC87" w14:textId="77777777" w:rsidR="002D7106" w:rsidRDefault="002D7106">
      <w:pPr>
        <w:spacing w:line="276" w:lineRule="auto"/>
        <w:jc w:val="center"/>
        <w:rPr>
          <w:rFonts w:cs="MgHelveticaUCPol"/>
          <w:color w:val="000000"/>
        </w:rPr>
      </w:pPr>
    </w:p>
    <w:p w14:paraId="134DF2A6" w14:textId="77777777" w:rsidR="002D7106" w:rsidRDefault="002D7106">
      <w:pPr>
        <w:spacing w:line="276" w:lineRule="auto"/>
        <w:jc w:val="center"/>
        <w:rPr>
          <w:rFonts w:cs="MgHelveticaUCPol"/>
          <w:color w:val="000000"/>
        </w:rPr>
      </w:pPr>
    </w:p>
    <w:p w14:paraId="30628859" w14:textId="77777777" w:rsidR="002D7106" w:rsidRDefault="006E6B03">
      <w:pPr>
        <w:spacing w:line="276" w:lineRule="auto"/>
        <w:jc w:val="center"/>
      </w:pPr>
      <w:r>
        <w:rPr>
          <w:color w:val="000000"/>
        </w:rPr>
        <w:t>Članak 4.</w:t>
      </w:r>
    </w:p>
    <w:p w14:paraId="4F158118" w14:textId="77777777" w:rsidR="002D7106" w:rsidRDefault="006E6B03">
      <w:pPr>
        <w:spacing w:line="276" w:lineRule="auto"/>
        <w:jc w:val="center"/>
      </w:pPr>
      <w:r>
        <w:rPr>
          <w:color w:val="000000"/>
        </w:rPr>
        <w:t>Dodatne administrativne mjere ograničavanja</w:t>
      </w:r>
    </w:p>
    <w:p w14:paraId="0706497E" w14:textId="77777777" w:rsidR="002D7106" w:rsidRDefault="002D7106">
      <w:pPr>
        <w:tabs>
          <w:tab w:val="left" w:pos="426"/>
        </w:tabs>
        <w:spacing w:line="276" w:lineRule="auto"/>
        <w:contextualSpacing/>
        <w:jc w:val="both"/>
        <w:rPr>
          <w:rFonts w:cs="MyriadPro-Regular"/>
          <w:color w:val="000000"/>
        </w:rPr>
      </w:pPr>
    </w:p>
    <w:p w14:paraId="173E1D19" w14:textId="77777777" w:rsidR="002D7106" w:rsidRDefault="006E6B03">
      <w:pPr>
        <w:spacing w:line="276" w:lineRule="auto"/>
        <w:jc w:val="both"/>
      </w:pPr>
      <w:r>
        <w:rPr>
          <w:color w:val="000000"/>
        </w:rPr>
        <w:t>Za povrede odredaba članaka 5., 6., 7., 8., 9., 12., 17., 18., 40., 41., 46., 56. i 67. Izriče se dodatna zabrana stavljanja</w:t>
      </w:r>
      <w:r>
        <w:t xml:space="preserve"> na tržište i povlačenja s tržišta, </w:t>
      </w:r>
      <w:r>
        <w:rPr>
          <w:color w:val="000000"/>
        </w:rPr>
        <w:t>osim u posebnim slučajevima koji se odnose na zahtjeve za označivanje, u kojem se slučaju izriče mjera oduzimanja i povlačenja s tržišta.</w:t>
      </w:r>
    </w:p>
    <w:p w14:paraId="44EF1602" w14:textId="77777777" w:rsidR="002D7106" w:rsidRDefault="006E6B03">
      <w:pPr>
        <w:spacing w:line="276" w:lineRule="auto"/>
        <w:jc w:val="both"/>
      </w:pPr>
      <w:r>
        <w:rPr>
          <w:color w:val="000000"/>
        </w:rPr>
        <w:t>Za navedene mjere Uprava za energetiku, industriju i kemijske proizvode GDKL-a donosi relevantnu odluku.</w:t>
      </w:r>
    </w:p>
    <w:p w14:paraId="232C20F9" w14:textId="77777777" w:rsidR="002D7106" w:rsidRDefault="002D7106">
      <w:pPr>
        <w:spacing w:line="276" w:lineRule="auto"/>
        <w:jc w:val="center"/>
        <w:rPr>
          <w:rFonts w:cs="MyriadPro-Regular"/>
          <w:color w:val="000000"/>
        </w:rPr>
      </w:pPr>
    </w:p>
    <w:p w14:paraId="6EF9A68D" w14:textId="77777777" w:rsidR="002D7106" w:rsidRDefault="006E6B03">
      <w:pPr>
        <w:spacing w:line="276" w:lineRule="auto"/>
        <w:jc w:val="center"/>
      </w:pPr>
      <w:r>
        <w:rPr>
          <w:color w:val="000000"/>
        </w:rPr>
        <w:t>Članak 5.</w:t>
      </w:r>
    </w:p>
    <w:p w14:paraId="7A7774F7" w14:textId="77777777" w:rsidR="002D7106" w:rsidRDefault="006E6B03">
      <w:pPr>
        <w:spacing w:line="276" w:lineRule="auto"/>
        <w:jc w:val="center"/>
      </w:pPr>
      <w:r>
        <w:rPr>
          <w:color w:val="000000"/>
        </w:rPr>
        <w:t>Odredbe stavljene izvan snage</w:t>
      </w:r>
    </w:p>
    <w:p w14:paraId="53CF30C6" w14:textId="26BD790A" w:rsidR="002D7106" w:rsidRDefault="006E6B03">
      <w:pPr>
        <w:spacing w:line="276" w:lineRule="auto"/>
        <w:jc w:val="both"/>
      </w:pPr>
      <w:r>
        <w:rPr>
          <w:color w:val="000000"/>
        </w:rPr>
        <w:t>Na datum objave ove Odluke stavljaju se izvan snage odluke br. 450/2008 (Β΄ 2553) i 82/2009 (Β΄ 581).</w:t>
      </w:r>
    </w:p>
    <w:p w14:paraId="4E8EFE4F" w14:textId="77777777" w:rsidR="002D7106" w:rsidRDefault="002D7106">
      <w:pPr>
        <w:spacing w:line="276" w:lineRule="auto"/>
        <w:jc w:val="both"/>
        <w:rPr>
          <w:rFonts w:cs="Calibri"/>
          <w:color w:val="000000"/>
        </w:rPr>
      </w:pPr>
    </w:p>
    <w:p w14:paraId="5EBF097E" w14:textId="77777777" w:rsidR="002D7106" w:rsidRDefault="006E6B03">
      <w:pPr>
        <w:spacing w:line="276" w:lineRule="auto"/>
        <w:jc w:val="center"/>
      </w:pPr>
      <w:r>
        <w:rPr>
          <w:color w:val="000000"/>
        </w:rPr>
        <w:t>Članak 6.</w:t>
      </w:r>
    </w:p>
    <w:p w14:paraId="61DC1D15" w14:textId="77777777" w:rsidR="002D7106" w:rsidRDefault="006E6B03">
      <w:pPr>
        <w:spacing w:line="276" w:lineRule="auto"/>
        <w:jc w:val="center"/>
      </w:pPr>
      <w:r>
        <w:rPr>
          <w:color w:val="000000"/>
        </w:rPr>
        <w:t>Stupanje na snagu</w:t>
      </w:r>
    </w:p>
    <w:p w14:paraId="5454A790" w14:textId="77777777" w:rsidR="002D7106" w:rsidRDefault="002D7106">
      <w:pPr>
        <w:spacing w:line="276" w:lineRule="auto"/>
        <w:jc w:val="center"/>
        <w:rPr>
          <w:rFonts w:cs="Calibri"/>
          <w:color w:val="000000"/>
        </w:rPr>
      </w:pPr>
    </w:p>
    <w:p w14:paraId="4EAD1F98" w14:textId="77777777" w:rsidR="002D7106" w:rsidRDefault="006E6B03">
      <w:pPr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 xml:space="preserve"> Ova Odluka stupa na snagu na dan objave u Službenom listu i primjenjuje se i na predmete koji su u tijeku, tj. na predmete za koje odgovorna osoba još nije obaviještena o odgovarajućem nalogu za plaćanje i kada nova odredba podrazumijeva povoljniji tretman u konkretnom slučaju. </w:t>
      </w:r>
    </w:p>
    <w:p w14:paraId="62A1F3B7" w14:textId="77777777" w:rsidR="002D7106" w:rsidRDefault="002D7106">
      <w:pPr>
        <w:spacing w:line="276" w:lineRule="auto"/>
        <w:jc w:val="both"/>
        <w:rPr>
          <w:rFonts w:cs="EUAlbertina-Regu"/>
          <w:color w:val="000000"/>
        </w:rPr>
      </w:pPr>
    </w:p>
    <w:p w14:paraId="7A0FAA17" w14:textId="77777777" w:rsidR="002D7106" w:rsidRDefault="006E6B03">
      <w:pPr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contextualSpacing/>
        <w:jc w:val="both"/>
      </w:pPr>
      <w:r>
        <w:rPr>
          <w:color w:val="000000"/>
        </w:rPr>
        <w:t>Ova se Odluka objavljuje u Službenom listu.</w:t>
      </w:r>
    </w:p>
    <w:p w14:paraId="45FD22CD" w14:textId="77777777" w:rsidR="002D7106" w:rsidRDefault="002D7106">
      <w:pPr>
        <w:rPr>
          <w:rFonts w:cs="EUAlbertina-Regu"/>
          <w:color w:val="000000"/>
        </w:rPr>
      </w:pPr>
    </w:p>
    <w:p w14:paraId="1B2CE26C" w14:textId="77777777" w:rsidR="006E6B03" w:rsidRDefault="006E6B03">
      <w:pPr>
        <w:tabs>
          <w:tab w:val="left" w:pos="426"/>
        </w:tabs>
        <w:contextualSpacing/>
        <w:jc w:val="both"/>
      </w:pPr>
    </w:p>
    <w:sectPr w:rsidR="006E6B03">
      <w:pgSz w:w="11906" w:h="16838"/>
      <w:pgMar w:top="1134" w:right="1800" w:bottom="1702" w:left="1800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gHelveticaUCPol">
    <w:charset w:val="A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charset w:val="A1"/>
    <w:family w:val="auto"/>
    <w:pitch w:val="variable"/>
  </w:font>
  <w:font w:name="EUAlbertina-Regu">
    <w:charset w:val="A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MgHelveticaUCP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4962920">
    <w:abstractNumId w:val="0"/>
  </w:num>
  <w:num w:numId="2" w16cid:durableId="408816960">
    <w:abstractNumId w:val="1"/>
  </w:num>
  <w:num w:numId="3" w16cid:durableId="263684058">
    <w:abstractNumId w:val="2"/>
  </w:num>
  <w:num w:numId="4" w16cid:durableId="355160664">
    <w:abstractNumId w:val="3"/>
  </w:num>
  <w:num w:numId="5" w16cid:durableId="1074621388">
    <w:abstractNumId w:val="4"/>
  </w:num>
  <w:num w:numId="6" w16cid:durableId="894244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03"/>
    <w:rsid w:val="00140528"/>
    <w:rsid w:val="002D7106"/>
    <w:rsid w:val="002F6115"/>
    <w:rsid w:val="00301A8E"/>
    <w:rsid w:val="00424FBE"/>
    <w:rsid w:val="006E6B03"/>
    <w:rsid w:val="007145A4"/>
    <w:rsid w:val="007940D5"/>
    <w:rsid w:val="00907705"/>
    <w:rsid w:val="009730FC"/>
    <w:rsid w:val="00B501F3"/>
    <w:rsid w:val="00CD7716"/>
    <w:rsid w:val="00E1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265F4E"/>
  <w15:chartTrackingRefBased/>
  <w15:docId w15:val="{53B6153D-9180-4136-972E-446F9B88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apergi@aad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.dima@aad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2418</Words>
  <Characters>13784</Characters>
  <Application>Microsoft Office Word</Application>
  <DocSecurity>0</DocSecurity>
  <Lines>114</Lines>
  <Paragraphs>32</Paragraphs>
  <ScaleCrop>false</ScaleCrop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Sotiriou</dc:creator>
  <cp:keywords/>
  <cp:lastModifiedBy>Liana Brili</cp:lastModifiedBy>
  <cp:revision>14</cp:revision>
  <cp:lastPrinted>1995-11-21T15:41:00Z</cp:lastPrinted>
  <dcterms:created xsi:type="dcterms:W3CDTF">2023-03-22T05:46:00Z</dcterms:created>
  <dcterms:modified xsi:type="dcterms:W3CDTF">2023-04-05T11:13:00Z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