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143F" w14:textId="37B54220" w:rsidR="002030B2" w:rsidRPr="002030B2" w:rsidRDefault="00402C07" w:rsidP="00402C07">
      <w:pPr>
        <w:pStyle w:val="OZNRODZAKTUtznustawalubrozporzdzenieiorganwydajcy"/>
        <w:tabs>
          <w:tab w:val="center" w:pos="4527"/>
          <w:tab w:val="left" w:pos="6749"/>
        </w:tabs>
        <w:jc w:val="left"/>
      </w:pPr>
      <w:r>
        <w:tab/>
        <w:t xml:space="preserve">REGLAMENTO </w:t>
      </w:r>
    </w:p>
    <w:p w14:paraId="6CE170E7" w14:textId="77777777" w:rsidR="002030B2" w:rsidRPr="002030B2" w:rsidRDefault="002030B2" w:rsidP="002030B2">
      <w:pPr>
        <w:pStyle w:val="OZNRODZAKTUtznustawalubrozporzdzenieiorganwydajcy"/>
      </w:pPr>
      <w:r>
        <w:t>DEL MINISTRO DE SANIDAD</w:t>
      </w:r>
      <w:r w:rsidRPr="00437D67">
        <w:rPr>
          <w:rStyle w:val="IGPindeksgrnyipogrubienie"/>
        </w:rPr>
        <w:footnoteReference w:id="1"/>
      </w:r>
      <w:r>
        <w:rPr>
          <w:rStyle w:val="IGPindeksgrnyipogrubienie"/>
        </w:rPr>
        <w:t>)</w:t>
      </w:r>
    </w:p>
    <w:p w14:paraId="1FB53AB7" w14:textId="34738B6D" w:rsidR="002030B2" w:rsidRPr="002030B2" w:rsidRDefault="002030B2" w:rsidP="002030B2">
      <w:pPr>
        <w:pStyle w:val="DATAAKTUdatauchwalenialubwydaniaaktu"/>
      </w:pPr>
      <w:r>
        <w:t>de 17 de abril de 2023</w:t>
      </w:r>
    </w:p>
    <w:p w14:paraId="069A4E6F" w14:textId="7A0BA914" w:rsidR="002030B2" w:rsidRPr="002030B2" w:rsidRDefault="002030B2" w:rsidP="002030B2">
      <w:pPr>
        <w:pStyle w:val="TYTUAKTUprzedmiotregulacjiustawylubrozporzdzenia"/>
      </w:pPr>
      <w:r>
        <w:t xml:space="preserve">por el que se modifica el </w:t>
      </w:r>
      <w:bookmarkStart w:id="0" w:name="_Hlk128474766"/>
      <w:r>
        <w:t>Reglamento relativo a la lista de sustancias psicotrópicas, estupefacientes y nuevas sustancias psicoactivas</w:t>
      </w:r>
      <w:r>
        <w:rPr>
          <w:rStyle w:val="IGPindeksgrnyipogrubienie"/>
        </w:rPr>
        <w:footnoteReference w:customMarkFollows="1" w:id="2"/>
        <w:t>2)</w:t>
      </w:r>
      <w:bookmarkEnd w:id="0"/>
      <w:r>
        <w:rPr>
          <w:rStyle w:val="IGPindeksgrnyipogrubienie"/>
        </w:rPr>
        <w:t xml:space="preserve">), </w:t>
      </w:r>
      <w:r>
        <w:rPr>
          <w:rStyle w:val="IGPindeksgrnyipogrubienie"/>
        </w:rPr>
        <w:footnoteReference w:customMarkFollows="1" w:id="3"/>
        <w:t>3)</w:t>
      </w:r>
    </w:p>
    <w:p w14:paraId="68BFA488" w14:textId="01E49AA8" w:rsidR="002030B2" w:rsidRPr="002030B2" w:rsidRDefault="002030B2" w:rsidP="002030B2">
      <w:pPr>
        <w:pStyle w:val="NIEARTTEKSTtekstnieartykuowanynppodstprawnarozplubpreambua"/>
      </w:pPr>
      <w:r>
        <w:t xml:space="preserve">De conformidad con el artículo 44 </w:t>
      </w:r>
      <w:proofErr w:type="spellStart"/>
      <w:r>
        <w:t>septies</w:t>
      </w:r>
      <w:proofErr w:type="spellEnd"/>
      <w:r>
        <w:t xml:space="preserve"> de la Ley, de 29 de julio de 2005, sobre la lucha contra las toxicomanías (Boletín Oficial de 2023, punto 172, y de 2022, punto 2600) se dispone lo siguiente: </w:t>
      </w:r>
    </w:p>
    <w:p w14:paraId="1B17D5B1" w14:textId="3C83A477" w:rsidR="002030B2" w:rsidRPr="002030B2" w:rsidRDefault="002030B2" w:rsidP="002030B2">
      <w:pPr>
        <w:pStyle w:val="ARTartustawynprozporzdzenia"/>
      </w:pPr>
      <w:r>
        <w:rPr>
          <w:rStyle w:val="Ppogrubienie"/>
        </w:rPr>
        <w:t>Artículo 1.</w:t>
      </w:r>
      <w:r>
        <w:t xml:space="preserve"> El Reglamento del </w:t>
      </w:r>
      <w:proofErr w:type="gramStart"/>
      <w:r>
        <w:t>Ministro</w:t>
      </w:r>
      <w:proofErr w:type="gramEnd"/>
      <w:r>
        <w:t xml:space="preserve"> de Sanidad, de 17 de agosto de 2018, relativo a la lista de sustancias psicotrópicas, estupefacientes y nuevas sustancias psicoactivas (Boletín Oficial de 2022, punto 1665) se modifica como sigue:</w:t>
      </w:r>
    </w:p>
    <w:p w14:paraId="7DB33E9F" w14:textId="71083C48" w:rsidR="00286739" w:rsidRDefault="002030B2" w:rsidP="00EF73E8">
      <w:pPr>
        <w:pStyle w:val="PKTpunkt"/>
      </w:pPr>
      <w:r>
        <w:t>1)</w:t>
      </w:r>
      <w:r>
        <w:tab/>
        <w:t>en la nota a pie de página 2 del título del Reglamento, en el punto 3, se sustituye el punto final por un punto y coma, y se añade el siguiente punto 4:</w:t>
      </w:r>
    </w:p>
    <w:p w14:paraId="2D7DAEAA" w14:textId="6BD573DF" w:rsidR="00472CBA" w:rsidRDefault="00472CBA" w:rsidP="001A5B6A">
      <w:pPr>
        <w:pStyle w:val="ZPKTzmpktartykuempunktem"/>
      </w:pPr>
      <w:r>
        <w:t>«4)</w:t>
      </w:r>
      <w:r>
        <w:tab/>
        <w:t xml:space="preserve">la Directiva </w:t>
      </w:r>
      <w:proofErr w:type="gramStart"/>
      <w:r>
        <w:t>Delegada</w:t>
      </w:r>
      <w:proofErr w:type="gramEnd"/>
      <w:r>
        <w:t xml:space="preserve"> (UE) 2022/1326 de la Comisión, de 18 de marzo de 2022, por la que se modifica el anexo de la Decisión marco 2004/757/JAI del Consejo en lo que respecta a la inclusión de nuevas sustancias psicotrópicas en la definición de «droga» (DO L 200 de 29.7.2022, p. 148).»;</w:t>
      </w:r>
    </w:p>
    <w:p w14:paraId="7C6DAA6F" w14:textId="60F6EB55" w:rsidR="002030B2" w:rsidRPr="006A64D1" w:rsidRDefault="00286739" w:rsidP="00EF73E8">
      <w:pPr>
        <w:pStyle w:val="PKTpunkt"/>
      </w:pPr>
      <w:r>
        <w:t>2) en el anexo 1 del Reglamento, «LISTA DE SUSTANCIAS PSICOTRÓPICAS CLASIFICADAS POR GRUPOS, MENCIONADOS EN EL ARTÍCULO 32, DE LA LEY, DE 29 DE JULIO DE 2005, SOBRE LA LUCHA CONTRA LAS TOXICOMANÍAS»:</w:t>
      </w:r>
    </w:p>
    <w:p w14:paraId="750C3766" w14:textId="68F7CDF0" w:rsidR="0064029A" w:rsidRDefault="002030B2" w:rsidP="00C53D67">
      <w:pPr>
        <w:pStyle w:val="LITlitera"/>
      </w:pPr>
      <w:r>
        <w:t>a)</w:t>
      </w:r>
      <w:r>
        <w:tab/>
        <w:t xml:space="preserve">en parte 1, «SUSTANCIAS PSICOTRÓPICAS DEL GRUPO I-P», en el cuadro: </w:t>
      </w:r>
    </w:p>
    <w:p w14:paraId="2BF041D8" w14:textId="77777777" w:rsidR="00636ECE" w:rsidRDefault="002030B2" w:rsidP="00483703">
      <w:pPr>
        <w:pStyle w:val="TIRtiret"/>
      </w:pPr>
      <w:r>
        <w:t xml:space="preserve"> – se suprime el punto 32, </w:t>
      </w:r>
    </w:p>
    <w:p w14:paraId="0D10E8E0" w14:textId="433A3AD8" w:rsidR="00483703" w:rsidRDefault="00483703" w:rsidP="00483703">
      <w:pPr>
        <w:pStyle w:val="TIRtiret"/>
      </w:pPr>
      <w:r>
        <w:lastRenderedPageBreak/>
        <w:t>– el punto 96 se reformula como sigue:</w:t>
      </w:r>
    </w:p>
    <w:tbl>
      <w:tblPr>
        <w:tblW w:w="929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15"/>
        <w:gridCol w:w="1922"/>
        <w:gridCol w:w="1417"/>
        <w:gridCol w:w="5337"/>
      </w:tblGrid>
      <w:tr w:rsidR="00853419" w:rsidRPr="00432B77" w14:paraId="4DF8FAB9" w14:textId="77777777" w:rsidTr="00313B90">
        <w:trPr>
          <w:trHeight w:val="822"/>
          <w:jc w:val="center"/>
        </w:trPr>
        <w:tc>
          <w:tcPr>
            <w:tcW w:w="615" w:type="dxa"/>
            <w:tcBorders>
              <w:top w:val="single" w:sz="12" w:space="0" w:color="auto"/>
              <w:left w:val="single" w:sz="12" w:space="0" w:color="auto"/>
              <w:bottom w:val="single" w:sz="8" w:space="0" w:color="auto"/>
              <w:right w:val="single" w:sz="8" w:space="0" w:color="auto"/>
            </w:tcBorders>
            <w:shd w:val="clear" w:color="auto" w:fill="auto"/>
            <w:hideMark/>
          </w:tcPr>
          <w:p w14:paraId="5A7463A7" w14:textId="77777777" w:rsidR="00853419" w:rsidRPr="00853419" w:rsidRDefault="00853419" w:rsidP="00853419">
            <w:pPr>
              <w:pStyle w:val="TEKSTwTABELIWYRODKOWANYtekstwyrodkowanywpoziomie"/>
            </w:pPr>
            <w:r>
              <w:t>«96</w:t>
            </w:r>
          </w:p>
        </w:tc>
        <w:tc>
          <w:tcPr>
            <w:tcW w:w="1922" w:type="dxa"/>
            <w:tcBorders>
              <w:top w:val="single" w:sz="12" w:space="0" w:color="auto"/>
              <w:left w:val="single" w:sz="8" w:space="0" w:color="auto"/>
              <w:bottom w:val="single" w:sz="8" w:space="0" w:color="auto"/>
              <w:right w:val="single" w:sz="8" w:space="0" w:color="auto"/>
            </w:tcBorders>
            <w:shd w:val="clear" w:color="auto" w:fill="auto"/>
            <w:hideMark/>
          </w:tcPr>
          <w:p w14:paraId="3E1FECC9" w14:textId="77777777" w:rsidR="00853419" w:rsidRPr="00B66272" w:rsidRDefault="00853419" w:rsidP="00853419"/>
        </w:tc>
        <w:tc>
          <w:tcPr>
            <w:tcW w:w="1417" w:type="dxa"/>
            <w:tcBorders>
              <w:top w:val="single" w:sz="12" w:space="0" w:color="auto"/>
              <w:left w:val="single" w:sz="8" w:space="0" w:color="auto"/>
              <w:bottom w:val="single" w:sz="8" w:space="0" w:color="auto"/>
              <w:right w:val="single" w:sz="8" w:space="0" w:color="auto"/>
            </w:tcBorders>
            <w:shd w:val="clear" w:color="auto" w:fill="auto"/>
            <w:hideMark/>
          </w:tcPr>
          <w:p w14:paraId="69CBC32B" w14:textId="7C065C6A" w:rsidR="00853419" w:rsidRPr="00853419" w:rsidRDefault="00853419" w:rsidP="00853419">
            <w:r>
              <w:t>Tetrahidrocannabinoles</w:t>
            </w:r>
          </w:p>
        </w:tc>
        <w:tc>
          <w:tcPr>
            <w:tcW w:w="5337" w:type="dxa"/>
            <w:tcBorders>
              <w:top w:val="single" w:sz="12" w:space="0" w:color="auto"/>
              <w:left w:val="single" w:sz="8" w:space="0" w:color="auto"/>
              <w:bottom w:val="single" w:sz="8" w:space="0" w:color="auto"/>
              <w:right w:val="single" w:sz="12" w:space="0" w:color="auto"/>
            </w:tcBorders>
            <w:shd w:val="clear" w:color="auto" w:fill="auto"/>
            <w:hideMark/>
          </w:tcPr>
          <w:p w14:paraId="1B90361E" w14:textId="77777777" w:rsidR="004F385B" w:rsidRDefault="00B127B2" w:rsidP="009E1CDF">
            <w:r>
              <w:t>los siguientes isómeros y sus variantes estereoquímicas:</w:t>
            </w:r>
          </w:p>
          <w:p w14:paraId="79CED26A" w14:textId="77777777" w:rsidR="004F385B" w:rsidRDefault="00C7293C" w:rsidP="009E1CDF">
            <w:r>
              <w:t>– 7,8,9,10-tetrahidro-6,6,9-trimetil-3-pentil-</w:t>
            </w:r>
            <w:r>
              <w:rPr>
                <w:rStyle w:val="Kkursywa"/>
              </w:rPr>
              <w:t>6H</w:t>
            </w:r>
            <w:r>
              <w:t>-dibenzo[</w:t>
            </w:r>
            <w:proofErr w:type="gramStart"/>
            <w:r>
              <w:rPr>
                <w:rStyle w:val="Kkursywa"/>
              </w:rPr>
              <w:t>b,d</w:t>
            </w:r>
            <w:proofErr w:type="gramEnd"/>
            <w:r>
              <w:t>]piran-1-ol,</w:t>
            </w:r>
          </w:p>
          <w:p w14:paraId="305F7602" w14:textId="77777777" w:rsidR="004F385B" w:rsidRDefault="0025043D" w:rsidP="009E1CDF">
            <w:r>
              <w:t>– (9</w:t>
            </w:r>
            <w:r>
              <w:rPr>
                <w:rStyle w:val="Kkursywa"/>
              </w:rPr>
              <w:t>R</w:t>
            </w:r>
            <w:r>
              <w:t>,10a</w:t>
            </w:r>
            <w:r>
              <w:rPr>
                <w:rStyle w:val="Kkursywa"/>
              </w:rPr>
              <w:t>R</w:t>
            </w:r>
            <w:r>
              <w:t>)-8,9,</w:t>
            </w:r>
            <w:proofErr w:type="gramStart"/>
            <w:r>
              <w:t>10,10a</w:t>
            </w:r>
            <w:proofErr w:type="gramEnd"/>
            <w:r>
              <w:t>-tetrahidro-6,6,9-trimetil-3-pentil-</w:t>
            </w:r>
            <w:r>
              <w:rPr>
                <w:rStyle w:val="Kkursywa"/>
              </w:rPr>
              <w:t>6H</w:t>
            </w:r>
            <w:r>
              <w:t>-dibenzo[</w:t>
            </w:r>
            <w:r>
              <w:rPr>
                <w:rStyle w:val="Kkursywa"/>
              </w:rPr>
              <w:t>b,d</w:t>
            </w:r>
            <w:r>
              <w:t>]piran-l-ol,</w:t>
            </w:r>
          </w:p>
          <w:p w14:paraId="55817C8F" w14:textId="77777777" w:rsidR="004F385B" w:rsidRDefault="0025043D" w:rsidP="009E1CDF">
            <w:r>
              <w:t>– (6a</w:t>
            </w:r>
            <w:r>
              <w:rPr>
                <w:rStyle w:val="Kkursywa"/>
              </w:rPr>
              <w:t>R</w:t>
            </w:r>
            <w:r>
              <w:t>,9</w:t>
            </w:r>
            <w:r>
              <w:rPr>
                <w:rStyle w:val="Kkursywa"/>
              </w:rPr>
              <w:t>R</w:t>
            </w:r>
            <w:r>
              <w:t>,10a</w:t>
            </w:r>
            <w:r>
              <w:rPr>
                <w:rStyle w:val="Kkursywa"/>
              </w:rPr>
              <w:t>R</w:t>
            </w:r>
            <w:r>
              <w:t>)-6a,</w:t>
            </w:r>
            <w:proofErr w:type="gramStart"/>
            <w:r>
              <w:t>9,10a</w:t>
            </w:r>
            <w:proofErr w:type="gramEnd"/>
            <w:r>
              <w:t>-tetrahidro-6,6,9-trimetil-3-pentil-6</w:t>
            </w:r>
            <w:r>
              <w:rPr>
                <w:rStyle w:val="Kkursywa"/>
              </w:rPr>
              <w:t>H</w:t>
            </w:r>
            <w:r>
              <w:t>-dibenzo[</w:t>
            </w:r>
            <w:r>
              <w:rPr>
                <w:rStyle w:val="Kkursywa"/>
              </w:rPr>
              <w:t>b,d</w:t>
            </w:r>
            <w:r>
              <w:t>]piran-l-ol,</w:t>
            </w:r>
          </w:p>
          <w:p w14:paraId="22176BA7" w14:textId="77777777" w:rsidR="004F385B" w:rsidRDefault="00BB3A88" w:rsidP="009E1CDF">
            <w:r>
              <w:t>– (</w:t>
            </w:r>
            <w:r>
              <w:rPr>
                <w:rStyle w:val="Kkursywa"/>
              </w:rPr>
              <w:t>6</w:t>
            </w:r>
            <w:r>
              <w:t>a y</w:t>
            </w:r>
            <w:r>
              <w:rPr>
                <w:rStyle w:val="Kkursywa"/>
              </w:rPr>
              <w:t>R</w:t>
            </w:r>
            <w:r>
              <w:t>,10a</w:t>
            </w:r>
            <w:r>
              <w:rPr>
                <w:rStyle w:val="Kkursywa"/>
              </w:rPr>
              <w:t>R</w:t>
            </w:r>
            <w:r>
              <w:t>)-6a,7,</w:t>
            </w:r>
            <w:proofErr w:type="gramStart"/>
            <w:r>
              <w:t>10,10a</w:t>
            </w:r>
            <w:proofErr w:type="gramEnd"/>
            <w:r>
              <w:t>-tetrahidro-6,6,9-trimetil-3-pentil-6</w:t>
            </w:r>
            <w:r>
              <w:rPr>
                <w:rStyle w:val="Kkursywa"/>
              </w:rPr>
              <w:t>H</w:t>
            </w:r>
            <w:r>
              <w:t>-dibenzo[</w:t>
            </w:r>
            <w:r>
              <w:rPr>
                <w:rStyle w:val="Kkursywa"/>
              </w:rPr>
              <w:t>b,d</w:t>
            </w:r>
            <w:r>
              <w:t>]piran-l-ol,</w:t>
            </w:r>
          </w:p>
          <w:p w14:paraId="380DBEE7" w14:textId="77777777" w:rsidR="004F385B" w:rsidRDefault="00BB3A88" w:rsidP="009E1CDF">
            <w:r>
              <w:t>– 6a,7,8,9-tetrahidro-6,6,9-trimetil-3-pentil-</w:t>
            </w:r>
            <w:r>
              <w:rPr>
                <w:rStyle w:val="Kkursywa"/>
              </w:rPr>
              <w:t>6H</w:t>
            </w:r>
            <w:r>
              <w:t>-dibenzo[</w:t>
            </w:r>
            <w:proofErr w:type="gramStart"/>
            <w:r>
              <w:rPr>
                <w:rStyle w:val="Kkursywa"/>
              </w:rPr>
              <w:t>b,d</w:t>
            </w:r>
            <w:proofErr w:type="gramEnd"/>
            <w:r>
              <w:t>]piran-1-ol,</w:t>
            </w:r>
            <w:bookmarkStart w:id="1" w:name="_Hlk128480648"/>
          </w:p>
          <w:p w14:paraId="490B34E4" w14:textId="78964624" w:rsidR="00853419" w:rsidRPr="00432B77" w:rsidRDefault="00BB3A88" w:rsidP="009E1CDF">
            <w:r>
              <w:t>– (</w:t>
            </w:r>
            <w:r>
              <w:rPr>
                <w:rStyle w:val="Kkursywa"/>
              </w:rPr>
              <w:t>6</w:t>
            </w:r>
            <w:r>
              <w:t>a</w:t>
            </w:r>
            <w:r>
              <w:rPr>
                <w:rStyle w:val="Kkursywa"/>
              </w:rPr>
              <w:t>R</w:t>
            </w:r>
            <w:r>
              <w:t>,10a</w:t>
            </w:r>
            <w:r>
              <w:rPr>
                <w:rStyle w:val="Kkursywa"/>
              </w:rPr>
              <w:t>R</w:t>
            </w:r>
            <w:r>
              <w:t>)-6a,7,8,</w:t>
            </w:r>
            <w:proofErr w:type="gramStart"/>
            <w:r>
              <w:t>9,10a</w:t>
            </w:r>
            <w:proofErr w:type="gramEnd"/>
            <w:r>
              <w:t>-hexahidro-6,6-dimetil-9-metil-3-pentil-6</w:t>
            </w:r>
            <w:r>
              <w:rPr>
                <w:rStyle w:val="Kkursywa"/>
              </w:rPr>
              <w:t>H</w:t>
            </w:r>
            <w:r>
              <w:t>-dibenzo[</w:t>
            </w:r>
            <w:r>
              <w:rPr>
                <w:rStyle w:val="Kkursywa"/>
              </w:rPr>
              <w:t>b</w:t>
            </w:r>
            <w:r>
              <w:t>,</w:t>
            </w:r>
            <w:r>
              <w:rPr>
                <w:rStyle w:val="Kkursywa"/>
              </w:rPr>
              <w:t>d</w:t>
            </w:r>
            <w:r>
              <w:t>]piran-1-ol»,</w:t>
            </w:r>
            <w:bookmarkEnd w:id="1"/>
          </w:p>
        </w:tc>
      </w:tr>
    </w:tbl>
    <w:p w14:paraId="0D906614" w14:textId="7FD4F47E" w:rsidR="0064029A" w:rsidRDefault="0064029A" w:rsidP="00C65151">
      <w:pPr>
        <w:pStyle w:val="TIRtiret"/>
      </w:pPr>
      <w:r>
        <w:t>– después del punto 98, se añaden los siguientes puntos 99 y 100:</w:t>
      </w:r>
    </w:p>
    <w:tbl>
      <w:tblPr>
        <w:tblW w:w="929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15"/>
        <w:gridCol w:w="1922"/>
        <w:gridCol w:w="1417"/>
        <w:gridCol w:w="5337"/>
      </w:tblGrid>
      <w:tr w:rsidR="00483703" w:rsidRPr="00AA2C74" w14:paraId="3E172BA6" w14:textId="77777777" w:rsidTr="00313B90">
        <w:trPr>
          <w:trHeight w:val="822"/>
          <w:jc w:val="center"/>
        </w:trPr>
        <w:tc>
          <w:tcPr>
            <w:tcW w:w="615" w:type="dxa"/>
            <w:tcBorders>
              <w:top w:val="single" w:sz="12" w:space="0" w:color="auto"/>
              <w:left w:val="single" w:sz="12" w:space="0" w:color="auto"/>
              <w:bottom w:val="single" w:sz="8" w:space="0" w:color="auto"/>
              <w:right w:val="single" w:sz="8" w:space="0" w:color="auto"/>
            </w:tcBorders>
            <w:shd w:val="clear" w:color="auto" w:fill="auto"/>
          </w:tcPr>
          <w:p w14:paraId="2660E0ED" w14:textId="533523E4" w:rsidR="00483703" w:rsidRPr="00483703" w:rsidRDefault="00483703" w:rsidP="00483703">
            <w:pPr>
              <w:pStyle w:val="TEKSTwTABELIWYRODKOWANYtekstwyrodkowanywpoziomie"/>
            </w:pPr>
            <w:bookmarkStart w:id="2" w:name="_Hlk128480565"/>
            <w:r>
              <w:t>«99</w:t>
            </w:r>
          </w:p>
        </w:tc>
        <w:tc>
          <w:tcPr>
            <w:tcW w:w="1922" w:type="dxa"/>
            <w:tcBorders>
              <w:top w:val="single" w:sz="12" w:space="0" w:color="auto"/>
              <w:left w:val="single" w:sz="8" w:space="0" w:color="auto"/>
              <w:bottom w:val="single" w:sz="8" w:space="0" w:color="auto"/>
              <w:right w:val="single" w:sz="8" w:space="0" w:color="auto"/>
            </w:tcBorders>
            <w:shd w:val="clear" w:color="auto" w:fill="auto"/>
          </w:tcPr>
          <w:p w14:paraId="6DA1AFFF" w14:textId="25A75B02" w:rsidR="00483703" w:rsidRPr="00773222" w:rsidRDefault="00483703" w:rsidP="00483703">
            <w:r>
              <w:t>HHC</w:t>
            </w:r>
          </w:p>
        </w:tc>
        <w:tc>
          <w:tcPr>
            <w:tcW w:w="1417" w:type="dxa"/>
            <w:tcBorders>
              <w:top w:val="single" w:sz="12" w:space="0" w:color="auto"/>
              <w:left w:val="single" w:sz="8" w:space="0" w:color="auto"/>
              <w:bottom w:val="single" w:sz="8" w:space="0" w:color="auto"/>
              <w:right w:val="single" w:sz="8" w:space="0" w:color="auto"/>
            </w:tcBorders>
            <w:shd w:val="clear" w:color="auto" w:fill="auto"/>
          </w:tcPr>
          <w:p w14:paraId="6EE9C9E9" w14:textId="205B2383" w:rsidR="00483703" w:rsidRPr="00773222" w:rsidRDefault="00483703" w:rsidP="00483703">
            <w:proofErr w:type="spellStart"/>
            <w:r>
              <w:t>Hexahidrocannabinol</w:t>
            </w:r>
            <w:proofErr w:type="spellEnd"/>
          </w:p>
        </w:tc>
        <w:tc>
          <w:tcPr>
            <w:tcW w:w="5337" w:type="dxa"/>
            <w:tcBorders>
              <w:top w:val="single" w:sz="12" w:space="0" w:color="auto"/>
              <w:left w:val="single" w:sz="8" w:space="0" w:color="auto"/>
              <w:bottom w:val="single" w:sz="8" w:space="0" w:color="auto"/>
              <w:right w:val="single" w:sz="12" w:space="0" w:color="auto"/>
            </w:tcBorders>
            <w:shd w:val="clear" w:color="auto" w:fill="auto"/>
          </w:tcPr>
          <w:p w14:paraId="19F3EEA7" w14:textId="6C46441D" w:rsidR="00483703" w:rsidRPr="00773222" w:rsidRDefault="00483703" w:rsidP="000D0988">
            <w:r>
              <w:t>6a,7,8,</w:t>
            </w:r>
            <w:proofErr w:type="gramStart"/>
            <w:r>
              <w:t>9,10a</w:t>
            </w:r>
            <w:proofErr w:type="gramEnd"/>
            <w:r>
              <w:t>-hexahidro-6,6,9-trimetil-3-pentil-6</w:t>
            </w:r>
            <w:r>
              <w:rPr>
                <w:rStyle w:val="Kkursywa"/>
              </w:rPr>
              <w:t>H</w:t>
            </w:r>
            <w:r>
              <w:t>-dibenzo[</w:t>
            </w:r>
            <w:r>
              <w:rPr>
                <w:rStyle w:val="Kkursywa"/>
              </w:rPr>
              <w:t>b</w:t>
            </w:r>
            <w:r>
              <w:t>,</w:t>
            </w:r>
            <w:r>
              <w:rPr>
                <w:rStyle w:val="Kkursywa"/>
              </w:rPr>
              <w:t>d</w:t>
            </w:r>
            <w:r>
              <w:t>]piran-1-ol</w:t>
            </w:r>
          </w:p>
        </w:tc>
      </w:tr>
      <w:bookmarkEnd w:id="2"/>
      <w:tr w:rsidR="0078600D" w:rsidRPr="00AA2C74" w14:paraId="21251E98" w14:textId="77777777" w:rsidTr="00313B90">
        <w:trPr>
          <w:trHeight w:val="822"/>
          <w:jc w:val="center"/>
        </w:trPr>
        <w:tc>
          <w:tcPr>
            <w:tcW w:w="615" w:type="dxa"/>
            <w:tcBorders>
              <w:top w:val="single" w:sz="12" w:space="0" w:color="auto"/>
              <w:left w:val="single" w:sz="12" w:space="0" w:color="auto"/>
              <w:bottom w:val="single" w:sz="8" w:space="0" w:color="auto"/>
              <w:right w:val="single" w:sz="8" w:space="0" w:color="auto"/>
            </w:tcBorders>
            <w:shd w:val="clear" w:color="auto" w:fill="auto"/>
            <w:hideMark/>
          </w:tcPr>
          <w:p w14:paraId="0F8B93CE" w14:textId="134FE175" w:rsidR="0078600D" w:rsidRPr="0078600D" w:rsidRDefault="00483703" w:rsidP="0078600D">
            <w:pPr>
              <w:pStyle w:val="TEKSTwTABELIWYRODKOWANYtekstwyrodkowanywpoziomie"/>
            </w:pPr>
            <w:r>
              <w:t>100</w:t>
            </w:r>
          </w:p>
        </w:tc>
        <w:tc>
          <w:tcPr>
            <w:tcW w:w="1922" w:type="dxa"/>
            <w:tcBorders>
              <w:top w:val="single" w:sz="12" w:space="0" w:color="auto"/>
              <w:left w:val="single" w:sz="8" w:space="0" w:color="auto"/>
              <w:bottom w:val="single" w:sz="8" w:space="0" w:color="auto"/>
              <w:right w:val="single" w:sz="8" w:space="0" w:color="auto"/>
            </w:tcBorders>
            <w:shd w:val="clear" w:color="auto" w:fill="auto"/>
            <w:hideMark/>
          </w:tcPr>
          <w:p w14:paraId="78B2084B" w14:textId="77777777" w:rsidR="0078600D" w:rsidRPr="0078600D" w:rsidRDefault="0078600D" w:rsidP="0078600D">
            <w:r>
              <w:t>HHC-O</w:t>
            </w:r>
          </w:p>
        </w:tc>
        <w:tc>
          <w:tcPr>
            <w:tcW w:w="1417" w:type="dxa"/>
            <w:tcBorders>
              <w:top w:val="single" w:sz="12" w:space="0" w:color="auto"/>
              <w:left w:val="single" w:sz="8" w:space="0" w:color="auto"/>
              <w:bottom w:val="single" w:sz="8" w:space="0" w:color="auto"/>
              <w:right w:val="single" w:sz="8" w:space="0" w:color="auto"/>
            </w:tcBorders>
            <w:shd w:val="clear" w:color="auto" w:fill="auto"/>
            <w:hideMark/>
          </w:tcPr>
          <w:p w14:paraId="385416F8" w14:textId="3B32D739" w:rsidR="0078600D" w:rsidRPr="0078600D" w:rsidRDefault="0078600D" w:rsidP="0078600D">
            <w:r>
              <w:t>O-</w:t>
            </w:r>
            <w:proofErr w:type="spellStart"/>
            <w:r>
              <w:t>acetilohexahidrocannabinol</w:t>
            </w:r>
            <w:proofErr w:type="spellEnd"/>
          </w:p>
        </w:tc>
        <w:tc>
          <w:tcPr>
            <w:tcW w:w="5337" w:type="dxa"/>
            <w:tcBorders>
              <w:top w:val="single" w:sz="12" w:space="0" w:color="auto"/>
              <w:left w:val="single" w:sz="8" w:space="0" w:color="auto"/>
              <w:bottom w:val="single" w:sz="8" w:space="0" w:color="auto"/>
              <w:right w:val="single" w:sz="12" w:space="0" w:color="auto"/>
            </w:tcBorders>
            <w:shd w:val="clear" w:color="auto" w:fill="auto"/>
            <w:hideMark/>
          </w:tcPr>
          <w:p w14:paraId="0D020276" w14:textId="6807978B" w:rsidR="0078600D" w:rsidRPr="0078600D" w:rsidRDefault="00E45676" w:rsidP="00CC2FCA">
            <w:r>
              <w:t>acetato 6a,7,8,</w:t>
            </w:r>
            <w:proofErr w:type="gramStart"/>
            <w:r>
              <w:t>9,10a</w:t>
            </w:r>
            <w:proofErr w:type="gramEnd"/>
            <w:r>
              <w:t>-hexahidro-6,6,9-trimetil-3-pentil-6</w:t>
            </w:r>
            <w:r>
              <w:rPr>
                <w:rStyle w:val="Kkursywa"/>
              </w:rPr>
              <w:t>H</w:t>
            </w:r>
            <w:r>
              <w:t>-dibenzo[</w:t>
            </w:r>
            <w:r>
              <w:rPr>
                <w:rStyle w:val="Kkursywa"/>
              </w:rPr>
              <w:t>b</w:t>
            </w:r>
            <w:r>
              <w:t>,</w:t>
            </w:r>
            <w:r>
              <w:rPr>
                <w:rStyle w:val="Kkursywa"/>
              </w:rPr>
              <w:t>d</w:t>
            </w:r>
            <w:r>
              <w:t>]piranium-1-il»;</w:t>
            </w:r>
          </w:p>
        </w:tc>
      </w:tr>
    </w:tbl>
    <w:p w14:paraId="4B0ABB26" w14:textId="0CB58954" w:rsidR="00461198" w:rsidRDefault="002030B2" w:rsidP="00C65151">
      <w:pPr>
        <w:pStyle w:val="LITlitera"/>
      </w:pPr>
      <w:r>
        <w:t>b)</w:t>
      </w:r>
      <w:r>
        <w:tab/>
        <w:t xml:space="preserve">en parte 2, «SUSTANCIAS PSICOTRÓPICAS DEL GRUPO II-P», en el cuadro:  </w:t>
      </w:r>
    </w:p>
    <w:p w14:paraId="581D7158" w14:textId="44A3978C" w:rsidR="002030B2" w:rsidRPr="002030B2" w:rsidRDefault="00461198" w:rsidP="00437D67">
      <w:pPr>
        <w:pStyle w:val="TIRtiret"/>
      </w:pPr>
      <w:r>
        <w:t>– el punto 71 se reformula como sigue:</w:t>
      </w:r>
    </w:p>
    <w:tbl>
      <w:tblPr>
        <w:tblW w:w="929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15"/>
        <w:gridCol w:w="1922"/>
        <w:gridCol w:w="1417"/>
        <w:gridCol w:w="5337"/>
      </w:tblGrid>
      <w:tr w:rsidR="002030B2" w:rsidRPr="00E723CA" w14:paraId="73F8AFAD" w14:textId="77777777" w:rsidTr="00313B90">
        <w:trPr>
          <w:trHeight w:val="822"/>
          <w:jc w:val="center"/>
        </w:trPr>
        <w:tc>
          <w:tcPr>
            <w:tcW w:w="615" w:type="dxa"/>
            <w:tcBorders>
              <w:top w:val="single" w:sz="12" w:space="0" w:color="auto"/>
              <w:left w:val="single" w:sz="12" w:space="0" w:color="auto"/>
              <w:bottom w:val="single" w:sz="8" w:space="0" w:color="auto"/>
              <w:right w:val="single" w:sz="8" w:space="0" w:color="auto"/>
            </w:tcBorders>
            <w:shd w:val="clear" w:color="auto" w:fill="auto"/>
            <w:hideMark/>
          </w:tcPr>
          <w:p w14:paraId="7C9213BB" w14:textId="77777777" w:rsidR="002030B2" w:rsidRPr="002030B2" w:rsidRDefault="002030B2" w:rsidP="00114CCF">
            <w:pPr>
              <w:pStyle w:val="TEKSTwTABELIWYRODKOWANYtekstwyrodkowanywpoziomie"/>
            </w:pPr>
            <w:r>
              <w:t>«71</w:t>
            </w:r>
          </w:p>
        </w:tc>
        <w:tc>
          <w:tcPr>
            <w:tcW w:w="1922" w:type="dxa"/>
            <w:tcBorders>
              <w:top w:val="single" w:sz="12" w:space="0" w:color="auto"/>
              <w:left w:val="single" w:sz="8" w:space="0" w:color="auto"/>
              <w:bottom w:val="single" w:sz="8" w:space="0" w:color="auto"/>
              <w:right w:val="single" w:sz="8" w:space="0" w:color="auto"/>
            </w:tcBorders>
            <w:shd w:val="clear" w:color="auto" w:fill="auto"/>
            <w:hideMark/>
          </w:tcPr>
          <w:p w14:paraId="0B0BFA2D" w14:textId="77777777" w:rsidR="002030B2" w:rsidRPr="002030B2" w:rsidRDefault="002030B2" w:rsidP="00D86012">
            <w:r>
              <w:t>CUMYL-PEGACLONE</w:t>
            </w:r>
          </w:p>
        </w:tc>
        <w:tc>
          <w:tcPr>
            <w:tcW w:w="1417" w:type="dxa"/>
            <w:tcBorders>
              <w:top w:val="single" w:sz="12" w:space="0" w:color="auto"/>
              <w:left w:val="single" w:sz="8" w:space="0" w:color="auto"/>
              <w:bottom w:val="single" w:sz="8" w:space="0" w:color="auto"/>
              <w:right w:val="single" w:sz="8" w:space="0" w:color="auto"/>
            </w:tcBorders>
            <w:shd w:val="clear" w:color="auto" w:fill="auto"/>
            <w:hideMark/>
          </w:tcPr>
          <w:p w14:paraId="658952F5" w14:textId="77777777" w:rsidR="002030B2" w:rsidRPr="002030B2" w:rsidRDefault="002030B2" w:rsidP="00D86012">
            <w:r>
              <w:t>SGT-151</w:t>
            </w:r>
          </w:p>
        </w:tc>
        <w:tc>
          <w:tcPr>
            <w:tcW w:w="5337" w:type="dxa"/>
            <w:tcBorders>
              <w:top w:val="single" w:sz="12" w:space="0" w:color="auto"/>
              <w:left w:val="single" w:sz="8" w:space="0" w:color="auto"/>
              <w:bottom w:val="single" w:sz="8" w:space="0" w:color="auto"/>
              <w:right w:val="single" w:sz="12" w:space="0" w:color="auto"/>
            </w:tcBorders>
            <w:shd w:val="clear" w:color="auto" w:fill="auto"/>
            <w:hideMark/>
          </w:tcPr>
          <w:p w14:paraId="60406D33" w14:textId="617B5155" w:rsidR="002030B2" w:rsidRPr="002030B2" w:rsidRDefault="002030B2" w:rsidP="00D86012">
            <w:r>
              <w:t>2,5-dihidro-2-(2-fenyilpropan-2-il)-5-pentil-1</w:t>
            </w:r>
            <w:r>
              <w:rPr>
                <w:rStyle w:val="Kkursywa"/>
              </w:rPr>
              <w:t>H</w:t>
            </w:r>
            <w:r>
              <w:t>-piridon[4,3-</w:t>
            </w:r>
            <w:r>
              <w:rPr>
                <w:rStyle w:val="Kkursywa"/>
              </w:rPr>
              <w:t>b</w:t>
            </w:r>
            <w:r>
              <w:t>]indol-1-ona»,</w:t>
            </w:r>
          </w:p>
          <w:p w14:paraId="22AA2275" w14:textId="77777777" w:rsidR="002030B2" w:rsidRPr="002030B2" w:rsidRDefault="002030B2" w:rsidP="00D86012"/>
        </w:tc>
      </w:tr>
    </w:tbl>
    <w:p w14:paraId="78597E84" w14:textId="565CA015" w:rsidR="002030B2" w:rsidRPr="002030B2" w:rsidRDefault="002030B2" w:rsidP="00437D67">
      <w:pPr>
        <w:pStyle w:val="TIRtiret"/>
      </w:pPr>
      <w:r>
        <w:t xml:space="preserve"> – después del punto 74, se añaden los siguientes puntos 75 y 76:</w:t>
      </w:r>
    </w:p>
    <w:tbl>
      <w:tblPr>
        <w:tblW w:w="929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15"/>
        <w:gridCol w:w="1922"/>
        <w:gridCol w:w="1559"/>
        <w:gridCol w:w="5195"/>
      </w:tblGrid>
      <w:tr w:rsidR="002030B2" w:rsidRPr="00AA2C74" w14:paraId="1E83E39B" w14:textId="77777777" w:rsidTr="00313B90">
        <w:trPr>
          <w:trHeight w:val="815"/>
          <w:jc w:val="center"/>
        </w:trPr>
        <w:tc>
          <w:tcPr>
            <w:tcW w:w="615" w:type="dxa"/>
            <w:tcBorders>
              <w:top w:val="single" w:sz="12" w:space="0" w:color="auto"/>
              <w:left w:val="single" w:sz="12" w:space="0" w:color="auto"/>
              <w:bottom w:val="single" w:sz="12" w:space="0" w:color="auto"/>
              <w:right w:val="single" w:sz="8" w:space="0" w:color="auto"/>
            </w:tcBorders>
            <w:shd w:val="clear" w:color="auto" w:fill="auto"/>
          </w:tcPr>
          <w:p w14:paraId="1C5796ED" w14:textId="77777777" w:rsidR="002030B2" w:rsidRPr="002030B2" w:rsidRDefault="002030B2" w:rsidP="00114CCF">
            <w:pPr>
              <w:pStyle w:val="TEKSTwTABELIWYRODKOWANYtekstwyrodkowanywpoziomie"/>
            </w:pPr>
            <w:r>
              <w:t>«75</w:t>
            </w:r>
          </w:p>
        </w:tc>
        <w:tc>
          <w:tcPr>
            <w:tcW w:w="1922" w:type="dxa"/>
            <w:tcBorders>
              <w:top w:val="single" w:sz="12" w:space="0" w:color="auto"/>
              <w:left w:val="single" w:sz="8" w:space="0" w:color="auto"/>
              <w:bottom w:val="single" w:sz="12" w:space="0" w:color="auto"/>
              <w:right w:val="single" w:sz="8" w:space="0" w:color="auto"/>
            </w:tcBorders>
            <w:shd w:val="clear" w:color="auto" w:fill="auto"/>
          </w:tcPr>
          <w:p w14:paraId="6745B712" w14:textId="77777777" w:rsidR="002030B2" w:rsidRPr="002030B2" w:rsidRDefault="002030B2" w:rsidP="00D86012">
            <w:r>
              <w:t>EUTILONA</w:t>
            </w:r>
          </w:p>
        </w:tc>
        <w:tc>
          <w:tcPr>
            <w:tcW w:w="1559" w:type="dxa"/>
            <w:tcBorders>
              <w:top w:val="single" w:sz="12" w:space="0" w:color="auto"/>
              <w:left w:val="single" w:sz="8" w:space="0" w:color="auto"/>
              <w:bottom w:val="single" w:sz="12" w:space="0" w:color="auto"/>
              <w:right w:val="single" w:sz="8" w:space="0" w:color="auto"/>
            </w:tcBorders>
            <w:shd w:val="clear" w:color="auto" w:fill="auto"/>
          </w:tcPr>
          <w:p w14:paraId="788D177C" w14:textId="77777777" w:rsidR="002030B2" w:rsidRPr="002030B2" w:rsidRDefault="002030B2" w:rsidP="00D86012">
            <w:proofErr w:type="spellStart"/>
            <w:r>
              <w:t>bk</w:t>
            </w:r>
            <w:proofErr w:type="spellEnd"/>
            <w:r>
              <w:t>-EBDB</w:t>
            </w:r>
          </w:p>
        </w:tc>
        <w:tc>
          <w:tcPr>
            <w:tcW w:w="5195" w:type="dxa"/>
            <w:tcBorders>
              <w:top w:val="single" w:sz="12" w:space="0" w:color="auto"/>
              <w:left w:val="single" w:sz="8" w:space="0" w:color="auto"/>
              <w:bottom w:val="single" w:sz="12" w:space="0" w:color="auto"/>
              <w:right w:val="single" w:sz="12" w:space="0" w:color="auto"/>
            </w:tcBorders>
            <w:shd w:val="clear" w:color="auto" w:fill="auto"/>
          </w:tcPr>
          <w:p w14:paraId="57CAEA1B" w14:textId="62511468" w:rsidR="002030B2" w:rsidRPr="002030B2" w:rsidRDefault="002030B2" w:rsidP="00D86012">
            <w:r>
              <w:t>1-(L,3-benzodioxsol-5-il)-2-(</w:t>
            </w:r>
            <w:proofErr w:type="spellStart"/>
            <w:proofErr w:type="gramStart"/>
            <w:r>
              <w:t>etilamino</w:t>
            </w:r>
            <w:proofErr w:type="spellEnd"/>
            <w:r>
              <w:t>)butan</w:t>
            </w:r>
            <w:proofErr w:type="gramEnd"/>
            <w:r>
              <w:t>-1-ona</w:t>
            </w:r>
          </w:p>
        </w:tc>
      </w:tr>
      <w:tr w:rsidR="002030B2" w:rsidRPr="00AA2C74" w14:paraId="4EDEF48D" w14:textId="77777777" w:rsidTr="00313B90">
        <w:trPr>
          <w:trHeight w:val="815"/>
          <w:jc w:val="center"/>
        </w:trPr>
        <w:tc>
          <w:tcPr>
            <w:tcW w:w="615" w:type="dxa"/>
            <w:tcBorders>
              <w:top w:val="single" w:sz="12" w:space="0" w:color="auto"/>
              <w:left w:val="single" w:sz="12" w:space="0" w:color="auto"/>
              <w:bottom w:val="single" w:sz="8" w:space="0" w:color="auto"/>
              <w:right w:val="single" w:sz="8" w:space="0" w:color="auto"/>
            </w:tcBorders>
            <w:shd w:val="clear" w:color="auto" w:fill="auto"/>
          </w:tcPr>
          <w:p w14:paraId="44BF63F6" w14:textId="77777777" w:rsidR="002030B2" w:rsidRPr="002030B2" w:rsidRDefault="002030B2" w:rsidP="00114CCF">
            <w:pPr>
              <w:pStyle w:val="TEKSTwTABELIWYRODKOWANYtekstwyrodkowanywpoziomie"/>
            </w:pPr>
            <w:r>
              <w:t>76</w:t>
            </w:r>
          </w:p>
        </w:tc>
        <w:tc>
          <w:tcPr>
            <w:tcW w:w="1922" w:type="dxa"/>
            <w:tcBorders>
              <w:top w:val="single" w:sz="12" w:space="0" w:color="auto"/>
              <w:left w:val="single" w:sz="8" w:space="0" w:color="auto"/>
              <w:bottom w:val="single" w:sz="8" w:space="0" w:color="auto"/>
              <w:right w:val="single" w:sz="8" w:space="0" w:color="auto"/>
            </w:tcBorders>
            <w:shd w:val="clear" w:color="auto" w:fill="auto"/>
          </w:tcPr>
          <w:p w14:paraId="7D6AA61C" w14:textId="77777777" w:rsidR="002030B2" w:rsidRPr="002030B2" w:rsidRDefault="002030B2" w:rsidP="00D86012">
            <w:r>
              <w:t>α-</w:t>
            </w:r>
            <w:proofErr w:type="spellStart"/>
            <w:r>
              <w:t>PHiP</w:t>
            </w:r>
            <w:proofErr w:type="spellEnd"/>
          </w:p>
        </w:tc>
        <w:tc>
          <w:tcPr>
            <w:tcW w:w="1559" w:type="dxa"/>
            <w:tcBorders>
              <w:top w:val="single" w:sz="12" w:space="0" w:color="auto"/>
              <w:left w:val="single" w:sz="8" w:space="0" w:color="auto"/>
              <w:bottom w:val="single" w:sz="8" w:space="0" w:color="auto"/>
              <w:right w:val="single" w:sz="8" w:space="0" w:color="auto"/>
            </w:tcBorders>
            <w:shd w:val="clear" w:color="auto" w:fill="auto"/>
          </w:tcPr>
          <w:p w14:paraId="7F7386E4" w14:textId="5A0EEC6D" w:rsidR="002030B2" w:rsidRPr="002030B2" w:rsidRDefault="002030B2" w:rsidP="00AC7845">
            <w:bookmarkStart w:id="3" w:name="_Hlk99965133"/>
            <w:r>
              <w:t>α-</w:t>
            </w:r>
            <w:proofErr w:type="spellStart"/>
            <w:r>
              <w:t>pirrolidinoisohexanofenona</w:t>
            </w:r>
            <w:bookmarkEnd w:id="3"/>
            <w:proofErr w:type="spellEnd"/>
          </w:p>
        </w:tc>
        <w:tc>
          <w:tcPr>
            <w:tcW w:w="5195" w:type="dxa"/>
            <w:tcBorders>
              <w:top w:val="single" w:sz="12" w:space="0" w:color="auto"/>
              <w:left w:val="single" w:sz="8" w:space="0" w:color="auto"/>
              <w:bottom w:val="single" w:sz="8" w:space="0" w:color="auto"/>
              <w:right w:val="single" w:sz="12" w:space="0" w:color="auto"/>
            </w:tcBorders>
            <w:shd w:val="clear" w:color="auto" w:fill="auto"/>
          </w:tcPr>
          <w:p w14:paraId="0E0AC973" w14:textId="3EA87D63" w:rsidR="002030B2" w:rsidRPr="002030B2" w:rsidRDefault="002030B2" w:rsidP="00D86012">
            <w:r>
              <w:t>4-metil-1-fenil-2-(1-pirrolidinil)-1-pentanona»;</w:t>
            </w:r>
          </w:p>
        </w:tc>
      </w:tr>
    </w:tbl>
    <w:p w14:paraId="17CEF879" w14:textId="6BC099A0" w:rsidR="002030B2" w:rsidRPr="00CD2C01" w:rsidRDefault="002030B2" w:rsidP="00437D67">
      <w:pPr>
        <w:pStyle w:val="LITlitera"/>
      </w:pPr>
      <w:r>
        <w:t>c)</w:t>
      </w:r>
      <w:r>
        <w:tab/>
        <w:t xml:space="preserve">en parte 4, SUSTANCIAS PSICOTRÓPICAS DEL GRUPO IV-P», en el cuadro, después del punto 78, se añade el siguiente punto 79: </w:t>
      </w:r>
    </w:p>
    <w:tbl>
      <w:tblPr>
        <w:tblW w:w="929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69"/>
        <w:gridCol w:w="2068"/>
        <w:gridCol w:w="1559"/>
        <w:gridCol w:w="5195"/>
      </w:tblGrid>
      <w:tr w:rsidR="002030B2" w:rsidRPr="00E723CA" w14:paraId="54B220B2" w14:textId="77777777" w:rsidTr="00773222">
        <w:trPr>
          <w:trHeight w:val="822"/>
          <w:jc w:val="center"/>
        </w:trPr>
        <w:tc>
          <w:tcPr>
            <w:tcW w:w="469" w:type="dxa"/>
            <w:tcBorders>
              <w:top w:val="single" w:sz="12" w:space="0" w:color="auto"/>
              <w:left w:val="single" w:sz="12" w:space="0" w:color="auto"/>
              <w:bottom w:val="single" w:sz="8" w:space="0" w:color="auto"/>
              <w:right w:val="single" w:sz="8" w:space="0" w:color="auto"/>
            </w:tcBorders>
            <w:shd w:val="clear" w:color="auto" w:fill="auto"/>
            <w:hideMark/>
          </w:tcPr>
          <w:p w14:paraId="13C33C3E" w14:textId="16D42656" w:rsidR="002030B2" w:rsidRPr="002030B2" w:rsidRDefault="002030B2" w:rsidP="002030B2">
            <w:pPr>
              <w:rPr>
                <w:rFonts w:eastAsia="Courier New"/>
              </w:rPr>
            </w:pPr>
            <w:r>
              <w:t>«79</w:t>
            </w:r>
          </w:p>
        </w:tc>
        <w:tc>
          <w:tcPr>
            <w:tcW w:w="2068" w:type="dxa"/>
            <w:tcBorders>
              <w:top w:val="single" w:sz="12" w:space="0" w:color="auto"/>
              <w:left w:val="single" w:sz="8" w:space="0" w:color="auto"/>
              <w:bottom w:val="single" w:sz="8" w:space="0" w:color="auto"/>
              <w:right w:val="single" w:sz="8" w:space="0" w:color="auto"/>
            </w:tcBorders>
            <w:shd w:val="clear" w:color="auto" w:fill="auto"/>
            <w:hideMark/>
          </w:tcPr>
          <w:p w14:paraId="13C39279" w14:textId="77777777" w:rsidR="00AB6157" w:rsidRPr="00AB6157" w:rsidRDefault="00AB6157" w:rsidP="00AB6157">
            <w:pPr>
              <w:rPr>
                <w:rFonts w:eastAsia="Courier New"/>
              </w:rPr>
            </w:pPr>
            <w:r>
              <w:t>ESZOPICLONA</w:t>
            </w:r>
          </w:p>
          <w:p w14:paraId="43EADCE2" w14:textId="2AC6F7E6" w:rsidR="00114B36" w:rsidRPr="002030B2" w:rsidRDefault="00114B36" w:rsidP="002030B2">
            <w:pPr>
              <w:rPr>
                <w:rFonts w:eastAsia="Courier New"/>
              </w:rPr>
            </w:pPr>
          </w:p>
        </w:tc>
        <w:tc>
          <w:tcPr>
            <w:tcW w:w="1559" w:type="dxa"/>
            <w:tcBorders>
              <w:top w:val="single" w:sz="12" w:space="0" w:color="auto"/>
              <w:left w:val="single" w:sz="8" w:space="0" w:color="auto"/>
              <w:bottom w:val="single" w:sz="8" w:space="0" w:color="auto"/>
              <w:right w:val="single" w:sz="8" w:space="0" w:color="auto"/>
            </w:tcBorders>
            <w:shd w:val="clear" w:color="auto" w:fill="auto"/>
            <w:hideMark/>
          </w:tcPr>
          <w:p w14:paraId="5BB8D723" w14:textId="7EE87762" w:rsidR="00AB6157" w:rsidRPr="00114B36" w:rsidRDefault="00AB6157" w:rsidP="00114B36">
            <w:pPr>
              <w:rPr>
                <w:rFonts w:eastAsia="Courier New"/>
              </w:rPr>
            </w:pPr>
            <w:r>
              <w:t>S-ZOPICLONA</w:t>
            </w:r>
          </w:p>
          <w:p w14:paraId="24289315" w14:textId="197670B2" w:rsidR="002030B2" w:rsidRPr="002030B2" w:rsidRDefault="002030B2" w:rsidP="002030B2">
            <w:pPr>
              <w:rPr>
                <w:rFonts w:eastAsia="Courier New"/>
              </w:rPr>
            </w:pPr>
          </w:p>
        </w:tc>
        <w:tc>
          <w:tcPr>
            <w:tcW w:w="5195" w:type="dxa"/>
            <w:tcBorders>
              <w:top w:val="single" w:sz="12" w:space="0" w:color="auto"/>
              <w:left w:val="single" w:sz="8" w:space="0" w:color="auto"/>
              <w:bottom w:val="single" w:sz="8" w:space="0" w:color="auto"/>
              <w:right w:val="single" w:sz="12" w:space="0" w:color="auto"/>
            </w:tcBorders>
            <w:shd w:val="clear" w:color="auto" w:fill="auto"/>
            <w:hideMark/>
          </w:tcPr>
          <w:p w14:paraId="439F6352" w14:textId="379E5A85" w:rsidR="002030B2" w:rsidRPr="002030B2" w:rsidRDefault="002030B2" w:rsidP="002030B2">
            <w:pPr>
              <w:rPr>
                <w:rFonts w:eastAsia="Courier New"/>
              </w:rPr>
            </w:pPr>
            <w:r>
              <w:rPr>
                <w:rStyle w:val="Kkursywa"/>
              </w:rPr>
              <w:t>(S)</w:t>
            </w:r>
            <w:r>
              <w:t>-(+)-4-metil-1-piperacina carboxilato 6-(5-cloro-2-piridinil)-7-oxo-6,7-dihidro-5</w:t>
            </w:r>
            <w:r>
              <w:rPr>
                <w:rStyle w:val="Kkursywa"/>
              </w:rPr>
              <w:t>H</w:t>
            </w:r>
            <w:r>
              <w:t>-pirolo[3,4-y</w:t>
            </w:r>
            <w:r>
              <w:rPr>
                <w:rStyle w:val="Kkursywa"/>
              </w:rPr>
              <w:t>b</w:t>
            </w:r>
            <w:r>
              <w:t>]piracina-5-il»;</w:t>
            </w:r>
          </w:p>
        </w:tc>
      </w:tr>
    </w:tbl>
    <w:p w14:paraId="2C4DE92C" w14:textId="4FE38485" w:rsidR="002030B2" w:rsidRPr="005C4F6B" w:rsidRDefault="0006614F" w:rsidP="005C4F6B">
      <w:pPr>
        <w:pStyle w:val="PKTpunkt"/>
      </w:pPr>
      <w:r>
        <w:t>3)</w:t>
      </w:r>
      <w:r>
        <w:tab/>
      </w:r>
      <w:bookmarkStart w:id="4" w:name="_Hlk120092599"/>
      <w:r>
        <w:t>en el anexo 2 del Reglamento «</w:t>
      </w:r>
      <w:bookmarkStart w:id="5" w:name="_Hlk120092680"/>
      <w:r>
        <w:t>LISTA DE ESTUPEFACIENTES CLASIFICADOS POR GRUPOS</w:t>
      </w:r>
      <w:bookmarkEnd w:id="4"/>
      <w:r>
        <w:t xml:space="preserve">, MENCIONADOS EN EL ARTÍCULO 31, DE LA LEY, DE 29 DE JULIO DE 2005, SOBRE LA LUCHA CONTRA LAS TOXICOMANÍAS, CON INDICACIÓN </w:t>
      </w:r>
      <w:r>
        <w:lastRenderedPageBreak/>
        <w:t xml:space="preserve">DE LOS ESTUPEFACIENTES DEL GRUPO IV-N PERMITIDOS PARA EL USO EN EL TRATAMIENTO DE ANIMALES, DE ACUERDO CON EL ARTÍCULO 33, APARTADO 2, DE ESA LEY», </w:t>
      </w:r>
      <w:bookmarkEnd w:id="5"/>
      <w:r>
        <w:t xml:space="preserve">en la parte 1, «ESTUPEFACIENTES DEL GRUPO I-N», en el cuadro, después del punto 205, se añaden los siguientes puntos 206 y 207: </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96"/>
        <w:gridCol w:w="2203"/>
        <w:gridCol w:w="1378"/>
        <w:gridCol w:w="4747"/>
      </w:tblGrid>
      <w:tr w:rsidR="002030B2" w:rsidRPr="00E723CA" w14:paraId="6EE8D10B" w14:textId="77777777" w:rsidTr="00773222">
        <w:trPr>
          <w:jc w:val="center"/>
        </w:trPr>
        <w:tc>
          <w:tcPr>
            <w:tcW w:w="320" w:type="pct"/>
            <w:tcBorders>
              <w:top w:val="single" w:sz="12" w:space="0" w:color="auto"/>
              <w:left w:val="single" w:sz="12" w:space="0" w:color="auto"/>
              <w:bottom w:val="single" w:sz="12" w:space="0" w:color="auto"/>
              <w:right w:val="single" w:sz="8" w:space="0" w:color="auto"/>
            </w:tcBorders>
            <w:shd w:val="clear" w:color="auto" w:fill="auto"/>
            <w:hideMark/>
          </w:tcPr>
          <w:p w14:paraId="43F6F807" w14:textId="77777777" w:rsidR="002030B2" w:rsidRPr="002030B2" w:rsidRDefault="002030B2" w:rsidP="00114CCF">
            <w:pPr>
              <w:pStyle w:val="TEKSTwTABELIWYRODKOWANYtekstwyrodkowanywpoziomie"/>
            </w:pPr>
            <w:r>
              <w:t>«206</w:t>
            </w:r>
          </w:p>
        </w:tc>
        <w:tc>
          <w:tcPr>
            <w:tcW w:w="1243" w:type="pct"/>
            <w:tcBorders>
              <w:top w:val="single" w:sz="12" w:space="0" w:color="auto"/>
              <w:left w:val="single" w:sz="8" w:space="0" w:color="auto"/>
              <w:bottom w:val="single" w:sz="12" w:space="0" w:color="auto"/>
              <w:right w:val="single" w:sz="8" w:space="0" w:color="auto"/>
            </w:tcBorders>
            <w:shd w:val="clear" w:color="auto" w:fill="auto"/>
            <w:hideMark/>
          </w:tcPr>
          <w:p w14:paraId="74960379" w14:textId="77777777" w:rsidR="002030B2" w:rsidRPr="002030B2" w:rsidRDefault="002030B2" w:rsidP="00D86012">
            <w:r>
              <w:t>METONITACENO</w:t>
            </w:r>
          </w:p>
        </w:tc>
        <w:tc>
          <w:tcPr>
            <w:tcW w:w="785" w:type="pct"/>
            <w:tcBorders>
              <w:top w:val="single" w:sz="12" w:space="0" w:color="auto"/>
              <w:left w:val="single" w:sz="8" w:space="0" w:color="auto"/>
              <w:bottom w:val="single" w:sz="12" w:space="0" w:color="auto"/>
              <w:right w:val="single" w:sz="8" w:space="0" w:color="auto"/>
            </w:tcBorders>
            <w:shd w:val="clear" w:color="auto" w:fill="auto"/>
          </w:tcPr>
          <w:p w14:paraId="3A103E7B" w14:textId="77777777" w:rsidR="002030B2" w:rsidRPr="002030B2" w:rsidRDefault="002030B2" w:rsidP="00D86012"/>
        </w:tc>
        <w:tc>
          <w:tcPr>
            <w:tcW w:w="2652" w:type="pct"/>
            <w:tcBorders>
              <w:top w:val="single" w:sz="12" w:space="0" w:color="auto"/>
              <w:left w:val="single" w:sz="8" w:space="0" w:color="auto"/>
              <w:bottom w:val="single" w:sz="12" w:space="0" w:color="auto"/>
              <w:right w:val="single" w:sz="12" w:space="0" w:color="auto"/>
            </w:tcBorders>
            <w:shd w:val="clear" w:color="auto" w:fill="auto"/>
            <w:hideMark/>
          </w:tcPr>
          <w:p w14:paraId="1C39C289" w14:textId="63C24462" w:rsidR="002030B2" w:rsidRPr="002030B2" w:rsidRDefault="002030B2" w:rsidP="00D86012">
            <w:proofErr w:type="gramStart"/>
            <w:r>
              <w:rPr>
                <w:rStyle w:val="Kkursywa"/>
              </w:rPr>
              <w:t>N,N</w:t>
            </w:r>
            <w:proofErr w:type="gramEnd"/>
            <w:r>
              <w:t>-dietil-2-[2-(4-metoxibencil)-5-nitro-1</w:t>
            </w:r>
            <w:r>
              <w:rPr>
                <w:rStyle w:val="Kkursywa"/>
              </w:rPr>
              <w:t>H</w:t>
            </w:r>
            <w:r>
              <w:t>-benzo[</w:t>
            </w:r>
            <w:r>
              <w:rPr>
                <w:rStyle w:val="Kkursywa"/>
              </w:rPr>
              <w:t>d</w:t>
            </w:r>
            <w:r>
              <w:t>]imidazol-1-il]etan-1-amina</w:t>
            </w:r>
          </w:p>
        </w:tc>
      </w:tr>
      <w:tr w:rsidR="002030B2" w:rsidRPr="00E723CA" w14:paraId="48D3D609" w14:textId="77777777" w:rsidTr="00773222">
        <w:trPr>
          <w:jc w:val="center"/>
        </w:trPr>
        <w:tc>
          <w:tcPr>
            <w:tcW w:w="320" w:type="pct"/>
            <w:tcBorders>
              <w:top w:val="single" w:sz="12" w:space="0" w:color="auto"/>
              <w:left w:val="single" w:sz="12" w:space="0" w:color="auto"/>
              <w:bottom w:val="single" w:sz="12" w:space="0" w:color="auto"/>
              <w:right w:val="single" w:sz="8" w:space="0" w:color="auto"/>
            </w:tcBorders>
            <w:shd w:val="clear" w:color="auto" w:fill="auto"/>
          </w:tcPr>
          <w:p w14:paraId="74A87393" w14:textId="77777777" w:rsidR="002030B2" w:rsidRPr="002030B2" w:rsidRDefault="002030B2" w:rsidP="00114CCF">
            <w:pPr>
              <w:pStyle w:val="TEKSTwTABELIWYRODKOWANYtekstwyrodkowanywpoziomie"/>
            </w:pPr>
            <w:r>
              <w:t>207</w:t>
            </w:r>
          </w:p>
        </w:tc>
        <w:tc>
          <w:tcPr>
            <w:tcW w:w="1243" w:type="pct"/>
            <w:tcBorders>
              <w:top w:val="single" w:sz="12" w:space="0" w:color="auto"/>
              <w:left w:val="single" w:sz="8" w:space="0" w:color="auto"/>
              <w:bottom w:val="single" w:sz="12" w:space="0" w:color="auto"/>
              <w:right w:val="single" w:sz="8" w:space="0" w:color="auto"/>
            </w:tcBorders>
            <w:shd w:val="clear" w:color="auto" w:fill="auto"/>
          </w:tcPr>
          <w:p w14:paraId="6CDA1900" w14:textId="73B831F0" w:rsidR="002030B2" w:rsidRPr="002030B2" w:rsidRDefault="002030B2" w:rsidP="00313B90">
            <w:r>
              <w:t>BRORFINA</w:t>
            </w:r>
          </w:p>
        </w:tc>
        <w:tc>
          <w:tcPr>
            <w:tcW w:w="785" w:type="pct"/>
            <w:tcBorders>
              <w:top w:val="single" w:sz="12" w:space="0" w:color="auto"/>
              <w:left w:val="single" w:sz="8" w:space="0" w:color="auto"/>
              <w:bottom w:val="single" w:sz="12" w:space="0" w:color="auto"/>
              <w:right w:val="single" w:sz="8" w:space="0" w:color="auto"/>
            </w:tcBorders>
            <w:shd w:val="clear" w:color="auto" w:fill="auto"/>
          </w:tcPr>
          <w:p w14:paraId="05FE07DE" w14:textId="77777777" w:rsidR="002030B2" w:rsidRPr="002030B2" w:rsidRDefault="002030B2" w:rsidP="00D86012"/>
        </w:tc>
        <w:tc>
          <w:tcPr>
            <w:tcW w:w="2652" w:type="pct"/>
            <w:tcBorders>
              <w:top w:val="single" w:sz="12" w:space="0" w:color="auto"/>
              <w:left w:val="single" w:sz="8" w:space="0" w:color="auto"/>
              <w:bottom w:val="single" w:sz="12" w:space="0" w:color="auto"/>
              <w:right w:val="single" w:sz="12" w:space="0" w:color="auto"/>
            </w:tcBorders>
            <w:shd w:val="clear" w:color="auto" w:fill="auto"/>
          </w:tcPr>
          <w:p w14:paraId="7D8094A7" w14:textId="6F629A03" w:rsidR="002030B2" w:rsidRPr="002030B2" w:rsidRDefault="002030B2" w:rsidP="00D86012">
            <w:pPr>
              <w:rPr>
                <w:rStyle w:val="Kkursywa"/>
                <w:rFonts w:eastAsiaTheme="majorEastAsia"/>
              </w:rPr>
            </w:pPr>
            <w:r>
              <w:t>1-{1-[1-(4-</w:t>
            </w:r>
            <w:proofErr w:type="gramStart"/>
            <w:r>
              <w:t>bromofenil)etil</w:t>
            </w:r>
            <w:proofErr w:type="gramEnd"/>
            <w:r>
              <w:t>]piperidin-4-il}-1,3-dihidro-2</w:t>
            </w:r>
            <w:r>
              <w:rPr>
                <w:rStyle w:val="Kkursywa"/>
              </w:rPr>
              <w:t>H</w:t>
            </w:r>
            <w:r>
              <w:t>-bencimidazol-2-ona»;</w:t>
            </w:r>
          </w:p>
        </w:tc>
      </w:tr>
    </w:tbl>
    <w:p w14:paraId="4E06182B" w14:textId="57FFCE44" w:rsidR="002030B2" w:rsidRPr="00CD2C01" w:rsidRDefault="00BF447F" w:rsidP="00CD2C01">
      <w:pPr>
        <w:pStyle w:val="PKTpunkt"/>
      </w:pPr>
      <w:r>
        <w:t>4)</w:t>
      </w:r>
      <w:r>
        <w:tab/>
        <w:t>en el anexo 3 del Reglamento, «LISTA DE NUEVAS SUSTANCIAS PSICOTRÓPICAS»:</w:t>
      </w:r>
    </w:p>
    <w:p w14:paraId="5ADA18BD" w14:textId="5012711E" w:rsidR="002030B2" w:rsidRPr="00CD2C01" w:rsidRDefault="002030B2" w:rsidP="00CD2C01">
      <w:pPr>
        <w:pStyle w:val="LITlitera"/>
      </w:pPr>
      <w:r>
        <w:t>a)</w:t>
      </w:r>
      <w:r>
        <w:tab/>
        <w:t xml:space="preserve">en parte 1, «Lista de nuevas sustancias psicotrópicas con sus denominaciones y determinaciones químicas», en el cuadro:  </w:t>
      </w:r>
    </w:p>
    <w:p w14:paraId="736FE5A9" w14:textId="2EF0C5F5" w:rsidR="00D2791E" w:rsidRPr="002030B2" w:rsidRDefault="002030B2" w:rsidP="00437D67">
      <w:pPr>
        <w:pStyle w:val="TIRtiret"/>
      </w:pPr>
      <w:r>
        <w:t>– se suprime el punto 21,</w:t>
      </w:r>
    </w:p>
    <w:p w14:paraId="58B6DB78" w14:textId="6FA28649" w:rsidR="002030B2" w:rsidRPr="002030B2" w:rsidRDefault="002030B2" w:rsidP="00437D67">
      <w:pPr>
        <w:pStyle w:val="TIRtiret"/>
      </w:pPr>
      <w:r>
        <w:t>– el punto 54 se reformula como sigue:</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76"/>
        <w:gridCol w:w="2324"/>
        <w:gridCol w:w="2640"/>
        <w:gridCol w:w="3484"/>
      </w:tblGrid>
      <w:tr w:rsidR="002030B2" w:rsidRPr="00E723CA" w14:paraId="518DB320" w14:textId="77777777" w:rsidTr="00773222">
        <w:trPr>
          <w:jc w:val="center"/>
        </w:trPr>
        <w:tc>
          <w:tcPr>
            <w:tcW w:w="253" w:type="pct"/>
            <w:tcBorders>
              <w:top w:val="single" w:sz="8" w:space="0" w:color="auto"/>
              <w:left w:val="single" w:sz="12" w:space="0" w:color="auto"/>
              <w:bottom w:val="single" w:sz="8" w:space="0" w:color="auto"/>
              <w:right w:val="single" w:sz="8" w:space="0" w:color="auto"/>
            </w:tcBorders>
            <w:shd w:val="clear" w:color="auto" w:fill="auto"/>
            <w:hideMark/>
          </w:tcPr>
          <w:p w14:paraId="17E768B4" w14:textId="77777777" w:rsidR="002030B2" w:rsidRPr="002030B2" w:rsidRDefault="002030B2" w:rsidP="00114CCF">
            <w:pPr>
              <w:pStyle w:val="TEKSTwTABELIWYRODKOWANYtekstwyrodkowanywpoziomie"/>
            </w:pPr>
            <w:bookmarkStart w:id="6" w:name="_Hlk121394326"/>
            <w:r>
              <w:t>«54</w:t>
            </w:r>
          </w:p>
        </w:tc>
        <w:tc>
          <w:tcPr>
            <w:tcW w:w="1310" w:type="pct"/>
            <w:tcBorders>
              <w:top w:val="single" w:sz="8" w:space="0" w:color="auto"/>
              <w:left w:val="single" w:sz="8" w:space="0" w:color="auto"/>
              <w:bottom w:val="single" w:sz="8" w:space="0" w:color="auto"/>
              <w:right w:val="single" w:sz="8" w:space="0" w:color="auto"/>
            </w:tcBorders>
            <w:shd w:val="clear" w:color="auto" w:fill="auto"/>
            <w:hideMark/>
          </w:tcPr>
          <w:p w14:paraId="23A87492" w14:textId="3F77A202" w:rsidR="002030B2" w:rsidRPr="002030B2" w:rsidRDefault="002030B2" w:rsidP="00D86012">
            <w:r>
              <w:t>1cP-LSD</w:t>
            </w:r>
          </w:p>
        </w:tc>
        <w:tc>
          <w:tcPr>
            <w:tcW w:w="1485" w:type="pct"/>
            <w:tcBorders>
              <w:top w:val="single" w:sz="8" w:space="0" w:color="auto"/>
              <w:left w:val="single" w:sz="8" w:space="0" w:color="auto"/>
              <w:bottom w:val="single" w:sz="8" w:space="0" w:color="auto"/>
              <w:right w:val="single" w:sz="8" w:space="0" w:color="auto"/>
            </w:tcBorders>
            <w:shd w:val="clear" w:color="auto" w:fill="auto"/>
            <w:hideMark/>
          </w:tcPr>
          <w:p w14:paraId="108CBAD7" w14:textId="6BD9BA3F" w:rsidR="002030B2" w:rsidRPr="002030B2" w:rsidRDefault="002030B2" w:rsidP="00D86012">
            <w:r>
              <w:t>Dietilamida del ácido 1-ciclopropionil-d-lisérgico</w:t>
            </w:r>
          </w:p>
        </w:tc>
        <w:tc>
          <w:tcPr>
            <w:tcW w:w="1952" w:type="pct"/>
            <w:tcBorders>
              <w:top w:val="single" w:sz="8" w:space="0" w:color="auto"/>
              <w:left w:val="single" w:sz="8" w:space="0" w:color="auto"/>
              <w:bottom w:val="single" w:sz="8" w:space="0" w:color="auto"/>
              <w:right w:val="single" w:sz="12" w:space="0" w:color="auto"/>
            </w:tcBorders>
            <w:shd w:val="clear" w:color="auto" w:fill="auto"/>
            <w:hideMark/>
          </w:tcPr>
          <w:p w14:paraId="01E88D9F" w14:textId="79455E02" w:rsidR="002030B2" w:rsidRPr="002030B2" w:rsidRDefault="002030B2" w:rsidP="00D86012">
            <w:pPr>
              <w:rPr>
                <w:highlight w:val="yellow"/>
              </w:rPr>
            </w:pPr>
            <w:r>
              <w:t>(6</w:t>
            </w:r>
            <w:r>
              <w:rPr>
                <w:rStyle w:val="Kkursywa"/>
              </w:rPr>
              <w:t>R</w:t>
            </w:r>
            <w:r>
              <w:t>,9</w:t>
            </w:r>
            <w:r>
              <w:rPr>
                <w:rStyle w:val="Kkursywa"/>
              </w:rPr>
              <w:t>R</w:t>
            </w:r>
            <w:r>
              <w:t>)-4-ciclopropionel-</w:t>
            </w:r>
            <w:proofErr w:type="gramStart"/>
            <w:r>
              <w:rPr>
                <w:rStyle w:val="Kkursywa"/>
              </w:rPr>
              <w:t>N,N</w:t>
            </w:r>
            <w:proofErr w:type="gramEnd"/>
            <w:r>
              <w:t>-dietil-7-metil-4,6,6a,7,8,9-hexahidroindolo[4,3-</w:t>
            </w:r>
            <w:r>
              <w:rPr>
                <w:rStyle w:val="Kkursywa"/>
              </w:rPr>
              <w:t>fg</w:t>
            </w:r>
            <w:r>
              <w:t>]quinolina-9-carboxiamida»,</w:t>
            </w:r>
          </w:p>
        </w:tc>
      </w:tr>
    </w:tbl>
    <w:bookmarkEnd w:id="6"/>
    <w:p w14:paraId="3CB0499B" w14:textId="77777777" w:rsidR="002030B2" w:rsidRPr="00CD2C01" w:rsidRDefault="002030B2" w:rsidP="00CD2C01">
      <w:pPr>
        <w:pStyle w:val="TIRtiret"/>
      </w:pPr>
      <w:r>
        <w:t>– después del punto 54, se añaden los siguientes puntos 55 a 57:</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76"/>
        <w:gridCol w:w="2299"/>
        <w:gridCol w:w="2666"/>
        <w:gridCol w:w="3483"/>
      </w:tblGrid>
      <w:tr w:rsidR="002030B2" w:rsidRPr="00E723CA" w14:paraId="7CFA7B95" w14:textId="77777777" w:rsidTr="00773222">
        <w:trPr>
          <w:jc w:val="center"/>
        </w:trPr>
        <w:tc>
          <w:tcPr>
            <w:tcW w:w="274" w:type="pct"/>
            <w:tcBorders>
              <w:top w:val="single" w:sz="8" w:space="0" w:color="auto"/>
              <w:left w:val="single" w:sz="12" w:space="0" w:color="auto"/>
              <w:bottom w:val="single" w:sz="8" w:space="0" w:color="auto"/>
              <w:right w:val="single" w:sz="8" w:space="0" w:color="auto"/>
            </w:tcBorders>
            <w:shd w:val="clear" w:color="auto" w:fill="auto"/>
          </w:tcPr>
          <w:p w14:paraId="52048E5B" w14:textId="77777777" w:rsidR="002030B2" w:rsidRPr="002030B2" w:rsidRDefault="002030B2" w:rsidP="00114CCF">
            <w:pPr>
              <w:pStyle w:val="TEKSTwTABELIWYRODKOWANYtekstwyrodkowanywpoziomie"/>
            </w:pPr>
            <w:r>
              <w:t>«55</w:t>
            </w:r>
          </w:p>
        </w:tc>
        <w:tc>
          <w:tcPr>
            <w:tcW w:w="1289" w:type="pct"/>
            <w:tcBorders>
              <w:top w:val="single" w:sz="8" w:space="0" w:color="auto"/>
              <w:left w:val="single" w:sz="8" w:space="0" w:color="auto"/>
              <w:bottom w:val="single" w:sz="8" w:space="0" w:color="auto"/>
              <w:right w:val="single" w:sz="8" w:space="0" w:color="auto"/>
            </w:tcBorders>
            <w:shd w:val="clear" w:color="auto" w:fill="auto"/>
          </w:tcPr>
          <w:p w14:paraId="13D62B1A" w14:textId="77777777" w:rsidR="002030B2" w:rsidRPr="002030B2" w:rsidRDefault="002030B2" w:rsidP="00D86012">
            <w:r>
              <w:t>3D-MXE</w:t>
            </w:r>
          </w:p>
        </w:tc>
        <w:tc>
          <w:tcPr>
            <w:tcW w:w="1492" w:type="pct"/>
            <w:tcBorders>
              <w:top w:val="single" w:sz="8" w:space="0" w:color="auto"/>
              <w:left w:val="single" w:sz="8" w:space="0" w:color="auto"/>
              <w:bottom w:val="single" w:sz="8" w:space="0" w:color="auto"/>
              <w:right w:val="single" w:sz="8" w:space="0" w:color="auto"/>
            </w:tcBorders>
            <w:shd w:val="clear" w:color="auto" w:fill="auto"/>
          </w:tcPr>
          <w:p w14:paraId="1A404975" w14:textId="545606E0" w:rsidR="002030B2" w:rsidRPr="002030B2" w:rsidRDefault="009403BF" w:rsidP="00D86012">
            <w:proofErr w:type="spellStart"/>
            <w:r>
              <w:t>Deoximetoxetamina</w:t>
            </w:r>
            <w:proofErr w:type="spellEnd"/>
          </w:p>
        </w:tc>
        <w:tc>
          <w:tcPr>
            <w:tcW w:w="1945" w:type="pct"/>
            <w:tcBorders>
              <w:top w:val="single" w:sz="8" w:space="0" w:color="auto"/>
              <w:left w:val="single" w:sz="8" w:space="0" w:color="auto"/>
              <w:bottom w:val="single" w:sz="8" w:space="0" w:color="auto"/>
              <w:right w:val="single" w:sz="12" w:space="0" w:color="auto"/>
            </w:tcBorders>
            <w:shd w:val="clear" w:color="auto" w:fill="auto"/>
          </w:tcPr>
          <w:p w14:paraId="2F4ECC25" w14:textId="66699B78" w:rsidR="002030B2" w:rsidRPr="002030B2" w:rsidRDefault="002030B2" w:rsidP="00D86012">
            <w:bookmarkStart w:id="7" w:name="_Hlk109818510"/>
            <w:r>
              <w:t>2-(</w:t>
            </w:r>
            <w:proofErr w:type="spellStart"/>
            <w:r>
              <w:t>etilamins</w:t>
            </w:r>
            <w:proofErr w:type="spellEnd"/>
            <w:r>
              <w:t>)-2-(3-</w:t>
            </w:r>
            <w:proofErr w:type="gramStart"/>
            <w:r>
              <w:t>metilfenil)ciclohexan</w:t>
            </w:r>
            <w:proofErr w:type="gramEnd"/>
            <w:r>
              <w:t>-1-ona</w:t>
            </w:r>
            <w:bookmarkEnd w:id="7"/>
          </w:p>
        </w:tc>
      </w:tr>
      <w:tr w:rsidR="002030B2" w:rsidRPr="00E723CA" w14:paraId="37634841" w14:textId="77777777" w:rsidTr="00773222">
        <w:trPr>
          <w:jc w:val="center"/>
        </w:trPr>
        <w:tc>
          <w:tcPr>
            <w:tcW w:w="274" w:type="pct"/>
            <w:tcBorders>
              <w:top w:val="single" w:sz="8" w:space="0" w:color="auto"/>
              <w:left w:val="single" w:sz="12" w:space="0" w:color="auto"/>
              <w:bottom w:val="single" w:sz="8" w:space="0" w:color="auto"/>
              <w:right w:val="single" w:sz="8" w:space="0" w:color="auto"/>
            </w:tcBorders>
            <w:shd w:val="clear" w:color="auto" w:fill="auto"/>
          </w:tcPr>
          <w:p w14:paraId="306402A8" w14:textId="77777777" w:rsidR="002030B2" w:rsidRPr="002030B2" w:rsidRDefault="002030B2" w:rsidP="00114CCF">
            <w:pPr>
              <w:pStyle w:val="TEKSTwTABELIWYRODKOWANYtekstwyrodkowanywpoziomie"/>
            </w:pPr>
            <w:bookmarkStart w:id="8" w:name="_Hlk102649408"/>
            <w:r>
              <w:t>56</w:t>
            </w:r>
          </w:p>
        </w:tc>
        <w:tc>
          <w:tcPr>
            <w:tcW w:w="1289" w:type="pct"/>
            <w:tcBorders>
              <w:top w:val="single" w:sz="8" w:space="0" w:color="auto"/>
              <w:left w:val="single" w:sz="8" w:space="0" w:color="auto"/>
              <w:bottom w:val="single" w:sz="8" w:space="0" w:color="auto"/>
              <w:right w:val="single" w:sz="8" w:space="0" w:color="auto"/>
            </w:tcBorders>
            <w:shd w:val="clear" w:color="auto" w:fill="auto"/>
          </w:tcPr>
          <w:p w14:paraId="07C6C6DE" w14:textId="77777777" w:rsidR="002030B2" w:rsidRPr="002030B2" w:rsidRDefault="002030B2" w:rsidP="00D86012">
            <w:proofErr w:type="spellStart"/>
            <w:r>
              <w:t>MXPr</w:t>
            </w:r>
            <w:proofErr w:type="spellEnd"/>
          </w:p>
        </w:tc>
        <w:tc>
          <w:tcPr>
            <w:tcW w:w="1492" w:type="pct"/>
            <w:tcBorders>
              <w:top w:val="single" w:sz="8" w:space="0" w:color="auto"/>
              <w:left w:val="single" w:sz="8" w:space="0" w:color="auto"/>
              <w:bottom w:val="single" w:sz="8" w:space="0" w:color="auto"/>
              <w:right w:val="single" w:sz="8" w:space="0" w:color="auto"/>
            </w:tcBorders>
            <w:shd w:val="clear" w:color="auto" w:fill="auto"/>
          </w:tcPr>
          <w:p w14:paraId="6FC7F256" w14:textId="58B00C0B" w:rsidR="002030B2" w:rsidRPr="002030B2" w:rsidRDefault="002030B2" w:rsidP="00D86012">
            <w:proofErr w:type="spellStart"/>
            <w:r>
              <w:t>Metoxipropamina</w:t>
            </w:r>
            <w:proofErr w:type="spellEnd"/>
          </w:p>
        </w:tc>
        <w:tc>
          <w:tcPr>
            <w:tcW w:w="1945" w:type="pct"/>
            <w:tcBorders>
              <w:top w:val="single" w:sz="8" w:space="0" w:color="auto"/>
              <w:left w:val="single" w:sz="8" w:space="0" w:color="auto"/>
              <w:bottom w:val="single" w:sz="8" w:space="0" w:color="auto"/>
              <w:right w:val="single" w:sz="12" w:space="0" w:color="auto"/>
            </w:tcBorders>
            <w:shd w:val="clear" w:color="auto" w:fill="auto"/>
          </w:tcPr>
          <w:p w14:paraId="64A8B637" w14:textId="14176393" w:rsidR="002030B2" w:rsidRPr="002030B2" w:rsidRDefault="002030B2" w:rsidP="00D86012">
            <w:r>
              <w:t>2-(3-metoxifenil)-2-(</w:t>
            </w:r>
            <w:proofErr w:type="spellStart"/>
            <w:proofErr w:type="gramStart"/>
            <w:r>
              <w:t>propilamino</w:t>
            </w:r>
            <w:proofErr w:type="spellEnd"/>
            <w:r>
              <w:t>)ciclohexan</w:t>
            </w:r>
            <w:proofErr w:type="gramEnd"/>
            <w:r>
              <w:t>-1-ona</w:t>
            </w:r>
          </w:p>
        </w:tc>
      </w:tr>
      <w:bookmarkEnd w:id="8"/>
      <w:tr w:rsidR="002030B2" w:rsidRPr="00E723CA" w14:paraId="6701B54B" w14:textId="77777777" w:rsidTr="00773222">
        <w:trPr>
          <w:jc w:val="center"/>
        </w:trPr>
        <w:tc>
          <w:tcPr>
            <w:tcW w:w="274" w:type="pct"/>
            <w:tcBorders>
              <w:top w:val="single" w:sz="8" w:space="0" w:color="auto"/>
              <w:left w:val="single" w:sz="12" w:space="0" w:color="auto"/>
              <w:bottom w:val="single" w:sz="8" w:space="0" w:color="auto"/>
              <w:right w:val="single" w:sz="8" w:space="0" w:color="auto"/>
            </w:tcBorders>
            <w:shd w:val="clear" w:color="auto" w:fill="auto"/>
          </w:tcPr>
          <w:p w14:paraId="76D7AB25" w14:textId="77777777" w:rsidR="002030B2" w:rsidRPr="002030B2" w:rsidRDefault="002030B2" w:rsidP="00114CCF">
            <w:pPr>
              <w:pStyle w:val="TEKSTwTABELIWYRODKOWANYtekstwyrodkowanywpoziomie"/>
            </w:pPr>
            <w:r>
              <w:t>57</w:t>
            </w:r>
          </w:p>
        </w:tc>
        <w:tc>
          <w:tcPr>
            <w:tcW w:w="1289" w:type="pct"/>
            <w:tcBorders>
              <w:top w:val="single" w:sz="8" w:space="0" w:color="auto"/>
              <w:left w:val="single" w:sz="8" w:space="0" w:color="auto"/>
              <w:bottom w:val="single" w:sz="8" w:space="0" w:color="auto"/>
              <w:right w:val="single" w:sz="8" w:space="0" w:color="auto"/>
            </w:tcBorders>
            <w:shd w:val="clear" w:color="auto" w:fill="auto"/>
          </w:tcPr>
          <w:p w14:paraId="4ACD99DC" w14:textId="77777777" w:rsidR="002030B2" w:rsidRPr="002030B2" w:rsidRDefault="002030B2" w:rsidP="00D86012">
            <w:proofErr w:type="spellStart"/>
            <w:r>
              <w:t>MXiPr</w:t>
            </w:r>
            <w:proofErr w:type="spellEnd"/>
          </w:p>
        </w:tc>
        <w:tc>
          <w:tcPr>
            <w:tcW w:w="1492" w:type="pct"/>
            <w:tcBorders>
              <w:top w:val="single" w:sz="8" w:space="0" w:color="auto"/>
              <w:left w:val="single" w:sz="8" w:space="0" w:color="auto"/>
              <w:bottom w:val="single" w:sz="8" w:space="0" w:color="auto"/>
              <w:right w:val="single" w:sz="8" w:space="0" w:color="auto"/>
            </w:tcBorders>
            <w:shd w:val="clear" w:color="auto" w:fill="auto"/>
          </w:tcPr>
          <w:p w14:paraId="4C946AA8" w14:textId="74CADCE2" w:rsidR="002030B2" w:rsidRPr="002030B2" w:rsidRDefault="002030B2" w:rsidP="00D86012">
            <w:proofErr w:type="spellStart"/>
            <w:r>
              <w:t>Metoxiisopropamina</w:t>
            </w:r>
            <w:proofErr w:type="spellEnd"/>
          </w:p>
        </w:tc>
        <w:tc>
          <w:tcPr>
            <w:tcW w:w="1945" w:type="pct"/>
            <w:tcBorders>
              <w:top w:val="single" w:sz="8" w:space="0" w:color="auto"/>
              <w:left w:val="single" w:sz="8" w:space="0" w:color="auto"/>
              <w:bottom w:val="single" w:sz="8" w:space="0" w:color="auto"/>
              <w:right w:val="single" w:sz="12" w:space="0" w:color="auto"/>
            </w:tcBorders>
            <w:shd w:val="clear" w:color="auto" w:fill="auto"/>
          </w:tcPr>
          <w:p w14:paraId="74CC91C9" w14:textId="0064358F" w:rsidR="002030B2" w:rsidRPr="002030B2" w:rsidRDefault="002030B2" w:rsidP="00D86012">
            <w:r>
              <w:t>2-(</w:t>
            </w:r>
            <w:proofErr w:type="spellStart"/>
            <w:r>
              <w:t>isopropilamina</w:t>
            </w:r>
            <w:proofErr w:type="spellEnd"/>
            <w:r>
              <w:t>)-2-(3-</w:t>
            </w:r>
            <w:proofErr w:type="gramStart"/>
            <w:r>
              <w:t>metoxifenil)ciclohexan</w:t>
            </w:r>
            <w:proofErr w:type="gramEnd"/>
            <w:r>
              <w:t>-1-ona»;</w:t>
            </w:r>
          </w:p>
        </w:tc>
      </w:tr>
    </w:tbl>
    <w:p w14:paraId="356347F5" w14:textId="7C095067" w:rsidR="002030B2" w:rsidRPr="002030B2" w:rsidRDefault="00CD2C01" w:rsidP="00437D67">
      <w:pPr>
        <w:pStyle w:val="LITlitera"/>
        <w:rPr>
          <w:rStyle w:val="Ppogrubienie"/>
        </w:rPr>
      </w:pPr>
      <w:r>
        <w:t>b)</w:t>
      </w:r>
      <w:r>
        <w:tab/>
        <w:t xml:space="preserve">en la parte 2, «Derivados de la 2-feniletilamina – grupo I-NPS», en el punto 2.2, letra a), se sustituyen las palabras «Además, estos sustituyentes pueden formar un sistema cíclico en el que el átomo de nitrógeno está contenido en la estructura del anillo (por ejemplo, pirrolidina, piperidina).» por las palabras «Además, estos sustituyentes pueden formar un sistema cíclico en el que el átomo de nitrógeno está contenido en la estructura del anillo alifático heterocíclico.». </w:t>
      </w:r>
    </w:p>
    <w:p w14:paraId="3CCC4C8F" w14:textId="77777777" w:rsidR="002030B2" w:rsidRPr="002030B2" w:rsidRDefault="002030B2" w:rsidP="00D86012">
      <w:pPr>
        <w:pStyle w:val="ARTartustawynprozporzdzenia"/>
      </w:pPr>
      <w:r>
        <w:rPr>
          <w:rStyle w:val="Ppogrubienie"/>
        </w:rPr>
        <w:t>Artículo 2.</w:t>
      </w:r>
      <w:r>
        <w:t xml:space="preserve"> El presente Reglamento entrará en vigor el decimocuarto día siguiente al de su publicación.</w:t>
      </w:r>
    </w:p>
    <w:p w14:paraId="04A1D987" w14:textId="77777777" w:rsidR="002030B2" w:rsidRPr="002030B2" w:rsidRDefault="002030B2" w:rsidP="002030B2">
      <w:pPr>
        <w:pStyle w:val="TEKSTZacznikido"/>
      </w:pPr>
    </w:p>
    <w:p w14:paraId="0D907C2A" w14:textId="77777777" w:rsidR="002030B2" w:rsidRPr="002030B2" w:rsidRDefault="002030B2" w:rsidP="002030B2">
      <w:pPr>
        <w:pStyle w:val="TEKSTZacznikido"/>
      </w:pPr>
    </w:p>
    <w:p w14:paraId="7AF8112D" w14:textId="77B15AEF" w:rsidR="002030B2" w:rsidRDefault="002030B2" w:rsidP="00437D67">
      <w:pPr>
        <w:pStyle w:val="NAZORGWYDnazwaorganuwydajcegoprojektowanyakt"/>
      </w:pPr>
      <w:r>
        <w:t>El Ministro de Sanidad</w:t>
      </w:r>
    </w:p>
    <w:p w14:paraId="69FA8C9D" w14:textId="4BF164BC" w:rsidR="00BE1CB1" w:rsidRDefault="00BE1CB1" w:rsidP="00437D67">
      <w:pPr>
        <w:pStyle w:val="NAZORGWYDnazwaorganuwydajcegoprojektowanyakt"/>
      </w:pPr>
    </w:p>
    <w:p w14:paraId="19B7D4D9" w14:textId="5239FC89" w:rsidR="002030B2" w:rsidRDefault="002030B2" w:rsidP="00437D67">
      <w:pPr>
        <w:pStyle w:val="TYTUAKTUprzedmiotregulacjiustawylubrozporzdzenia"/>
      </w:pPr>
      <w:r>
        <w:br w:type="page"/>
      </w:r>
      <w:r>
        <w:lastRenderedPageBreak/>
        <w:t>EXPOSICIÓN DE MOTIVOS</w:t>
      </w:r>
    </w:p>
    <w:p w14:paraId="14F0E9E4" w14:textId="77777777" w:rsidR="00701E00" w:rsidRDefault="002030B2" w:rsidP="00E01ECE">
      <w:pPr>
        <w:pStyle w:val="NIEARTTEKSTtekstnieartykuowanynppodstprawnarozplubpreambua"/>
      </w:pPr>
      <w:r>
        <w:t xml:space="preserve">La propuesta de Reglamento modifica el Reglamento del Ministro de Sanidad, de 17 de agosto de 2018, </w:t>
      </w:r>
      <w:r>
        <w:rPr>
          <w:rStyle w:val="Kkursywa"/>
          <w:i w:val="0"/>
        </w:rPr>
        <w:t>relativo a la lista de sustancias psicotrópicas, estupefacientes y nuevas sustancias psicoactivas</w:t>
      </w:r>
      <w:r>
        <w:rPr>
          <w:rStyle w:val="Kkursywa"/>
        </w:rPr>
        <w:t xml:space="preserve"> </w:t>
      </w:r>
      <w:r>
        <w:t xml:space="preserve">(Boletín Oficial de 2022, punto 1665), (en lo adelante, «Reglamento del Ministro de Sanidad de 17 de agosto de 2018»), emitido sobre la base de la autorización legal contenida en el artículo 44 </w:t>
      </w:r>
      <w:proofErr w:type="spellStart"/>
      <w:r>
        <w:rPr>
          <w:i/>
          <w:iCs/>
        </w:rPr>
        <w:t>septies</w:t>
      </w:r>
      <w:proofErr w:type="spellEnd"/>
      <w:r>
        <w:t xml:space="preserve"> de la Ley, de 29 de julio de 2005, </w:t>
      </w:r>
      <w:r>
        <w:rPr>
          <w:rStyle w:val="Kkursywa"/>
          <w:i w:val="0"/>
        </w:rPr>
        <w:t>sobre la lucha contra las toxicomanías</w:t>
      </w:r>
      <w:r>
        <w:t xml:space="preserve"> (Boletín Oficial de 2023, punto 172, y Boletín Oficial de 2022, punto 2600), (en adelante, la «Ley»). </w:t>
      </w:r>
    </w:p>
    <w:p w14:paraId="1AAEFBD4" w14:textId="26BD0DB6" w:rsidR="00E01ECE" w:rsidRDefault="00961FC7" w:rsidP="00E01ECE">
      <w:pPr>
        <w:pStyle w:val="NIEARTTEKSTtekstnieartykuowanynppodstprawnarozplubpreambua"/>
      </w:pPr>
      <w:bookmarkStart w:id="9" w:name="_Hlk120540348"/>
      <w:r>
        <w:t xml:space="preserve">De acuerdo con el artículo 1, punto 1, del proyecto de Reglamento en la referencia n.º 2 al título del Reglamento </w:t>
      </w:r>
      <w:bookmarkStart w:id="10" w:name="_Hlk120709917"/>
      <w:proofErr w:type="gramStart"/>
      <w:r>
        <w:t>Ministro</w:t>
      </w:r>
      <w:proofErr w:type="gramEnd"/>
      <w:r>
        <w:t xml:space="preserve"> de Sanidad de 17 de agosto de 2018, </w:t>
      </w:r>
      <w:bookmarkEnd w:id="10"/>
      <w:r>
        <w:t xml:space="preserve">en el punto 4 se añade información sobre la aplicación por el Reglamento de la Directiva Delegada </w:t>
      </w:r>
      <w:bookmarkEnd w:id="9"/>
      <w:r>
        <w:t xml:space="preserve">de la Comisión (UE) 2022/1326, de 18 de marzo de 2022, por la que se modifica el anexo de la Decisión marco 2004/757/JAI del Consejo en lo que respecta a la inclusión de nuevas sustancias psicotrópicas en la definición de «droga» (DO L 200 de 29.7.2022, p. 148), (en adelante, «Directiva Delegada (UE) 2022/1326 de la Comisión»). </w:t>
      </w:r>
    </w:p>
    <w:p w14:paraId="453896DD" w14:textId="2B9DC4E7" w:rsidR="00E01ECE" w:rsidRDefault="00AE12ED" w:rsidP="00E01ECE">
      <w:pPr>
        <w:pStyle w:val="NIEARTTEKSTtekstnieartykuowanynppodstprawnarozplubpreambua"/>
      </w:pPr>
      <w:r>
        <w:t xml:space="preserve">Cabe señalar que el ámbito de aplicación material de la Directiva </w:t>
      </w:r>
      <w:proofErr w:type="gramStart"/>
      <w:r>
        <w:t>Delegada</w:t>
      </w:r>
      <w:proofErr w:type="gramEnd"/>
      <w:r>
        <w:t xml:space="preserve"> (UE) 2022/1326 de la Comisión, aunque adoptada el 18 de marzo de 2022, ya se ha incluido en el Reglamento del Ministro de Sanidad de 17 de agosto de 2018. Las sustancias 2-(</w:t>
      </w:r>
      <w:proofErr w:type="spellStart"/>
      <w:r>
        <w:t>metilamino</w:t>
      </w:r>
      <w:proofErr w:type="spellEnd"/>
      <w:r>
        <w:t>)-1-(3-metilfenil)propan-1-ona (3-MMC) y 1-(3-clorofenilo)-2-(</w:t>
      </w:r>
      <w:proofErr w:type="spellStart"/>
      <w:r>
        <w:t>metilamino</w:t>
      </w:r>
      <w:proofErr w:type="spellEnd"/>
      <w:r>
        <w:t>)propano-1-ona (3-CMC), que, en virtud de la Directiva Delegada (UE) 2022/1326 de la Comisión, se han añadido al anexo de la Decisión</w:t>
      </w:r>
      <w:r>
        <w:rPr>
          <w:rStyle w:val="Kkursywa"/>
          <w:i w:val="0"/>
        </w:rPr>
        <w:t xml:space="preserve"> marco 2004/757/JAI del Consejo, de 25 de octubre de 2004, relativa al establecimiento de disposiciones mínimas de los elementos constitutivos de delitos y las penas aplicables en el ámbito del tráfico ilícito de drogas (</w:t>
      </w:r>
      <w:r>
        <w:t>DO L 335 de 11.11.2004, p. 8), ya se incluyeron en el texto original del Reglamento modificado del Ministro de Sanidad de 17 de agosto de 2018, en el anexo 1 de la parte 1, «SUSTANCIAS PSICOTRÓPICAS del Grupo I-P» (en el cuadro, respectivamente, en los números 51 y 7).</w:t>
      </w:r>
    </w:p>
    <w:p w14:paraId="2D027591" w14:textId="5E97AD2E" w:rsidR="00E01ECE" w:rsidRDefault="0059308B" w:rsidP="007C38E3">
      <w:pPr>
        <w:pStyle w:val="ARTartustawynprozporzdzenia"/>
      </w:pPr>
      <w:r>
        <w:t xml:space="preserve">La propuesta de modificación de la redacción de la referencia n.º 2 del Reglamento del </w:t>
      </w:r>
      <w:proofErr w:type="gramStart"/>
      <w:r>
        <w:t>Ministro</w:t>
      </w:r>
      <w:proofErr w:type="gramEnd"/>
      <w:r>
        <w:t xml:space="preserve"> de Sanidad de 17 de agosto de 2018 es, por tanto, informativa. </w:t>
      </w:r>
      <w:bookmarkStart w:id="11" w:name="_Hlk122592887"/>
      <w:r>
        <w:t xml:space="preserve">La inclusión de información sobre la aplicación de la Directiva </w:t>
      </w:r>
      <w:proofErr w:type="gramStart"/>
      <w:r>
        <w:t>Delegada</w:t>
      </w:r>
      <w:proofErr w:type="gramEnd"/>
      <w:r>
        <w:t xml:space="preserve"> (UE) 2022/1326 de la Comisión en el ordenamiento jurídico de la República de Polonia es necesaria debido al hecho de que la Comisión Europea está informando sobre las diversas etapas de aplicación de las Directivas</w:t>
      </w:r>
      <w:bookmarkEnd w:id="11"/>
      <w:r>
        <w:t xml:space="preserve">. </w:t>
      </w:r>
      <w:r>
        <w:lastRenderedPageBreak/>
        <w:t xml:space="preserve">En este punto, cabe señalar que la referencia n.º 2 al título de la propuesta de Reglamento contiene información, análoga a la que figura en el punto 4 añadido en la referencia n.º 2 del título del Reglamento modificado del </w:t>
      </w:r>
      <w:proofErr w:type="gramStart"/>
      <w:r>
        <w:t>Ministro</w:t>
      </w:r>
      <w:proofErr w:type="gramEnd"/>
      <w:r>
        <w:t xml:space="preserve"> de Sanidad de 17 de agosto de 2018, según el cual el presente Reglamento aplica la Directiva Delegada (UE) 2022/1326 de la Comisión.</w:t>
      </w:r>
    </w:p>
    <w:p w14:paraId="51FB5A2B" w14:textId="7BDBA0B0" w:rsidR="00B467DE" w:rsidRPr="00B467DE" w:rsidRDefault="00592AD7" w:rsidP="00864338">
      <w:pPr>
        <w:pStyle w:val="NIEARTTEKSTtekstnieartykuowanynppodstprawnarozplubpreambua"/>
      </w:pPr>
      <w:r>
        <w:t xml:space="preserve">Debe tenerse en cuenta que el cumplimiento de la obligación de notificación a que se refiere el artículo 2, apartados 1 y 2, de la Directiva </w:t>
      </w:r>
      <w:proofErr w:type="gramStart"/>
      <w:r>
        <w:t>Delegada</w:t>
      </w:r>
      <w:proofErr w:type="gramEnd"/>
      <w:r>
        <w:t xml:space="preserve"> (UE) 2022/1326 de la Comisión exigirá la comunicación a la Comisión tanto del texto del Reglamento modificado como del Reglamento de modificación propuesto. Solo la transmisión de los textos de los dos actos jurídicos permitirá vincular inequívocamente las disposiciones materiales que transponen las disposiciones de la Directiva </w:t>
      </w:r>
      <w:proofErr w:type="gramStart"/>
      <w:r>
        <w:t>Delegada</w:t>
      </w:r>
      <w:proofErr w:type="gramEnd"/>
      <w:r>
        <w:t xml:space="preserve"> (UE) 2022/1326 de la Comisión con su referencia formal a dicha Directiva, tal como exigen las disposiciones antes mencionadas.</w:t>
      </w:r>
    </w:p>
    <w:p w14:paraId="49FF42B6" w14:textId="33B07E1E" w:rsidR="002030B2" w:rsidRPr="001A00CB" w:rsidRDefault="002030B2" w:rsidP="009465B3">
      <w:pPr>
        <w:pStyle w:val="NIEARTTEKSTtekstnieartykuowanynppodstprawnarozplubpreambua"/>
      </w:pPr>
      <w:r>
        <w:t xml:space="preserve">El Reglamento del </w:t>
      </w:r>
      <w:proofErr w:type="gramStart"/>
      <w:r>
        <w:t>Ministro</w:t>
      </w:r>
      <w:proofErr w:type="gramEnd"/>
      <w:r>
        <w:t xml:space="preserve"> de Sanidad, de 17 de agosto de 2018, modificó los apéndices n.º </w:t>
      </w:r>
      <w:r>
        <w:rPr>
          <w:rStyle w:val="BEZWERSALIKW"/>
          <w:caps w:val="0"/>
        </w:rPr>
        <w:t>1 y 2, teniendo en cuenta</w:t>
      </w:r>
      <w:r>
        <w:t xml:space="preserve"> las disposiciones de la Convención de las Naciones Unidas:</w:t>
      </w:r>
    </w:p>
    <w:p w14:paraId="60AF0FEA" w14:textId="443C8FAB" w:rsidR="002030B2" w:rsidRPr="002030B2" w:rsidRDefault="00305AEA" w:rsidP="009465B3">
      <w:pPr>
        <w:pStyle w:val="PKTpunkt"/>
      </w:pPr>
      <w:r>
        <w:t>–</w:t>
      </w:r>
      <w:r>
        <w:tab/>
        <w:t>con respecto a los estupefacientes – Convención Única de 1961 sobre Estupefacientes, redactada en Nueva York el 30 de marzo de 1961 (Boletín Oficial de 1966, punto 277, en su versión modificada), modificada por el Protocolo de 1972 – Protocolo de modificación de la Convención Única de 1961 sobre Estupefacientes (Boletín Oficial de 1996, punto 149, en su versión modificada),</w:t>
      </w:r>
    </w:p>
    <w:p w14:paraId="37026F02" w14:textId="6260598D" w:rsidR="002030B2" w:rsidRPr="002030B2" w:rsidRDefault="00305AEA" w:rsidP="009465B3">
      <w:pPr>
        <w:pStyle w:val="PKTpunkt"/>
      </w:pPr>
      <w:r>
        <w:t>–</w:t>
      </w:r>
      <w:r>
        <w:tab/>
        <w:t xml:space="preserve">por lo que se refiere a las sustancias psicotrópicas – Convenio sobre sustancias psicotrópicas, redactado en Viena el 21 de febrero de 1971 (Boletín Oficial de 1976, punto 180, en su versión modificada). </w:t>
      </w:r>
    </w:p>
    <w:p w14:paraId="736961E3" w14:textId="77777777" w:rsidR="002030B2" w:rsidRPr="002030B2" w:rsidRDefault="002030B2" w:rsidP="00437D67">
      <w:pPr>
        <w:pStyle w:val="NIEARTTEKSTtekstnieartykuowanynppodstprawnarozplubpreambua"/>
      </w:pPr>
      <w:r>
        <w:t>Las modificaciones de las listas de sustancias se han realizado sobre la base de una decisión de la Comisión de Estupefacientes (CND, por su versión en inglés)</w:t>
      </w:r>
      <w:r>
        <w:rPr>
          <w:rStyle w:val="BEZWERSALIKW"/>
        </w:rPr>
        <w:t xml:space="preserve"> </w:t>
      </w:r>
      <w:r>
        <w:rPr>
          <w:rStyle w:val="BEZWERSALIKW"/>
          <w:caps w:val="0"/>
        </w:rPr>
        <w:t xml:space="preserve">e </w:t>
      </w:r>
      <w:r>
        <w:t>incluyen:</w:t>
      </w:r>
    </w:p>
    <w:p w14:paraId="3F7DD163" w14:textId="29181A4A" w:rsidR="006B3E60" w:rsidRDefault="006B3E60" w:rsidP="00437D67">
      <w:pPr>
        <w:pStyle w:val="PKTpunkt"/>
      </w:pPr>
      <w:r>
        <w:t>1)</w:t>
      </w:r>
      <w:r>
        <w:tab/>
        <w:t>la inclusión de estupefacientes en el grupo I-N: BRORFINA (de conformidad con la Decisión 65/1) y METONITACENO (de conformidad con la Decisión 65/2);</w:t>
      </w:r>
    </w:p>
    <w:p w14:paraId="4F3D6054" w14:textId="17B5B689" w:rsidR="00483703" w:rsidRDefault="006B3E60" w:rsidP="00483703">
      <w:pPr>
        <w:pStyle w:val="PKTpunkt"/>
      </w:pPr>
      <w:r>
        <w:t>2)</w:t>
      </w:r>
      <w:r>
        <w:tab/>
        <w:t>la transferencia del grupo I-P al grupo II-P de la sustancia psicotrópica EUTILONA (de conformidad con la Decisión 65/3).</w:t>
      </w:r>
    </w:p>
    <w:p w14:paraId="41AFB41C" w14:textId="4CD3ABC3" w:rsidR="009B719B" w:rsidRPr="009B719B" w:rsidRDefault="009B719B" w:rsidP="009B719B">
      <w:pPr>
        <w:pStyle w:val="NIEARTTEKSTtekstnieartykuowanynppodstprawnarozplubpreambua"/>
      </w:pPr>
      <w:r>
        <w:t xml:space="preserve">En el Reglamento del </w:t>
      </w:r>
      <w:proofErr w:type="gramStart"/>
      <w:r>
        <w:t>Ministro</w:t>
      </w:r>
      <w:proofErr w:type="gramEnd"/>
      <w:r>
        <w:t xml:space="preserve"> de Sanidad de 17 de agosto de 2018 en el anexo 1, parte «1. SUSTANCIAS PSICOTRÓPICAS del Grupo I-P» se han realizado cambios organizativos para unificar el grupo de compuestos descritos como </w:t>
      </w:r>
      <w:proofErr w:type="gramStart"/>
      <w:r>
        <w:t>tetrahidrocannabinol enumerados</w:t>
      </w:r>
      <w:proofErr w:type="gramEnd"/>
      <w:r>
        <w:t xml:space="preserve"> en el cuadro del n.º 96, que consisten en: </w:t>
      </w:r>
    </w:p>
    <w:p w14:paraId="0C9D5F01" w14:textId="77777777" w:rsidR="009B719B" w:rsidRPr="00C37593" w:rsidRDefault="009B719B" w:rsidP="009B719B">
      <w:pPr>
        <w:pStyle w:val="PKTpunkt"/>
      </w:pPr>
      <w:r>
        <w:lastRenderedPageBreak/>
        <w:t>1) excluir del grupo de tetrahidrocannabinol de la sustancia (6a</w:t>
      </w:r>
      <w:r>
        <w:rPr>
          <w:rStyle w:val="Kkursywa"/>
        </w:rPr>
        <w:t>R</w:t>
      </w:r>
      <w:r>
        <w:t>,10a</w:t>
      </w:r>
      <w:r>
        <w:rPr>
          <w:rStyle w:val="Kkursywa"/>
        </w:rPr>
        <w:t>R</w:t>
      </w:r>
      <w:r>
        <w:t>)-6a,7,8,9,10,10a-hexahidro-6,6,9-trimetil-3-pentil-6</w:t>
      </w:r>
      <w:r>
        <w:rPr>
          <w:rStyle w:val="Kkursywa"/>
        </w:rPr>
        <w:t>H</w:t>
      </w:r>
      <w:r>
        <w:t>-dibenzo[</w:t>
      </w:r>
      <w:r>
        <w:rPr>
          <w:rStyle w:val="Kkursywa"/>
        </w:rPr>
        <w:t>b</w:t>
      </w:r>
      <w:r>
        <w:t>,</w:t>
      </w:r>
      <w:r>
        <w:rPr>
          <w:rStyle w:val="Kkursywa"/>
        </w:rPr>
        <w:t>d</w:t>
      </w:r>
      <w:r>
        <w:t>]piran-1-ol e incluirlo en el cuadro en el n.º 99 y corrigiendo la entrada de su nombre químico a: 6a,7,8,9,10a-hexahidro-6,6,9-trimetil-3-pentil-6</w:t>
      </w:r>
      <w:r>
        <w:rPr>
          <w:rStyle w:val="Kkursywa"/>
        </w:rPr>
        <w:t>H</w:t>
      </w:r>
      <w:r>
        <w:t>-dibenzo[</w:t>
      </w:r>
      <w:r>
        <w:rPr>
          <w:rStyle w:val="Kkursywa"/>
        </w:rPr>
        <w:t>b,d</w:t>
      </w:r>
      <w:r>
        <w:t>]piran-1-ol la estructura química de la sustancia 6a,7,8,9,10a-hexahidro-6,6,9-trimetil-3-pentil-6</w:t>
      </w:r>
      <w:r>
        <w:rPr>
          <w:rStyle w:val="Kkursywa"/>
        </w:rPr>
        <w:t>H</w:t>
      </w:r>
      <w:r>
        <w:t>-dibenzo[</w:t>
      </w:r>
      <w:r>
        <w:rPr>
          <w:rStyle w:val="Kkursywa"/>
        </w:rPr>
        <w:t>b</w:t>
      </w:r>
      <w:r>
        <w:t>,</w:t>
      </w:r>
      <w:r>
        <w:rPr>
          <w:rStyle w:val="Kkursywa"/>
        </w:rPr>
        <w:t>d</w:t>
      </w:r>
      <w:r>
        <w:t>]piran-1-ol no permite que sea considerado como un isómero de tetrahidrocannabinol o su variante estereoquímica;</w:t>
      </w:r>
    </w:p>
    <w:p w14:paraId="0C52721F" w14:textId="3A017733" w:rsidR="009B719B" w:rsidRPr="00C37593" w:rsidRDefault="009B719B" w:rsidP="009B719B">
      <w:pPr>
        <w:pStyle w:val="PKTpunkt"/>
      </w:pPr>
      <w:r>
        <w:t>2)</w:t>
      </w:r>
      <w:r>
        <w:tab/>
        <w:t>complementar el grupo de tetrahidrocannabinol con la sustancia (6a</w:t>
      </w:r>
      <w:r>
        <w:rPr>
          <w:rStyle w:val="Kkursywa"/>
        </w:rPr>
        <w:t>R</w:t>
      </w:r>
      <w:r>
        <w:t>,10a</w:t>
      </w:r>
      <w:r>
        <w:rPr>
          <w:rStyle w:val="Kkursywa"/>
        </w:rPr>
        <w:t>R</w:t>
      </w:r>
      <w:r>
        <w:t>)-6a,7,8,</w:t>
      </w:r>
      <w:proofErr w:type="gramStart"/>
      <w:r>
        <w:t>9,10a</w:t>
      </w:r>
      <w:proofErr w:type="gramEnd"/>
      <w:r>
        <w:t>-hexahidro-6,6-dimetil-9-metilen-3-pentil-6</w:t>
      </w:r>
      <w:r>
        <w:rPr>
          <w:rStyle w:val="Kkursywa"/>
        </w:rPr>
        <w:t>H</w:t>
      </w:r>
      <w:r>
        <w:t>-dibenzo[</w:t>
      </w:r>
      <w:r>
        <w:rPr>
          <w:rStyle w:val="Kkursywa"/>
        </w:rPr>
        <w:t>b</w:t>
      </w:r>
      <w:r>
        <w:t>,</w:t>
      </w:r>
      <w:r>
        <w:rPr>
          <w:rStyle w:val="Kkursywa"/>
        </w:rPr>
        <w:t>d</w:t>
      </w:r>
      <w:r>
        <w:t xml:space="preserve">]piran-1-ol que, según la Lista I del Convenio sobre sustancias psicotrópicas, redactado en Viena el 21 de febrero de 1971, figura en el grupo de isómeros de tetrahidrocannabinol y sus variantes estereoquímicas. </w:t>
      </w:r>
    </w:p>
    <w:p w14:paraId="51F0D10C" w14:textId="1516773A" w:rsidR="009B719B" w:rsidRPr="002030B2" w:rsidRDefault="009B719B" w:rsidP="009B719B">
      <w:pPr>
        <w:pStyle w:val="NIEARTTEKSTtekstnieartykuowanynppodstprawnarozplubpreambua"/>
      </w:pPr>
      <w:r>
        <w:t xml:space="preserve">El Reglamento del </w:t>
      </w:r>
      <w:proofErr w:type="gramStart"/>
      <w:r>
        <w:t>Ministro</w:t>
      </w:r>
      <w:proofErr w:type="gramEnd"/>
      <w:r>
        <w:t xml:space="preserve"> de Sanidad de 17 de agosto de 2018 corrigió la determinación química de la sustancia:</w:t>
      </w:r>
    </w:p>
    <w:p w14:paraId="1E90A5A2" w14:textId="77777777" w:rsidR="009B719B" w:rsidRPr="002030B2" w:rsidRDefault="009B719B" w:rsidP="009B719B">
      <w:pPr>
        <w:pStyle w:val="PKTpunkt"/>
      </w:pPr>
      <w:r>
        <w:t>–</w:t>
      </w:r>
      <w:r>
        <w:tab/>
        <w:t>CUMYL-PEGACLONE que figura en el anexo 1 en la parte «2. SUSTANCIAS PSICOTRÓPICAS del Grupo II-P» en el cuadro n.º 71:</w:t>
      </w:r>
    </w:p>
    <w:p w14:paraId="2E2EFD63" w14:textId="77777777" w:rsidR="009B719B" w:rsidRDefault="009B719B" w:rsidP="009B719B">
      <w:pPr>
        <w:pStyle w:val="PKTpunkt"/>
      </w:pPr>
      <w:r>
        <w:t>–</w:t>
      </w:r>
      <w:r>
        <w:tab/>
        <w:t>1cP-LSD enumerado en el anexo 3 en la parte «1. Lista de nuevas sustancias psicoactivas con sus nombres y notaciones químicas», en el cuadro n.º 54:</w:t>
      </w:r>
    </w:p>
    <w:p w14:paraId="7DBD4DF6" w14:textId="43AB515B" w:rsidR="00E41CF1" w:rsidRPr="002030B2" w:rsidRDefault="00565BB8" w:rsidP="00E41CF1">
      <w:pPr>
        <w:pStyle w:val="NIEARTTEKSTtekstnieartykuowanynppodstprawnarozplubpreambua"/>
      </w:pPr>
      <w:r>
        <w:t xml:space="preserve">El Reglamento del </w:t>
      </w:r>
      <w:proofErr w:type="gramStart"/>
      <w:r>
        <w:t>Ministro</w:t>
      </w:r>
      <w:proofErr w:type="gramEnd"/>
      <w:r>
        <w:t xml:space="preserve"> de Sanidad de 17 de agosto de 2018 se modificó mediante la ampliación de la lista de sustancias psicotrópicas que figura en el anexo 1 a las sustancias recomendadas al Ministro de Sanidad de conformidad con el artículo 18 </w:t>
      </w:r>
      <w:r>
        <w:rPr>
          <w:i/>
          <w:iCs/>
        </w:rPr>
        <w:t>ter</w:t>
      </w:r>
      <w:r>
        <w:t>, apartado 1, punto 2, de la Ley por el Equipo de evaluación de riesgos para la salud humana o la vida relacionados con el uso de nuevas sustancias psicoactivas. Las modificaciones se refieren a la inclusión de HHC-O en el grupo I-P de sustancias psicotrópicas, a la transferencia de α-</w:t>
      </w:r>
      <w:proofErr w:type="spellStart"/>
      <w:r>
        <w:t>PHiP</w:t>
      </w:r>
      <w:proofErr w:type="spellEnd"/>
      <w:r>
        <w:t xml:space="preserve"> de la lista de nuevas sustancias psicotrópicas al grupo II-P de sustancias psicotrópicas y a la inclusión de las sustancias ESZOPICLONA en el grupo IV-P de sustancias psicotrópicas.</w:t>
      </w:r>
    </w:p>
    <w:p w14:paraId="3973C97F" w14:textId="6E8A6F7A" w:rsidR="00565BB8" w:rsidRDefault="00565BB8" w:rsidP="00565BB8">
      <w:pPr>
        <w:pStyle w:val="NIEARTTEKSTtekstnieartykuowanynppodstprawnarozplubpreambua"/>
      </w:pPr>
      <w:r>
        <w:t>HHC-O (O-</w:t>
      </w:r>
      <w:proofErr w:type="spellStart"/>
      <w:r>
        <w:t>acetilhexahidrocannabinol</w:t>
      </w:r>
      <w:proofErr w:type="spellEnd"/>
      <w:r>
        <w:t xml:space="preserve">, acetato de </w:t>
      </w:r>
      <w:proofErr w:type="spellStart"/>
      <w:r>
        <w:t>hexahidrocannabinol</w:t>
      </w:r>
      <w:proofErr w:type="spellEnd"/>
      <w:r>
        <w:t>) pertenece a los cannabinoides sintéticos. Es estructuralmente similar al controlado Δ</w:t>
      </w:r>
      <w:r>
        <w:rPr>
          <w:rStyle w:val="IGindeksgrny"/>
        </w:rPr>
        <w:t>9</w:t>
      </w:r>
      <w:r>
        <w:t>-tetrahidrocannabinol que figura en el anexo 1 del Reglamento del Ministro de Sanidad de 17 de agosto de 2018 como sustancia psicotrópica del grupo II-P y a sustancias con la determinación química: 6a,7,8,</w:t>
      </w:r>
      <w:proofErr w:type="gramStart"/>
      <w:r>
        <w:t>9,10a</w:t>
      </w:r>
      <w:proofErr w:type="gramEnd"/>
      <w:r>
        <w:t>-hexahidro-6,6,9-trimetil-3-pentil-6</w:t>
      </w:r>
      <w:r>
        <w:rPr>
          <w:rStyle w:val="Kkursywa"/>
        </w:rPr>
        <w:t>H-</w:t>
      </w:r>
      <w:r>
        <w:t>dibenzo[</w:t>
      </w:r>
      <w:r>
        <w:rPr>
          <w:rStyle w:val="Kkursywa"/>
        </w:rPr>
        <w:t>b</w:t>
      </w:r>
      <w:r>
        <w:t>,</w:t>
      </w:r>
      <w:r>
        <w:rPr>
          <w:rStyle w:val="Kkursywa"/>
        </w:rPr>
        <w:t>d</w:t>
      </w:r>
      <w:r>
        <w:t>]piran-1-ol (HHC</w:t>
      </w:r>
      <w:bookmarkStart w:id="12" w:name="_Hlk124320071"/>
      <w:r>
        <w:t xml:space="preserve">, </w:t>
      </w:r>
      <w:proofErr w:type="spellStart"/>
      <w:r>
        <w:t>hexahidrocannabinol</w:t>
      </w:r>
      <w:proofErr w:type="spellEnd"/>
      <w:r>
        <w:t xml:space="preserve"> y</w:t>
      </w:r>
      <w:bookmarkEnd w:id="12"/>
      <w:r>
        <w:t>) pertenecientes a las sustancias psicotrópicas del grupo I-P enumeradas en el anexo 1 del Reglamento del Ministro de Salud de 17 de agosto de 2018. HHC-O es un derivado acetilo de HHC. HHC-O es un éster HHC, siendo HHC un derivado hidrogenado de Δ</w:t>
      </w:r>
      <w:r>
        <w:rPr>
          <w:rStyle w:val="IGindeksgrny"/>
        </w:rPr>
        <w:t>9</w:t>
      </w:r>
      <w:r>
        <w:t>-</w:t>
      </w:r>
      <w:r>
        <w:lastRenderedPageBreak/>
        <w:t xml:space="preserve">tetrahidrocannabinol. Sobre la base de la similitud estructural con otros cannabinoides y los efectos notificados por los usuarios de sustancias después de la ingesta, puede suponerse que la HHC-O exhibe afinidad vinculante para los receptores endocannabinoides CB1 y CB2. HHC-O se describe como una versión más fuerte y de acción más larga de HHC. Los primeros informes de los usuarios destacaron el fuerte ruido de la cabeza, la relajación y el alivio del dolor. Los efectos secundarios causados por HHC-O incluyen ansiedad, mareos, sequedad bucal, aumento del apetito, insomnio, paranoia, ritmo cardíaco acelerado, ojos rojos. En la República de Polonia, la sustancia denominada HHC-O se vende en plataformas de comercio electrónico, por ejemplo, seca y en forma de líquidos y porros. </w:t>
      </w:r>
    </w:p>
    <w:p w14:paraId="2A9C7BD6" w14:textId="6513033A" w:rsidR="002030B2" w:rsidRPr="002030B2" w:rsidRDefault="002030B2" w:rsidP="009465B3">
      <w:pPr>
        <w:pStyle w:val="NIEARTTEKSTtekstnieartykuowanynppodstprawnarozplubpreambua"/>
      </w:pPr>
      <w:r>
        <w:t>La α-</w:t>
      </w:r>
      <w:proofErr w:type="spellStart"/>
      <w:r>
        <w:t>PHiP</w:t>
      </w:r>
      <w:proofErr w:type="spellEnd"/>
      <w:r>
        <w:t xml:space="preserve"> pertenece al grupo de catinonas sintéticas. La α-</w:t>
      </w:r>
      <w:proofErr w:type="spellStart"/>
      <w:r>
        <w:t>PHiP</w:t>
      </w:r>
      <w:proofErr w:type="spellEnd"/>
      <w:r>
        <w:t xml:space="preserve"> es un isómero de cadena de α-PHP que figura en el anexo 1 del Reglamento del </w:t>
      </w:r>
      <w:proofErr w:type="gramStart"/>
      <w:r>
        <w:t>Ministro</w:t>
      </w:r>
      <w:proofErr w:type="gramEnd"/>
      <w:r>
        <w:t xml:space="preserve"> de Salud de 17 de agosto de 2018 como sustancia psicotrópica del grupo II-P. La α-</w:t>
      </w:r>
      <w:proofErr w:type="spellStart"/>
      <w:r>
        <w:t>PHiP</w:t>
      </w:r>
      <w:proofErr w:type="spellEnd"/>
      <w:r>
        <w:t xml:space="preserve"> es también el isómero posicional de la </w:t>
      </w:r>
      <w:proofErr w:type="spellStart"/>
      <w:r>
        <w:t>pirovalerona</w:t>
      </w:r>
      <w:proofErr w:type="spellEnd"/>
      <w:r>
        <w:t>, que aparece en el anexo 1 como sustancia psicotrópica del grupo IV-P. Además, se vincula estructuralmente a α-PVP (aparece en el anexo 1 como sustancia psicotrópica del grupo II-P). En comparación con α-PVP, el efecto de α-</w:t>
      </w:r>
      <w:proofErr w:type="spellStart"/>
      <w:r>
        <w:t>PHiP</w:t>
      </w:r>
      <w:proofErr w:type="spellEnd"/>
      <w:r>
        <w:t xml:space="preserve"> es </w:t>
      </w:r>
      <w:proofErr w:type="gramStart"/>
      <w:r>
        <w:t>similar</w:t>
      </w:r>
      <w:proofErr w:type="gramEnd"/>
      <w:r>
        <w:t xml:space="preserve"> pero de menor duración. En la República de Polonia, α-</w:t>
      </w:r>
      <w:proofErr w:type="spellStart"/>
      <w:r>
        <w:t>PHiP</w:t>
      </w:r>
      <w:proofErr w:type="spellEnd"/>
      <w:r>
        <w:t xml:space="preserve"> fue identificada por primera vez en 2016 por el Laboratorio Forense Central de la Policía. En 2021, α-</w:t>
      </w:r>
      <w:proofErr w:type="spellStart"/>
      <w:r>
        <w:t>PHiP</w:t>
      </w:r>
      <w:proofErr w:type="spellEnd"/>
      <w:r>
        <w:t xml:space="preserve"> se identificó 209 veces. Hasta la fecha, ha habido tres intoxicaciones, incluyendo dos letales, causadas por el consumo de α-</w:t>
      </w:r>
      <w:proofErr w:type="spellStart"/>
      <w:r>
        <w:t>PHiP</w:t>
      </w:r>
      <w:proofErr w:type="spellEnd"/>
      <w:r>
        <w:t>. La sustancia se ha identificado en Eslovenia, Suecia, el Reino Unido, Estonia, Hungría y Letonia.</w:t>
      </w:r>
    </w:p>
    <w:p w14:paraId="50478BBF" w14:textId="6590F41E" w:rsidR="002030B2" w:rsidRDefault="005F15F7" w:rsidP="009465B3">
      <w:pPr>
        <w:pStyle w:val="NIEARTTEKSTtekstnieartykuowanynppodstprawnarozplubpreambua"/>
      </w:pPr>
      <w:r>
        <w:t xml:space="preserve">La ESZOPICLONA </w:t>
      </w:r>
      <w:r>
        <w:rPr>
          <w:rStyle w:val="Kkursywa"/>
        </w:rPr>
        <w:t>(S)</w:t>
      </w:r>
      <w:r>
        <w:t>-(+)-4-metil-1-piperazina carboxilato 6-(5-cloro-2-piridinil)-7-oxo-6,7-dihidro-5</w:t>
      </w:r>
      <w:r>
        <w:rPr>
          <w:rStyle w:val="Kkursywa"/>
        </w:rPr>
        <w:t>H</w:t>
      </w:r>
      <w:r>
        <w:t>-pirolo[3,4-</w:t>
      </w:r>
      <w:r>
        <w:rPr>
          <w:rStyle w:val="Kkursywa"/>
        </w:rPr>
        <w:t>b</w:t>
      </w:r>
      <w:r>
        <w:t xml:space="preserve">]pirazina-5-il) </w:t>
      </w:r>
      <w:bookmarkStart w:id="13" w:name="_Hlk100830014"/>
      <w:r>
        <w:t xml:space="preserve">es una sustancia somnífera </w:t>
      </w:r>
      <w:bookmarkStart w:id="14" w:name="_Hlk100837533"/>
      <w:r>
        <w:t xml:space="preserve">que es un derivado de </w:t>
      </w:r>
      <w:proofErr w:type="spellStart"/>
      <w:r>
        <w:t>pirrlopirrazina</w:t>
      </w:r>
      <w:proofErr w:type="spellEnd"/>
      <w:r>
        <w:t xml:space="preserve"> del grupo </w:t>
      </w:r>
      <w:proofErr w:type="spellStart"/>
      <w:r>
        <w:t>ciclopirrolona</w:t>
      </w:r>
      <w:proofErr w:type="spellEnd"/>
      <w:r>
        <w:t xml:space="preserve">, </w:t>
      </w:r>
      <w:bookmarkStart w:id="15" w:name="_Hlk100841954"/>
      <w:r>
        <w:t xml:space="preserve">con una estructura química no asociada con </w:t>
      </w:r>
      <w:proofErr w:type="spellStart"/>
      <w:r>
        <w:t>pirazolopirimidinas</w:t>
      </w:r>
      <w:proofErr w:type="spellEnd"/>
      <w:r>
        <w:t xml:space="preserve">, </w:t>
      </w:r>
      <w:proofErr w:type="spellStart"/>
      <w:r>
        <w:t>imidazpirimidinas</w:t>
      </w:r>
      <w:proofErr w:type="spellEnd"/>
      <w:r>
        <w:t>, benzodiazepinas o barbitúricos</w:t>
      </w:r>
      <w:bookmarkEnd w:id="13"/>
      <w:bookmarkEnd w:id="14"/>
      <w:r>
        <w:t xml:space="preserve">. </w:t>
      </w:r>
      <w:bookmarkEnd w:id="15"/>
      <w:r>
        <w:t xml:space="preserve">La </w:t>
      </w:r>
      <w:proofErr w:type="spellStart"/>
      <w:r>
        <w:t>eszopiclona</w:t>
      </w:r>
      <w:proofErr w:type="spellEnd"/>
      <w:r>
        <w:t xml:space="preserve"> pertenece al grupo de hipnóticos no benzodiazepinas. Este grupo incluye medicamentos tales como: Zolpidem, </w:t>
      </w:r>
      <w:proofErr w:type="spellStart"/>
      <w:r>
        <w:t>Zopiclona</w:t>
      </w:r>
      <w:proofErr w:type="spellEnd"/>
      <w:r>
        <w:t xml:space="preserve"> y </w:t>
      </w:r>
      <w:proofErr w:type="spellStart"/>
      <w:r>
        <w:t>Zaleplon</w:t>
      </w:r>
      <w:proofErr w:type="spellEnd"/>
      <w:r>
        <w:t xml:space="preserve">, que se incluyeron en la lista de sustancias psicotrópicas del grupo IV-P por el Reglamento del </w:t>
      </w:r>
      <w:proofErr w:type="gramStart"/>
      <w:r>
        <w:t>Ministro</w:t>
      </w:r>
      <w:proofErr w:type="gramEnd"/>
      <w:r>
        <w:t xml:space="preserve"> de Sanidad de 17 de agosto de 2018. Los medicamentos en este grupo tienen una estructura química similar. Además, la ESZOPICLONA es un s-enantiómero de </w:t>
      </w:r>
      <w:proofErr w:type="spellStart"/>
      <w:r>
        <w:t>Zopiclona</w:t>
      </w:r>
      <w:proofErr w:type="spellEnd"/>
      <w:r>
        <w:t xml:space="preserve">. En 2020, la ESZOPICLONA se registró en la República de Polonia como medicamento para el insomnio bajo el nombre comercial </w:t>
      </w:r>
      <w:proofErr w:type="spellStart"/>
      <w:r>
        <w:t>Esogno</w:t>
      </w:r>
      <w:proofErr w:type="spellEnd"/>
      <w:r>
        <w:t xml:space="preserve">. El uso de esta sustancia se asocia con el riesgo de desarrollar tolerancia y dependencia </w:t>
      </w:r>
      <w:r>
        <w:lastRenderedPageBreak/>
        <w:t xml:space="preserve">física y mental, lo que aumenta con la dosis y el tiempo de uso. No hubo intoxicaciones o muertes resultantes del uso de la ESZOPICLONA en la República de Polonia. </w:t>
      </w:r>
    </w:p>
    <w:p w14:paraId="63C8F168" w14:textId="77777777" w:rsidR="002030B2" w:rsidRPr="002030B2" w:rsidRDefault="002030B2" w:rsidP="009465B3">
      <w:pPr>
        <w:pStyle w:val="NIEARTTEKSTtekstnieartykuowanynppodstprawnarozplubpreambua"/>
      </w:pPr>
      <w:r>
        <w:t xml:space="preserve">El Reglamento del </w:t>
      </w:r>
      <w:proofErr w:type="gramStart"/>
      <w:r>
        <w:t>Ministro</w:t>
      </w:r>
      <w:proofErr w:type="gramEnd"/>
      <w:r>
        <w:t xml:space="preserve"> de Sanidad de 17 de agosto de 2018 modificó también la lista de nuevas sustancias psicoactivas para incluir las sustancias recomendadas al Ministro de Sanidad de conformidad con el artículo 18 </w:t>
      </w:r>
      <w:r>
        <w:rPr>
          <w:i/>
          <w:iCs/>
        </w:rPr>
        <w:t>ter</w:t>
      </w:r>
      <w:r>
        <w:t xml:space="preserve">, apartado 1, punto 2, de la Ley por el Equipo para la evaluación de los riesgos para la salud humana o la vida asociados con el uso de nuevas sustancias psicoactivas. En la modificación propuesta, la lista de nuevas sustancias psicotrópicas se ha ampliado en tres sustancias: 3D-MXE, </w:t>
      </w:r>
      <w:proofErr w:type="spellStart"/>
      <w:r>
        <w:t>MXPr</w:t>
      </w:r>
      <w:proofErr w:type="spellEnd"/>
      <w:r>
        <w:t xml:space="preserve">, </w:t>
      </w:r>
      <w:proofErr w:type="spellStart"/>
      <w:r>
        <w:t>MXiPr</w:t>
      </w:r>
      <w:proofErr w:type="spellEnd"/>
      <w:r>
        <w:t>.</w:t>
      </w:r>
    </w:p>
    <w:p w14:paraId="2EE20683" w14:textId="67729217" w:rsidR="002030B2" w:rsidRPr="002030B2" w:rsidRDefault="002030B2" w:rsidP="009465B3">
      <w:pPr>
        <w:pStyle w:val="NIEARTTEKSTtekstnieartykuowanynppodstprawnarozplubpreambua"/>
      </w:pPr>
      <w:r>
        <w:t xml:space="preserve">La 3D-MXE (DMXE, </w:t>
      </w:r>
      <w:proofErr w:type="spellStart"/>
      <w:r>
        <w:t>Deoximetoxetamina</w:t>
      </w:r>
      <w:proofErr w:type="spellEnd"/>
      <w:r>
        <w:t>, 2-(</w:t>
      </w:r>
      <w:proofErr w:type="spellStart"/>
      <w:r>
        <w:t>etilamino</w:t>
      </w:r>
      <w:proofErr w:type="spellEnd"/>
      <w:r>
        <w:t>)-2-(3-</w:t>
      </w:r>
      <w:proofErr w:type="gramStart"/>
      <w:r>
        <w:t>metilfenil)ciclohexan</w:t>
      </w:r>
      <w:proofErr w:type="gramEnd"/>
      <w:r>
        <w:t xml:space="preserve">-1-ona) pertenece al grupo de </w:t>
      </w:r>
      <w:proofErr w:type="spellStart"/>
      <w:r>
        <w:t>arilciclohexamina</w:t>
      </w:r>
      <w:proofErr w:type="spellEnd"/>
      <w:r>
        <w:t xml:space="preserve">. Es estructuralmente similar a la </w:t>
      </w:r>
      <w:proofErr w:type="spellStart"/>
      <w:r>
        <w:t>metoxetamina</w:t>
      </w:r>
      <w:proofErr w:type="spellEnd"/>
      <w:r>
        <w:t xml:space="preserve"> controlada a nivel nacional (MXE pertenece a las sustancias psicotrópicas del grupo II-P) y 2-oxo-PCE, que se clasifica como una nueva sustancia psicotrópica. La </w:t>
      </w:r>
      <w:proofErr w:type="spellStart"/>
      <w:r>
        <w:t>deoximetoxetamina</w:t>
      </w:r>
      <w:proofErr w:type="spellEnd"/>
      <w:r>
        <w:t xml:space="preserve">, </w:t>
      </w:r>
      <w:proofErr w:type="spellStart"/>
      <w:r>
        <w:t>metoxetamina</w:t>
      </w:r>
      <w:proofErr w:type="spellEnd"/>
      <w:r>
        <w:t xml:space="preserve"> y 2-oxo-PCE difieren en la sustitución de 3-fenilo, seguido por el grupo metilo, hidrógeno y el grupo </w:t>
      </w:r>
      <w:proofErr w:type="spellStart"/>
      <w:r>
        <w:t>metoxil</w:t>
      </w:r>
      <w:proofErr w:type="spellEnd"/>
      <w:r>
        <w:t xml:space="preserve">. Sobre la base de su similitud estructural con las </w:t>
      </w:r>
      <w:proofErr w:type="spellStart"/>
      <w:r>
        <w:t>arilociclohexaminas</w:t>
      </w:r>
      <w:proofErr w:type="spellEnd"/>
      <w:r>
        <w:t xml:space="preserve"> conocidas, se sospecha que la sustancia tendrá un efecto disociativo. Esta sustancia en cuestión puede ser alucinógena. La tolerancia a la sustancia en cuestión está aumentando rápidamente. En la República de Polonia, 3D-MXE fue identificada por primera vez en 2021 por el Departamento de Medicina Forense de la Universidad Médica de Poznań. También se ha identificado en: Austria, Bélgica, Dinamarca, Finlandia, Francia, Alemania, Suecia y Hungría.</w:t>
      </w:r>
    </w:p>
    <w:p w14:paraId="3020A05D" w14:textId="315B66D4" w:rsidR="002030B2" w:rsidRPr="002030B2" w:rsidRDefault="002030B2" w:rsidP="009465B3">
      <w:pPr>
        <w:pStyle w:val="NIEARTTEKSTtekstnieartykuowanynppodstprawnarozplubpreambua"/>
      </w:pPr>
      <w:r>
        <w:t>La MXPR (</w:t>
      </w:r>
      <w:proofErr w:type="spellStart"/>
      <w:r>
        <w:t>metoxipropamina</w:t>
      </w:r>
      <w:proofErr w:type="spellEnd"/>
      <w:r>
        <w:t>, 2-(3-metoxifenil)-2-(</w:t>
      </w:r>
      <w:proofErr w:type="spellStart"/>
      <w:proofErr w:type="gramStart"/>
      <w:r>
        <w:t>propilamino</w:t>
      </w:r>
      <w:proofErr w:type="spellEnd"/>
      <w:r>
        <w:t>)ciclohexan</w:t>
      </w:r>
      <w:proofErr w:type="gramEnd"/>
      <w:r>
        <w:t xml:space="preserve">-1-ona) pertenece al grupo de </w:t>
      </w:r>
      <w:proofErr w:type="spellStart"/>
      <w:r>
        <w:t>arilciclohexamina</w:t>
      </w:r>
      <w:proofErr w:type="spellEnd"/>
      <w:r>
        <w:t xml:space="preserve">. La MXPR es un homólogo más alto de la </w:t>
      </w:r>
      <w:proofErr w:type="spellStart"/>
      <w:r>
        <w:t>metoxetamina</w:t>
      </w:r>
      <w:proofErr w:type="spellEnd"/>
      <w:r>
        <w:t xml:space="preserve"> (MXE). Estas sustancias difieren en sustituyentes por los átomos de nitrógeno, para </w:t>
      </w:r>
      <w:proofErr w:type="spellStart"/>
      <w:r>
        <w:t>MXPr</w:t>
      </w:r>
      <w:proofErr w:type="spellEnd"/>
      <w:r>
        <w:t xml:space="preserve"> es un grupo propilo, y para MXE el grupo etilo. La MXPR también exhibe similitudes estructurales con la ketamina, la </w:t>
      </w:r>
      <w:proofErr w:type="spellStart"/>
      <w:r>
        <w:t>descloroketamina</w:t>
      </w:r>
      <w:proofErr w:type="spellEnd"/>
      <w:r>
        <w:t xml:space="preserve"> y 3-MeO-PCE. La </w:t>
      </w:r>
      <w:proofErr w:type="spellStart"/>
      <w:r>
        <w:t>metoxipropamina</w:t>
      </w:r>
      <w:proofErr w:type="spellEnd"/>
      <w:r>
        <w:t xml:space="preserve"> tiene un centro quiral, por lo que hay dos enantiómeros. Sobre la base de una similitud estructural con las </w:t>
      </w:r>
      <w:proofErr w:type="spellStart"/>
      <w:r>
        <w:t>arilociclohexaminas</w:t>
      </w:r>
      <w:proofErr w:type="spellEnd"/>
      <w:r>
        <w:t xml:space="preserve"> conocidas, se sospecha que </w:t>
      </w:r>
      <w:proofErr w:type="spellStart"/>
      <w:r>
        <w:t>MXPr</w:t>
      </w:r>
      <w:proofErr w:type="spellEnd"/>
      <w:r>
        <w:t xml:space="preserve"> tiene un efecto disociativo. Las dosis altas pueden provocar pánico y manía. En la República de Polonia, la </w:t>
      </w:r>
      <w:proofErr w:type="spellStart"/>
      <w:r>
        <w:t>MXPr</w:t>
      </w:r>
      <w:proofErr w:type="spellEnd"/>
      <w:r>
        <w:t xml:space="preserve"> fue identificada cuatro veces en 2021, una vez por el Laboratorio Forense Central de la Policía, y tres veces por la Oficina de Aduanas e Impuestos de Mazowiecki en Varsovia y la Oficina de Aduanas y Fiscales de </w:t>
      </w:r>
      <w:proofErr w:type="spellStart"/>
      <w:r>
        <w:t>Podlaski</w:t>
      </w:r>
      <w:proofErr w:type="spellEnd"/>
      <w:r>
        <w:t xml:space="preserve"> en Białystok. No hubo intoxicaciones o muertes resultantes del uso de </w:t>
      </w:r>
      <w:proofErr w:type="spellStart"/>
      <w:r>
        <w:t>MXPr</w:t>
      </w:r>
      <w:proofErr w:type="spellEnd"/>
      <w:r>
        <w:t xml:space="preserve"> en la República de Polonia. En Italia, se han reportado dos </w:t>
      </w:r>
      <w:r>
        <w:lastRenderedPageBreak/>
        <w:t xml:space="preserve">intoxicaciones graves con </w:t>
      </w:r>
      <w:proofErr w:type="spellStart"/>
      <w:r>
        <w:t>MXPr</w:t>
      </w:r>
      <w:proofErr w:type="spellEnd"/>
      <w:r>
        <w:t>. La sustancia ha sido identificada en Austria, Dinamarca, Bélgica, Estonia, Finlandia, Francia, Alemania, Noruega, Lituania, Luxemburgo, Rumanía, Eslovaquia, Eslovenia, Suecia, Italia y Hungría.</w:t>
      </w:r>
    </w:p>
    <w:p w14:paraId="6EB4E247" w14:textId="01B123DC" w:rsidR="002030B2" w:rsidRPr="002030B2" w:rsidRDefault="002030B2" w:rsidP="009465B3">
      <w:pPr>
        <w:pStyle w:val="NIEARTTEKSTtekstnieartykuowanynppodstprawnarozplubpreambua"/>
      </w:pPr>
      <w:r>
        <w:t xml:space="preserve">La </w:t>
      </w:r>
      <w:proofErr w:type="spellStart"/>
      <w:r>
        <w:t>MXiPr</w:t>
      </w:r>
      <w:proofErr w:type="spellEnd"/>
      <w:r>
        <w:t xml:space="preserve"> (</w:t>
      </w:r>
      <w:proofErr w:type="spellStart"/>
      <w:r>
        <w:t>Metoxiisopropamina</w:t>
      </w:r>
      <w:proofErr w:type="spellEnd"/>
      <w:r>
        <w:t>, 2-(</w:t>
      </w:r>
      <w:proofErr w:type="spellStart"/>
      <w:r>
        <w:t>isopropilamina</w:t>
      </w:r>
      <w:proofErr w:type="spellEnd"/>
      <w:r>
        <w:t>)-2-(3-</w:t>
      </w:r>
      <w:proofErr w:type="gramStart"/>
      <w:r>
        <w:t>metoxifenil)ciclohexan</w:t>
      </w:r>
      <w:proofErr w:type="gramEnd"/>
      <w:r>
        <w:t xml:space="preserve">-1-ona) del grupo </w:t>
      </w:r>
      <w:proofErr w:type="spellStart"/>
      <w:r>
        <w:t>arilciclohexamina</w:t>
      </w:r>
      <w:proofErr w:type="spellEnd"/>
      <w:r>
        <w:t xml:space="preserve"> es un homólogo de la </w:t>
      </w:r>
      <w:proofErr w:type="spellStart"/>
      <w:r>
        <w:t>metoxetamina</w:t>
      </w:r>
      <w:proofErr w:type="spellEnd"/>
      <w:r>
        <w:t xml:space="preserve"> (MXE). Por el átomo de nitrógeno en </w:t>
      </w:r>
      <w:proofErr w:type="spellStart"/>
      <w:r>
        <w:t>MXiPr</w:t>
      </w:r>
      <w:proofErr w:type="spellEnd"/>
      <w:r>
        <w:t xml:space="preserve"> se sustituye un grupo isopropilo, mientras que para MXE se sustituye el grupo etilo. La </w:t>
      </w:r>
      <w:proofErr w:type="spellStart"/>
      <w:r>
        <w:t>MXiPr</w:t>
      </w:r>
      <w:proofErr w:type="spellEnd"/>
      <w:r>
        <w:t xml:space="preserve"> también exhibe similitudes estructurales con la ketamina, </w:t>
      </w:r>
      <w:proofErr w:type="spellStart"/>
      <w:r>
        <w:t>descloroketamina</w:t>
      </w:r>
      <w:proofErr w:type="spellEnd"/>
      <w:r>
        <w:t xml:space="preserve"> y 3-MeO-PCE. La similitud estructural con las </w:t>
      </w:r>
      <w:proofErr w:type="spellStart"/>
      <w:r>
        <w:t>arilociclohexaminas</w:t>
      </w:r>
      <w:proofErr w:type="spellEnd"/>
      <w:r>
        <w:t xml:space="preserve"> conocidas sugiere que </w:t>
      </w:r>
      <w:proofErr w:type="spellStart"/>
      <w:r>
        <w:t>MXiPr</w:t>
      </w:r>
      <w:proofErr w:type="spellEnd"/>
      <w:r>
        <w:t xml:space="preserve"> tendrá un efecto disociativo. En la República de Polonia, la </w:t>
      </w:r>
      <w:proofErr w:type="spellStart"/>
      <w:r>
        <w:t>MXiPr</w:t>
      </w:r>
      <w:proofErr w:type="spellEnd"/>
      <w:r>
        <w:t xml:space="preserve"> fue identificada en 2021 por la Oficina de Aduanas e Ingresos de Mazowiecki en Varsovia.</w:t>
      </w:r>
    </w:p>
    <w:p w14:paraId="3372DA18" w14:textId="1A84B121" w:rsidR="008D743A" w:rsidRDefault="002030B2" w:rsidP="009465B3">
      <w:pPr>
        <w:pStyle w:val="NIEARTTEKSTtekstnieartykuowanynppodstprawnarozplubpreambua"/>
      </w:pPr>
      <w:r>
        <w:t>En el Reglamento del Ministro de Sanidad de 17 de agosto de 2018, en el anexo n.º 3, «LISTA DE NUEVAS SUBSTANCIAS PSICOACTIVAS» en la «Parte 2 Derivados de la 2-feniletilamina – Grupo I-NPS» en el punto 2.2, letra a), frase: «Además, estos sustituyentes pueden formar un sistema cíclico en el que el átomo de nitrógeno está contenido en la estructura del anillo (por ejemplo, pirrolidina, piperidina).» se sustituyó por la siguiente frase: «Además, estos sustituyentes pueden formar un sistema cíclico en el que el átomo de nitrógeno está contenido en la estructura del anillo alifático heterocíclico». Esta modificación fue respaldada por la decisión del Equipo para la evaluación de los riesgos para la salud humana o la vida asociados con el uso de nuevas sustancias psicoactivas, de 4 de noviembre de 2021. Se pretendía identificar inequívocamente el anillo alifático heterocíclico como un sistema cíclico objetivo que contiene un átomo de nitrógeno que puede formar los sustituyentes de R1 y R2.</w:t>
      </w:r>
    </w:p>
    <w:p w14:paraId="09C69238" w14:textId="3F72D56F" w:rsidR="002030B2" w:rsidRPr="002030B2" w:rsidRDefault="002030B2" w:rsidP="009465B3">
      <w:pPr>
        <w:pStyle w:val="NIEARTTEKSTtekstnieartykuowanynppodstprawnarozplubpreambua"/>
      </w:pPr>
      <w:r>
        <w:t>Los cambios son una respuesta al desarrollo dinámico del mercado de nuevas sustancias psicoactivas que plantean el riesgo de envenenamiento, muerte, así como el desarrollo de la adicción. Por esta razón, es necesario garantizar que las definiciones de compuestos de los grupos NSP incluyan nuevas variantes de estas sustancias.</w:t>
      </w:r>
    </w:p>
    <w:p w14:paraId="21E417DB" w14:textId="45FF9F3F" w:rsidR="002030B2" w:rsidRPr="002030B2" w:rsidRDefault="002030B2" w:rsidP="009465B3">
      <w:pPr>
        <w:pStyle w:val="NIEARTTEKSTtekstnieartykuowanynppodstprawnarozplubpreambua"/>
      </w:pPr>
      <w:r>
        <w:t>El presente Reglamento entrará en vigor el decimocuarto día siguiente al de su publicación.</w:t>
      </w:r>
    </w:p>
    <w:p w14:paraId="4673F829" w14:textId="77777777" w:rsidR="002030B2" w:rsidRPr="002030B2" w:rsidRDefault="002030B2" w:rsidP="009465B3">
      <w:pPr>
        <w:pStyle w:val="NIEARTTEKSTtekstnieartykuowanynppodstprawnarozplubpreambua"/>
      </w:pPr>
      <w:r>
        <w:t>El proyecto de Reglamento no exige que se elaboren disposiciones transitorias al respecto.</w:t>
      </w:r>
    </w:p>
    <w:p w14:paraId="6A04214C" w14:textId="6222953C" w:rsidR="002030B2" w:rsidRPr="002030B2" w:rsidRDefault="002030B2" w:rsidP="009465B3">
      <w:pPr>
        <w:pStyle w:val="NIEARTTEKSTtekstnieartykuowanynppodstprawnarozplubpreambua"/>
      </w:pPr>
      <w:r>
        <w:lastRenderedPageBreak/>
        <w:t>El proyecto de Reglamento tiene poco impacto en las actividades de los microempresarios y las pequeñas y medianas empresas al mejorar el funcionamiento del mercado para posibles usos legales de nuevas sustancias psicoactivas.</w:t>
      </w:r>
    </w:p>
    <w:p w14:paraId="3B7E49BC" w14:textId="62517042" w:rsidR="002030B2" w:rsidRPr="002030B2" w:rsidRDefault="002030B2" w:rsidP="009465B3">
      <w:pPr>
        <w:pStyle w:val="NIEARTTEKSTtekstnieartykuowanynppodstprawnarozplubpreambua"/>
      </w:pPr>
      <w:r>
        <w:t>No es necesario presentar el proyecto de Reglamento a las autoridades e instituciones competentes de la Unión Europea, incluido el Banco Central Europeo, con el fin de obtener dictámenes o de presentar una notificación, una consulta o un acuerdo.</w:t>
      </w:r>
    </w:p>
    <w:p w14:paraId="76DF8510" w14:textId="77777777" w:rsidR="002030B2" w:rsidRPr="002030B2" w:rsidRDefault="002030B2" w:rsidP="009465B3">
      <w:pPr>
        <w:pStyle w:val="NIEARTTEKSTtekstnieartykuowanynppodstprawnarozplubpreambua"/>
      </w:pPr>
      <w:r>
        <w:t>El proyecto de Reglamento se ajusta a la legislación de la Unión Europea.</w:t>
      </w:r>
    </w:p>
    <w:p w14:paraId="7800B9DC" w14:textId="77777777" w:rsidR="002030B2" w:rsidRPr="002030B2" w:rsidRDefault="002030B2" w:rsidP="002B60E5">
      <w:pPr>
        <w:pStyle w:val="NIEARTTEKSTtekstnieartykuowanynppodstprawnarozplubpreambua"/>
      </w:pPr>
      <w:r>
        <w:t xml:space="preserve">Las disposiciones contenidas en el proyecto constituyen reglamentos técnicos en el sentido del Reglamento del Consejo de Ministros, de 23 de diciembre de </w:t>
      </w:r>
      <w:proofErr w:type="gramStart"/>
      <w:r>
        <w:t>2002,</w:t>
      </w:r>
      <w:r>
        <w:rPr>
          <w:rStyle w:val="Kkursywa"/>
          <w:i w:val="0"/>
        </w:rPr>
        <w:t>sobre</w:t>
      </w:r>
      <w:proofErr w:type="gramEnd"/>
      <w:r>
        <w:rPr>
          <w:rStyle w:val="Kkursywa"/>
          <w:i w:val="0"/>
        </w:rPr>
        <w:t xml:space="preserve"> el funcionamiento del sistema nacional de notificación de normas y actos jurídicos</w:t>
      </w:r>
      <w:r>
        <w:t xml:space="preserve"> (Boletín Oficial, punto 2039 y Boletín Oficial de 2004, punto 597), por lo tanto, el proyecto de Reglamento está sujeto a un procedimiento de notificación a la Comisión Europea.</w:t>
      </w:r>
    </w:p>
    <w:p w14:paraId="0CD599D0" w14:textId="2ECC2C3A" w:rsidR="00261A16" w:rsidRPr="00737F6A" w:rsidRDefault="002030B2" w:rsidP="009B651C">
      <w:pPr>
        <w:pStyle w:val="NIEARTTEKSTtekstnieartykuowanynppodstprawnarozplubpreambua"/>
      </w:pPr>
      <w:r>
        <w:t>Al mismo tiempo, cabe señalar que no es posible adoptar medidas alternativas a las del proyecto de Reglamento que permitan alcanzar el objetivo establecido.</w:t>
      </w:r>
    </w:p>
    <w:sectPr w:rsidR="00261A16" w:rsidRPr="00737F6A" w:rsidSect="001A7F1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D8930" w14:textId="77777777" w:rsidR="004E5BF7" w:rsidRDefault="004E5BF7">
      <w:r>
        <w:separator/>
      </w:r>
    </w:p>
  </w:endnote>
  <w:endnote w:type="continuationSeparator" w:id="0">
    <w:p w14:paraId="0D90FB02" w14:textId="77777777" w:rsidR="004E5BF7" w:rsidRDefault="004E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3D8F" w14:textId="77777777" w:rsidR="0051543C" w:rsidRDefault="00515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BEAA" w14:textId="77777777" w:rsidR="0051543C" w:rsidRDefault="00515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563F" w14:textId="77777777" w:rsidR="0051543C" w:rsidRDefault="00515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C31C" w14:textId="77777777" w:rsidR="004E5BF7" w:rsidRDefault="004E5BF7">
      <w:r>
        <w:separator/>
      </w:r>
    </w:p>
  </w:footnote>
  <w:footnote w:type="continuationSeparator" w:id="0">
    <w:p w14:paraId="5D60E330" w14:textId="77777777" w:rsidR="004E5BF7" w:rsidRDefault="004E5BF7">
      <w:r>
        <w:continuationSeparator/>
      </w:r>
    </w:p>
  </w:footnote>
  <w:footnote w:id="1">
    <w:p w14:paraId="7EC5960F" w14:textId="0298EF79" w:rsidR="002030B2" w:rsidRPr="00173B54" w:rsidRDefault="00F56593" w:rsidP="00B00E75">
      <w:pPr>
        <w:pStyle w:val="ODNONIKtreodnonika"/>
      </w:pPr>
      <w:r>
        <w:rPr>
          <w:rStyle w:val="FootnoteReference"/>
        </w:rPr>
        <w:footnoteRef/>
      </w:r>
      <w:r>
        <w:rPr>
          <w:rStyle w:val="IGindeksgrny"/>
        </w:rPr>
        <w:t>)</w:t>
      </w:r>
      <w:r>
        <w:rPr>
          <w:rStyle w:val="IGindeksgrny"/>
        </w:rPr>
        <w:tab/>
      </w:r>
      <w:r>
        <w:t xml:space="preserve">El </w:t>
      </w:r>
      <w:proofErr w:type="gramStart"/>
      <w:r>
        <w:t>Ministro</w:t>
      </w:r>
      <w:proofErr w:type="gramEnd"/>
      <w:r>
        <w:t xml:space="preserve"> de Sanidad dirige el departamento de Administración pública de Sanidad, de acuerdo con el artículo 1, apartado 2, del Reglamento del Presidente del Consejo de Ministros, de 27 de agosto de 2020, relativo al ámbito de actuación específico del Ministro de Sanidad (Boletín Oficial de 2021, punto 932).</w:t>
      </w:r>
    </w:p>
  </w:footnote>
  <w:footnote w:id="2">
    <w:p w14:paraId="75CA28CE" w14:textId="396FFDEE" w:rsidR="00B00E75" w:rsidRPr="00B00E75" w:rsidRDefault="00B00E75" w:rsidP="00B00E75">
      <w:pPr>
        <w:pStyle w:val="ODNONIKtreodnonika"/>
        <w:rPr>
          <w:vertAlign w:val="superscript"/>
        </w:rPr>
      </w:pPr>
      <w:r>
        <w:rPr>
          <w:rStyle w:val="FootnoteReference"/>
        </w:rPr>
        <w:t>2)</w:t>
      </w:r>
      <w:r>
        <w:tab/>
        <w:t xml:space="preserve">Este Reglamento transpone la Directiva </w:t>
      </w:r>
      <w:proofErr w:type="gramStart"/>
      <w:r>
        <w:t>Delegada</w:t>
      </w:r>
      <w:proofErr w:type="gramEnd"/>
      <w:r>
        <w:t xml:space="preserve"> (UE) 2022/1326 de la Comisión, de 18 de marzo de 2022, por la que se modifica el anexo de la Decisión marco 2004/757/JAI del Consejo en lo que respecta a la inclusión de nuevas sustancias psicotrópicas en la definición de «droga» (DO L 200 de 29.7.2022, p. 148).</w:t>
      </w:r>
    </w:p>
  </w:footnote>
  <w:footnote w:id="3">
    <w:p w14:paraId="65E78DCC" w14:textId="2257FECE" w:rsidR="00B00E75" w:rsidRDefault="00B00E75" w:rsidP="007920BD">
      <w:pPr>
        <w:pStyle w:val="ODNONIKtreodnonika"/>
      </w:pPr>
      <w:r>
        <w:rPr>
          <w:rStyle w:val="FootnoteReference"/>
        </w:rPr>
        <w:t>3)</w:t>
      </w:r>
      <w:r>
        <w:tab/>
        <w:t>El presente Reglamento se notificó a la Comisión Europea el 28 de marzo de 2023, con el n.º 2023/145/PL, de acuerdo con el artículo 4 del Reglamento del Consejo de Ministros, de 23 de diciembre de 2002, sobre el funcionamiento del sistema nacional de notificación de normas y actos jurídicos (Boletín Oficial de la República de Polonia, punto 2039, y de 2004, punto 597), que transpone las disposiciones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E0B4" w14:textId="77777777" w:rsidR="0051543C" w:rsidRDefault="00515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B8B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t>3</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885B" w14:textId="77777777" w:rsidR="0051543C" w:rsidRDefault="00515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ED2CBA"/>
    <w:multiLevelType w:val="hybridMultilevel"/>
    <w:tmpl w:val="95B6F022"/>
    <w:lvl w:ilvl="0" w:tplc="F406158A">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4430677"/>
    <w:multiLevelType w:val="hybridMultilevel"/>
    <w:tmpl w:val="7B8E9D6C"/>
    <w:lvl w:ilvl="0" w:tplc="EFECD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5F27DB"/>
    <w:multiLevelType w:val="hybridMultilevel"/>
    <w:tmpl w:val="0A5474D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4" w15:restartNumberingAfterBreak="0">
    <w:nsid w:val="5C9C1BFE"/>
    <w:multiLevelType w:val="hybridMultilevel"/>
    <w:tmpl w:val="C73E18F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20"/>
  </w:num>
  <w:num w:numId="4">
    <w:abstractNumId w:val="20"/>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6"/>
  </w:num>
  <w:num w:numId="12">
    <w:abstractNumId w:val="10"/>
  </w:num>
  <w:num w:numId="13">
    <w:abstractNumId w:val="17"/>
  </w:num>
  <w:num w:numId="14">
    <w:abstractNumId w:val="28"/>
  </w:num>
  <w:num w:numId="15">
    <w:abstractNumId w:val="16"/>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0"/>
  </w:num>
  <w:num w:numId="30">
    <w:abstractNumId w:val="36"/>
  </w:num>
  <w:num w:numId="31">
    <w:abstractNumId w:val="21"/>
  </w:num>
  <w:num w:numId="32">
    <w:abstractNumId w:val="11"/>
  </w:num>
  <w:num w:numId="33">
    <w:abstractNumId w:val="32"/>
  </w:num>
  <w:num w:numId="34">
    <w:abstractNumId w:val="22"/>
  </w:num>
  <w:num w:numId="35">
    <w:abstractNumId w:val="19"/>
  </w:num>
  <w:num w:numId="36">
    <w:abstractNumId w:val="24"/>
  </w:num>
  <w:num w:numId="37">
    <w:abstractNumId w:val="29"/>
  </w:num>
  <w:num w:numId="38">
    <w:abstractNumId w:val="26"/>
  </w:num>
  <w:num w:numId="39">
    <w:abstractNumId w:val="14"/>
  </w:num>
  <w:num w:numId="40">
    <w:abstractNumId w:val="31"/>
  </w:num>
  <w:num w:numId="41">
    <w:abstractNumId w:val="30"/>
  </w:num>
  <w:num w:numId="42">
    <w:abstractNumId w:val="23"/>
  </w:num>
  <w:num w:numId="43">
    <w:abstractNumId w:val="38"/>
  </w:num>
  <w:num w:numId="44">
    <w:abstractNumId w:val="13"/>
  </w:num>
  <w:num w:numId="45">
    <w:abstractNumId w:val="34"/>
  </w:num>
  <w:num w:numId="46">
    <w:abstractNumId w:val="12"/>
  </w:num>
  <w:num w:numId="47">
    <w:abstractNumId w:val="33"/>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56"/>
    <w:rsid w:val="000012DA"/>
    <w:rsid w:val="0000246E"/>
    <w:rsid w:val="00003862"/>
    <w:rsid w:val="00012A35"/>
    <w:rsid w:val="00016099"/>
    <w:rsid w:val="00017DC2"/>
    <w:rsid w:val="00017F9C"/>
    <w:rsid w:val="0002052F"/>
    <w:rsid w:val="00020B29"/>
    <w:rsid w:val="00021522"/>
    <w:rsid w:val="00023471"/>
    <w:rsid w:val="00023F13"/>
    <w:rsid w:val="00027393"/>
    <w:rsid w:val="00030634"/>
    <w:rsid w:val="000319C1"/>
    <w:rsid w:val="00031A8B"/>
    <w:rsid w:val="00031BCA"/>
    <w:rsid w:val="000330FA"/>
    <w:rsid w:val="0003362F"/>
    <w:rsid w:val="00033BA3"/>
    <w:rsid w:val="00036B63"/>
    <w:rsid w:val="00037E1A"/>
    <w:rsid w:val="00042C33"/>
    <w:rsid w:val="00043495"/>
    <w:rsid w:val="00046A75"/>
    <w:rsid w:val="00047312"/>
    <w:rsid w:val="000508BD"/>
    <w:rsid w:val="000517AB"/>
    <w:rsid w:val="00052F2B"/>
    <w:rsid w:val="0005339C"/>
    <w:rsid w:val="00054296"/>
    <w:rsid w:val="0005478A"/>
    <w:rsid w:val="0005571B"/>
    <w:rsid w:val="00057AB3"/>
    <w:rsid w:val="00060076"/>
    <w:rsid w:val="00060432"/>
    <w:rsid w:val="00060D87"/>
    <w:rsid w:val="00061180"/>
    <w:rsid w:val="000615A5"/>
    <w:rsid w:val="00061EC7"/>
    <w:rsid w:val="00064E4C"/>
    <w:rsid w:val="0006614F"/>
    <w:rsid w:val="00066901"/>
    <w:rsid w:val="00066AE5"/>
    <w:rsid w:val="00070264"/>
    <w:rsid w:val="00070B6F"/>
    <w:rsid w:val="00071BEE"/>
    <w:rsid w:val="000736CD"/>
    <w:rsid w:val="0007533B"/>
    <w:rsid w:val="0007545D"/>
    <w:rsid w:val="000760BF"/>
    <w:rsid w:val="0007613E"/>
    <w:rsid w:val="00076BFC"/>
    <w:rsid w:val="00080016"/>
    <w:rsid w:val="000814A7"/>
    <w:rsid w:val="00082CC2"/>
    <w:rsid w:val="0008557B"/>
    <w:rsid w:val="000859C5"/>
    <w:rsid w:val="00085CE7"/>
    <w:rsid w:val="000906EE"/>
    <w:rsid w:val="00091BA2"/>
    <w:rsid w:val="00091F31"/>
    <w:rsid w:val="000944EF"/>
    <w:rsid w:val="0009732D"/>
    <w:rsid w:val="000973F0"/>
    <w:rsid w:val="000A1296"/>
    <w:rsid w:val="000A1C27"/>
    <w:rsid w:val="000A1DAD"/>
    <w:rsid w:val="000A2649"/>
    <w:rsid w:val="000A28C6"/>
    <w:rsid w:val="000A323B"/>
    <w:rsid w:val="000A4D44"/>
    <w:rsid w:val="000B2478"/>
    <w:rsid w:val="000B298D"/>
    <w:rsid w:val="000B5B2D"/>
    <w:rsid w:val="000B5DCE"/>
    <w:rsid w:val="000B633B"/>
    <w:rsid w:val="000C05BA"/>
    <w:rsid w:val="000C0E8F"/>
    <w:rsid w:val="000C4BC4"/>
    <w:rsid w:val="000D0110"/>
    <w:rsid w:val="000D0988"/>
    <w:rsid w:val="000D0D6B"/>
    <w:rsid w:val="000D2468"/>
    <w:rsid w:val="000D318A"/>
    <w:rsid w:val="000D39D6"/>
    <w:rsid w:val="000D54B5"/>
    <w:rsid w:val="000D6173"/>
    <w:rsid w:val="000D673A"/>
    <w:rsid w:val="000D6F83"/>
    <w:rsid w:val="000E25CC"/>
    <w:rsid w:val="000E3694"/>
    <w:rsid w:val="000E490F"/>
    <w:rsid w:val="000E6241"/>
    <w:rsid w:val="000E65C3"/>
    <w:rsid w:val="000F2BE3"/>
    <w:rsid w:val="000F3367"/>
    <w:rsid w:val="000F3D0D"/>
    <w:rsid w:val="000F4BE5"/>
    <w:rsid w:val="000F6ED4"/>
    <w:rsid w:val="000F7A6E"/>
    <w:rsid w:val="001006C5"/>
    <w:rsid w:val="00102B7A"/>
    <w:rsid w:val="001042BA"/>
    <w:rsid w:val="00106D03"/>
    <w:rsid w:val="00110465"/>
    <w:rsid w:val="00110628"/>
    <w:rsid w:val="0011245A"/>
    <w:rsid w:val="00113AD6"/>
    <w:rsid w:val="00114865"/>
    <w:rsid w:val="0011493E"/>
    <w:rsid w:val="00114B36"/>
    <w:rsid w:val="00115B72"/>
    <w:rsid w:val="001209EC"/>
    <w:rsid w:val="00120A9E"/>
    <w:rsid w:val="001230C6"/>
    <w:rsid w:val="00125A9C"/>
    <w:rsid w:val="00125B9C"/>
    <w:rsid w:val="001270A2"/>
    <w:rsid w:val="001303C9"/>
    <w:rsid w:val="00131237"/>
    <w:rsid w:val="001329AC"/>
    <w:rsid w:val="00134CA0"/>
    <w:rsid w:val="00137A27"/>
    <w:rsid w:val="0014026F"/>
    <w:rsid w:val="00143C79"/>
    <w:rsid w:val="00147A47"/>
    <w:rsid w:val="00147AA1"/>
    <w:rsid w:val="00147F26"/>
    <w:rsid w:val="001520CF"/>
    <w:rsid w:val="00153B3A"/>
    <w:rsid w:val="0015667C"/>
    <w:rsid w:val="00157110"/>
    <w:rsid w:val="0015742A"/>
    <w:rsid w:val="00157DA1"/>
    <w:rsid w:val="00163147"/>
    <w:rsid w:val="00164910"/>
    <w:rsid w:val="00164C57"/>
    <w:rsid w:val="00164C9D"/>
    <w:rsid w:val="001652C6"/>
    <w:rsid w:val="00172F7A"/>
    <w:rsid w:val="00173150"/>
    <w:rsid w:val="00173390"/>
    <w:rsid w:val="001736F0"/>
    <w:rsid w:val="00173BB3"/>
    <w:rsid w:val="001740D0"/>
    <w:rsid w:val="00174F2C"/>
    <w:rsid w:val="00180F2A"/>
    <w:rsid w:val="00184B91"/>
    <w:rsid w:val="00184D4A"/>
    <w:rsid w:val="00184E48"/>
    <w:rsid w:val="00186EC1"/>
    <w:rsid w:val="00191E1F"/>
    <w:rsid w:val="0019288E"/>
    <w:rsid w:val="0019473B"/>
    <w:rsid w:val="001952B1"/>
    <w:rsid w:val="00196821"/>
    <w:rsid w:val="00196E39"/>
    <w:rsid w:val="00197649"/>
    <w:rsid w:val="001A00CB"/>
    <w:rsid w:val="001A01FB"/>
    <w:rsid w:val="001A10E9"/>
    <w:rsid w:val="001A183D"/>
    <w:rsid w:val="001A2956"/>
    <w:rsid w:val="001A2B65"/>
    <w:rsid w:val="001A3CD3"/>
    <w:rsid w:val="001A54CC"/>
    <w:rsid w:val="001A56F7"/>
    <w:rsid w:val="001A5B6A"/>
    <w:rsid w:val="001A5BEF"/>
    <w:rsid w:val="001A7F15"/>
    <w:rsid w:val="001B342E"/>
    <w:rsid w:val="001B4F93"/>
    <w:rsid w:val="001B5908"/>
    <w:rsid w:val="001B6233"/>
    <w:rsid w:val="001C1832"/>
    <w:rsid w:val="001C188C"/>
    <w:rsid w:val="001D1783"/>
    <w:rsid w:val="001D53CD"/>
    <w:rsid w:val="001D55A3"/>
    <w:rsid w:val="001D5AF5"/>
    <w:rsid w:val="001E06B6"/>
    <w:rsid w:val="001E1968"/>
    <w:rsid w:val="001E1E73"/>
    <w:rsid w:val="001E3411"/>
    <w:rsid w:val="001E4E0C"/>
    <w:rsid w:val="001E526D"/>
    <w:rsid w:val="001E5655"/>
    <w:rsid w:val="001E684A"/>
    <w:rsid w:val="001E6FCE"/>
    <w:rsid w:val="001E7AD4"/>
    <w:rsid w:val="001F1832"/>
    <w:rsid w:val="001F220F"/>
    <w:rsid w:val="001F25B3"/>
    <w:rsid w:val="001F26B9"/>
    <w:rsid w:val="001F6616"/>
    <w:rsid w:val="00200064"/>
    <w:rsid w:val="00202BD4"/>
    <w:rsid w:val="002030B2"/>
    <w:rsid w:val="00204A97"/>
    <w:rsid w:val="002065D3"/>
    <w:rsid w:val="002105B3"/>
    <w:rsid w:val="002114EF"/>
    <w:rsid w:val="002166AD"/>
    <w:rsid w:val="00217871"/>
    <w:rsid w:val="00221ED8"/>
    <w:rsid w:val="002231EA"/>
    <w:rsid w:val="00223FDF"/>
    <w:rsid w:val="00226901"/>
    <w:rsid w:val="002279C0"/>
    <w:rsid w:val="002300B8"/>
    <w:rsid w:val="0023727E"/>
    <w:rsid w:val="00242081"/>
    <w:rsid w:val="00243777"/>
    <w:rsid w:val="002438EB"/>
    <w:rsid w:val="002441CD"/>
    <w:rsid w:val="002501A3"/>
    <w:rsid w:val="0025043D"/>
    <w:rsid w:val="0025105D"/>
    <w:rsid w:val="0025166C"/>
    <w:rsid w:val="002555D4"/>
    <w:rsid w:val="00255752"/>
    <w:rsid w:val="00255B9E"/>
    <w:rsid w:val="00261A16"/>
    <w:rsid w:val="00263522"/>
    <w:rsid w:val="00264EC6"/>
    <w:rsid w:val="00266C05"/>
    <w:rsid w:val="00270E39"/>
    <w:rsid w:val="00271013"/>
    <w:rsid w:val="002720C0"/>
    <w:rsid w:val="00273FE4"/>
    <w:rsid w:val="00274143"/>
    <w:rsid w:val="002765B4"/>
    <w:rsid w:val="00276A94"/>
    <w:rsid w:val="00284246"/>
    <w:rsid w:val="00284F0C"/>
    <w:rsid w:val="00286739"/>
    <w:rsid w:val="0029364D"/>
    <w:rsid w:val="0029405D"/>
    <w:rsid w:val="00294FA6"/>
    <w:rsid w:val="00295A6F"/>
    <w:rsid w:val="002A20C4"/>
    <w:rsid w:val="002A570F"/>
    <w:rsid w:val="002A717F"/>
    <w:rsid w:val="002A7292"/>
    <w:rsid w:val="002A7358"/>
    <w:rsid w:val="002A7902"/>
    <w:rsid w:val="002A7A4D"/>
    <w:rsid w:val="002B0F6B"/>
    <w:rsid w:val="002B23B8"/>
    <w:rsid w:val="002B4429"/>
    <w:rsid w:val="002B60E5"/>
    <w:rsid w:val="002B68A6"/>
    <w:rsid w:val="002B7848"/>
    <w:rsid w:val="002B7FAF"/>
    <w:rsid w:val="002C4D2D"/>
    <w:rsid w:val="002C592B"/>
    <w:rsid w:val="002D0641"/>
    <w:rsid w:val="002D0C4F"/>
    <w:rsid w:val="002D1364"/>
    <w:rsid w:val="002D4D30"/>
    <w:rsid w:val="002D4E3C"/>
    <w:rsid w:val="002D5000"/>
    <w:rsid w:val="002D598D"/>
    <w:rsid w:val="002D701D"/>
    <w:rsid w:val="002D7188"/>
    <w:rsid w:val="002D7B6D"/>
    <w:rsid w:val="002E032E"/>
    <w:rsid w:val="002E1DE3"/>
    <w:rsid w:val="002E2AB6"/>
    <w:rsid w:val="002E3F34"/>
    <w:rsid w:val="002E4450"/>
    <w:rsid w:val="002E4873"/>
    <w:rsid w:val="002E5F79"/>
    <w:rsid w:val="002E64FA"/>
    <w:rsid w:val="002E7BC0"/>
    <w:rsid w:val="002E7D32"/>
    <w:rsid w:val="002F0A00"/>
    <w:rsid w:val="002F0CFA"/>
    <w:rsid w:val="002F4290"/>
    <w:rsid w:val="002F669F"/>
    <w:rsid w:val="002F6764"/>
    <w:rsid w:val="00301C97"/>
    <w:rsid w:val="00305AEA"/>
    <w:rsid w:val="0031004C"/>
    <w:rsid w:val="003105F6"/>
    <w:rsid w:val="00311297"/>
    <w:rsid w:val="003113BE"/>
    <w:rsid w:val="003122CA"/>
    <w:rsid w:val="0031369A"/>
    <w:rsid w:val="00313B90"/>
    <w:rsid w:val="003148FD"/>
    <w:rsid w:val="00315969"/>
    <w:rsid w:val="003164DB"/>
    <w:rsid w:val="00317C0E"/>
    <w:rsid w:val="00321080"/>
    <w:rsid w:val="003211C1"/>
    <w:rsid w:val="00321C8D"/>
    <w:rsid w:val="003229EA"/>
    <w:rsid w:val="00322D45"/>
    <w:rsid w:val="0032569A"/>
    <w:rsid w:val="00325A1F"/>
    <w:rsid w:val="003268F9"/>
    <w:rsid w:val="00330BAF"/>
    <w:rsid w:val="003320FD"/>
    <w:rsid w:val="00334C83"/>
    <w:rsid w:val="00334E3A"/>
    <w:rsid w:val="00335258"/>
    <w:rsid w:val="00335D32"/>
    <w:rsid w:val="003361DD"/>
    <w:rsid w:val="003402A3"/>
    <w:rsid w:val="00341A6A"/>
    <w:rsid w:val="00343592"/>
    <w:rsid w:val="00344F3F"/>
    <w:rsid w:val="00345B9C"/>
    <w:rsid w:val="00352D8A"/>
    <w:rsid w:val="00352DAE"/>
    <w:rsid w:val="00354EB9"/>
    <w:rsid w:val="00355DC4"/>
    <w:rsid w:val="00355E58"/>
    <w:rsid w:val="00356825"/>
    <w:rsid w:val="003602AE"/>
    <w:rsid w:val="00360929"/>
    <w:rsid w:val="00361FF0"/>
    <w:rsid w:val="00362279"/>
    <w:rsid w:val="00363C22"/>
    <w:rsid w:val="003647D5"/>
    <w:rsid w:val="003674B0"/>
    <w:rsid w:val="00370C0C"/>
    <w:rsid w:val="00370F25"/>
    <w:rsid w:val="0037727C"/>
    <w:rsid w:val="00377E70"/>
    <w:rsid w:val="00380904"/>
    <w:rsid w:val="00380B30"/>
    <w:rsid w:val="003823EE"/>
    <w:rsid w:val="00382960"/>
    <w:rsid w:val="00382E39"/>
    <w:rsid w:val="003832A2"/>
    <w:rsid w:val="003834F6"/>
    <w:rsid w:val="00383F82"/>
    <w:rsid w:val="003846F7"/>
    <w:rsid w:val="003851ED"/>
    <w:rsid w:val="00385B39"/>
    <w:rsid w:val="00386785"/>
    <w:rsid w:val="00386EFF"/>
    <w:rsid w:val="00390E89"/>
    <w:rsid w:val="00391B1A"/>
    <w:rsid w:val="00394423"/>
    <w:rsid w:val="00395060"/>
    <w:rsid w:val="00396942"/>
    <w:rsid w:val="00396B49"/>
    <w:rsid w:val="00396E3E"/>
    <w:rsid w:val="003A306E"/>
    <w:rsid w:val="003A3F2B"/>
    <w:rsid w:val="003A401E"/>
    <w:rsid w:val="003A60DC"/>
    <w:rsid w:val="003A6124"/>
    <w:rsid w:val="003A6A46"/>
    <w:rsid w:val="003A7A63"/>
    <w:rsid w:val="003B000C"/>
    <w:rsid w:val="003B0F1D"/>
    <w:rsid w:val="003B1BCD"/>
    <w:rsid w:val="003B310B"/>
    <w:rsid w:val="003B4A57"/>
    <w:rsid w:val="003B5BD4"/>
    <w:rsid w:val="003C0AD9"/>
    <w:rsid w:val="003C0ED0"/>
    <w:rsid w:val="003C1D49"/>
    <w:rsid w:val="003C1E21"/>
    <w:rsid w:val="003C35C4"/>
    <w:rsid w:val="003D12C2"/>
    <w:rsid w:val="003D31B9"/>
    <w:rsid w:val="003D3748"/>
    <w:rsid w:val="003D3867"/>
    <w:rsid w:val="003D532B"/>
    <w:rsid w:val="003E0D1A"/>
    <w:rsid w:val="003E2DA3"/>
    <w:rsid w:val="003F020D"/>
    <w:rsid w:val="003F03D9"/>
    <w:rsid w:val="003F2FBE"/>
    <w:rsid w:val="003F318D"/>
    <w:rsid w:val="003F563A"/>
    <w:rsid w:val="003F5BAE"/>
    <w:rsid w:val="003F6ED7"/>
    <w:rsid w:val="00401C84"/>
    <w:rsid w:val="00401E5E"/>
    <w:rsid w:val="00402159"/>
    <w:rsid w:val="00402C07"/>
    <w:rsid w:val="00403210"/>
    <w:rsid w:val="004035BB"/>
    <w:rsid w:val="004035EB"/>
    <w:rsid w:val="00404D76"/>
    <w:rsid w:val="00407332"/>
    <w:rsid w:val="00407828"/>
    <w:rsid w:val="00410EA0"/>
    <w:rsid w:val="00413D8E"/>
    <w:rsid w:val="004140F2"/>
    <w:rsid w:val="00414375"/>
    <w:rsid w:val="00415415"/>
    <w:rsid w:val="00417B22"/>
    <w:rsid w:val="004203B7"/>
    <w:rsid w:val="00421085"/>
    <w:rsid w:val="0042465E"/>
    <w:rsid w:val="00424DED"/>
    <w:rsid w:val="00424DF7"/>
    <w:rsid w:val="00432B76"/>
    <w:rsid w:val="00432B77"/>
    <w:rsid w:val="004346AE"/>
    <w:rsid w:val="00434D01"/>
    <w:rsid w:val="00435D26"/>
    <w:rsid w:val="00437D67"/>
    <w:rsid w:val="00440169"/>
    <w:rsid w:val="00440C99"/>
    <w:rsid w:val="0044175C"/>
    <w:rsid w:val="00442981"/>
    <w:rsid w:val="00445F4D"/>
    <w:rsid w:val="004504C0"/>
    <w:rsid w:val="004550FB"/>
    <w:rsid w:val="0046111A"/>
    <w:rsid w:val="00461198"/>
    <w:rsid w:val="00461845"/>
    <w:rsid w:val="00462946"/>
    <w:rsid w:val="00463F43"/>
    <w:rsid w:val="00464056"/>
    <w:rsid w:val="00464B94"/>
    <w:rsid w:val="004653A8"/>
    <w:rsid w:val="00465A0B"/>
    <w:rsid w:val="00466D53"/>
    <w:rsid w:val="0047077C"/>
    <w:rsid w:val="00470B05"/>
    <w:rsid w:val="00471BD5"/>
    <w:rsid w:val="0047207C"/>
    <w:rsid w:val="00472CBA"/>
    <w:rsid w:val="00472CD6"/>
    <w:rsid w:val="00474E3C"/>
    <w:rsid w:val="00480A58"/>
    <w:rsid w:val="00482151"/>
    <w:rsid w:val="00482309"/>
    <w:rsid w:val="004828C9"/>
    <w:rsid w:val="00483703"/>
    <w:rsid w:val="00485CCD"/>
    <w:rsid w:val="00485FAD"/>
    <w:rsid w:val="00487AED"/>
    <w:rsid w:val="00491EDF"/>
    <w:rsid w:val="00492A3F"/>
    <w:rsid w:val="00493C03"/>
    <w:rsid w:val="00494723"/>
    <w:rsid w:val="00494F62"/>
    <w:rsid w:val="00495D57"/>
    <w:rsid w:val="004A2001"/>
    <w:rsid w:val="004A3590"/>
    <w:rsid w:val="004A3EB1"/>
    <w:rsid w:val="004B00A7"/>
    <w:rsid w:val="004B25E2"/>
    <w:rsid w:val="004B34D7"/>
    <w:rsid w:val="004B5037"/>
    <w:rsid w:val="004B5B2F"/>
    <w:rsid w:val="004B626A"/>
    <w:rsid w:val="004B660E"/>
    <w:rsid w:val="004C05BD"/>
    <w:rsid w:val="004C0957"/>
    <w:rsid w:val="004C3B06"/>
    <w:rsid w:val="004C3F97"/>
    <w:rsid w:val="004C588F"/>
    <w:rsid w:val="004C7EE7"/>
    <w:rsid w:val="004D05F3"/>
    <w:rsid w:val="004D2DEE"/>
    <w:rsid w:val="004D2E1F"/>
    <w:rsid w:val="004D4D27"/>
    <w:rsid w:val="004D7FD9"/>
    <w:rsid w:val="004E0130"/>
    <w:rsid w:val="004E1324"/>
    <w:rsid w:val="004E19A5"/>
    <w:rsid w:val="004E37E5"/>
    <w:rsid w:val="004E3FDB"/>
    <w:rsid w:val="004E516C"/>
    <w:rsid w:val="004E5BF7"/>
    <w:rsid w:val="004F1F4A"/>
    <w:rsid w:val="004F296D"/>
    <w:rsid w:val="004F385B"/>
    <w:rsid w:val="004F508B"/>
    <w:rsid w:val="004F695F"/>
    <w:rsid w:val="004F6CA4"/>
    <w:rsid w:val="00500752"/>
    <w:rsid w:val="00501A50"/>
    <w:rsid w:val="00501B62"/>
    <w:rsid w:val="0050222D"/>
    <w:rsid w:val="00503AF3"/>
    <w:rsid w:val="0050696D"/>
    <w:rsid w:val="0051094B"/>
    <w:rsid w:val="005110D7"/>
    <w:rsid w:val="00511C75"/>
    <w:rsid w:val="00511D99"/>
    <w:rsid w:val="00512736"/>
    <w:rsid w:val="005128D3"/>
    <w:rsid w:val="005147E8"/>
    <w:rsid w:val="0051543C"/>
    <w:rsid w:val="005158F2"/>
    <w:rsid w:val="00517C80"/>
    <w:rsid w:val="00525D2C"/>
    <w:rsid w:val="00526DFC"/>
    <w:rsid w:val="00526F43"/>
    <w:rsid w:val="00527651"/>
    <w:rsid w:val="005363AB"/>
    <w:rsid w:val="00537675"/>
    <w:rsid w:val="00544692"/>
    <w:rsid w:val="00544EF4"/>
    <w:rsid w:val="00545E53"/>
    <w:rsid w:val="005479D9"/>
    <w:rsid w:val="00551EBA"/>
    <w:rsid w:val="0055548C"/>
    <w:rsid w:val="005572BD"/>
    <w:rsid w:val="00557A12"/>
    <w:rsid w:val="00557FDD"/>
    <w:rsid w:val="00560AC7"/>
    <w:rsid w:val="00561AFB"/>
    <w:rsid w:val="00561FA8"/>
    <w:rsid w:val="00562AEF"/>
    <w:rsid w:val="005635ED"/>
    <w:rsid w:val="005639F4"/>
    <w:rsid w:val="00565253"/>
    <w:rsid w:val="00565513"/>
    <w:rsid w:val="00565BB8"/>
    <w:rsid w:val="00567659"/>
    <w:rsid w:val="00570191"/>
    <w:rsid w:val="00570570"/>
    <w:rsid w:val="00572512"/>
    <w:rsid w:val="00573EE6"/>
    <w:rsid w:val="0057547F"/>
    <w:rsid w:val="005754EE"/>
    <w:rsid w:val="0057617E"/>
    <w:rsid w:val="00576497"/>
    <w:rsid w:val="005824A2"/>
    <w:rsid w:val="005835E7"/>
    <w:rsid w:val="0058397F"/>
    <w:rsid w:val="00583BF8"/>
    <w:rsid w:val="00585F33"/>
    <w:rsid w:val="00590EC3"/>
    <w:rsid w:val="00591124"/>
    <w:rsid w:val="00591BFD"/>
    <w:rsid w:val="005928EA"/>
    <w:rsid w:val="00592AD7"/>
    <w:rsid w:val="0059308B"/>
    <w:rsid w:val="00597024"/>
    <w:rsid w:val="005A0274"/>
    <w:rsid w:val="005A095C"/>
    <w:rsid w:val="005A669D"/>
    <w:rsid w:val="005A75D8"/>
    <w:rsid w:val="005B215A"/>
    <w:rsid w:val="005B2D9B"/>
    <w:rsid w:val="005B713E"/>
    <w:rsid w:val="005C03B6"/>
    <w:rsid w:val="005C1E87"/>
    <w:rsid w:val="005C2C3D"/>
    <w:rsid w:val="005C317F"/>
    <w:rsid w:val="005C348E"/>
    <w:rsid w:val="005C4F6B"/>
    <w:rsid w:val="005C68E1"/>
    <w:rsid w:val="005C7D61"/>
    <w:rsid w:val="005D3763"/>
    <w:rsid w:val="005D55E1"/>
    <w:rsid w:val="005D5BCF"/>
    <w:rsid w:val="005E038A"/>
    <w:rsid w:val="005E19F7"/>
    <w:rsid w:val="005E4F04"/>
    <w:rsid w:val="005E62C2"/>
    <w:rsid w:val="005E6871"/>
    <w:rsid w:val="005E6C71"/>
    <w:rsid w:val="005F0963"/>
    <w:rsid w:val="005F15F7"/>
    <w:rsid w:val="005F2824"/>
    <w:rsid w:val="005F2EBA"/>
    <w:rsid w:val="005F35ED"/>
    <w:rsid w:val="005F446A"/>
    <w:rsid w:val="005F7300"/>
    <w:rsid w:val="005F7812"/>
    <w:rsid w:val="005F786F"/>
    <w:rsid w:val="005F7A88"/>
    <w:rsid w:val="00603A1A"/>
    <w:rsid w:val="006046D5"/>
    <w:rsid w:val="00607A93"/>
    <w:rsid w:val="00610C08"/>
    <w:rsid w:val="00611F74"/>
    <w:rsid w:val="00612391"/>
    <w:rsid w:val="006146CF"/>
    <w:rsid w:val="00615615"/>
    <w:rsid w:val="00615772"/>
    <w:rsid w:val="00615FA8"/>
    <w:rsid w:val="00621256"/>
    <w:rsid w:val="00621FCC"/>
    <w:rsid w:val="00622E4B"/>
    <w:rsid w:val="0062609E"/>
    <w:rsid w:val="00630317"/>
    <w:rsid w:val="00632D93"/>
    <w:rsid w:val="006333DA"/>
    <w:rsid w:val="006334CD"/>
    <w:rsid w:val="00635134"/>
    <w:rsid w:val="006356E2"/>
    <w:rsid w:val="0063637A"/>
    <w:rsid w:val="00636ECE"/>
    <w:rsid w:val="0064029A"/>
    <w:rsid w:val="00641EEA"/>
    <w:rsid w:val="00642A65"/>
    <w:rsid w:val="00645DCE"/>
    <w:rsid w:val="006465AC"/>
    <w:rsid w:val="006465BF"/>
    <w:rsid w:val="00647473"/>
    <w:rsid w:val="00653B22"/>
    <w:rsid w:val="00654787"/>
    <w:rsid w:val="00655C0F"/>
    <w:rsid w:val="00657937"/>
    <w:rsid w:val="00657BF4"/>
    <w:rsid w:val="006603FB"/>
    <w:rsid w:val="006608DF"/>
    <w:rsid w:val="006623AC"/>
    <w:rsid w:val="00666336"/>
    <w:rsid w:val="006678AF"/>
    <w:rsid w:val="006701EF"/>
    <w:rsid w:val="00672005"/>
    <w:rsid w:val="00673BA5"/>
    <w:rsid w:val="0067411D"/>
    <w:rsid w:val="0067524A"/>
    <w:rsid w:val="006764C9"/>
    <w:rsid w:val="00680058"/>
    <w:rsid w:val="00681F9F"/>
    <w:rsid w:val="006840EA"/>
    <w:rsid w:val="006844E2"/>
    <w:rsid w:val="00685267"/>
    <w:rsid w:val="00686618"/>
    <w:rsid w:val="006872AE"/>
    <w:rsid w:val="00690082"/>
    <w:rsid w:val="00690252"/>
    <w:rsid w:val="00690EA3"/>
    <w:rsid w:val="006946BB"/>
    <w:rsid w:val="006969FA"/>
    <w:rsid w:val="006A16C3"/>
    <w:rsid w:val="006A2817"/>
    <w:rsid w:val="006A35D5"/>
    <w:rsid w:val="006A3710"/>
    <w:rsid w:val="006A4094"/>
    <w:rsid w:val="006A6343"/>
    <w:rsid w:val="006A64D1"/>
    <w:rsid w:val="006A748A"/>
    <w:rsid w:val="006A7D73"/>
    <w:rsid w:val="006B3D1E"/>
    <w:rsid w:val="006B3E60"/>
    <w:rsid w:val="006B645B"/>
    <w:rsid w:val="006C2251"/>
    <w:rsid w:val="006C419E"/>
    <w:rsid w:val="006C4A31"/>
    <w:rsid w:val="006C5890"/>
    <w:rsid w:val="006C5AC2"/>
    <w:rsid w:val="006C6AFB"/>
    <w:rsid w:val="006D19F0"/>
    <w:rsid w:val="006D2735"/>
    <w:rsid w:val="006D45B2"/>
    <w:rsid w:val="006D5A90"/>
    <w:rsid w:val="006D61C5"/>
    <w:rsid w:val="006E0FCC"/>
    <w:rsid w:val="006E1E96"/>
    <w:rsid w:val="006E5E21"/>
    <w:rsid w:val="006F1176"/>
    <w:rsid w:val="006F159B"/>
    <w:rsid w:val="006F2648"/>
    <w:rsid w:val="006F2F10"/>
    <w:rsid w:val="006F482B"/>
    <w:rsid w:val="006F6311"/>
    <w:rsid w:val="006F6415"/>
    <w:rsid w:val="006F7689"/>
    <w:rsid w:val="00701952"/>
    <w:rsid w:val="00701E00"/>
    <w:rsid w:val="00702556"/>
    <w:rsid w:val="0070277E"/>
    <w:rsid w:val="00704156"/>
    <w:rsid w:val="007069FC"/>
    <w:rsid w:val="00707739"/>
    <w:rsid w:val="00711221"/>
    <w:rsid w:val="00712675"/>
    <w:rsid w:val="00713808"/>
    <w:rsid w:val="00713F60"/>
    <w:rsid w:val="007151B6"/>
    <w:rsid w:val="0071520D"/>
    <w:rsid w:val="00715EDB"/>
    <w:rsid w:val="007160D5"/>
    <w:rsid w:val="007161DA"/>
    <w:rsid w:val="007163FB"/>
    <w:rsid w:val="00717C2E"/>
    <w:rsid w:val="007204FA"/>
    <w:rsid w:val="007213B3"/>
    <w:rsid w:val="00723A9B"/>
    <w:rsid w:val="0072457F"/>
    <w:rsid w:val="00725406"/>
    <w:rsid w:val="0072621B"/>
    <w:rsid w:val="00730555"/>
    <w:rsid w:val="007312CC"/>
    <w:rsid w:val="0073602E"/>
    <w:rsid w:val="00736A64"/>
    <w:rsid w:val="00737F6A"/>
    <w:rsid w:val="007410B6"/>
    <w:rsid w:val="00744C6F"/>
    <w:rsid w:val="007457F6"/>
    <w:rsid w:val="00745ABB"/>
    <w:rsid w:val="00746E38"/>
    <w:rsid w:val="007476D2"/>
    <w:rsid w:val="00747CD5"/>
    <w:rsid w:val="00752E75"/>
    <w:rsid w:val="00753B51"/>
    <w:rsid w:val="00756629"/>
    <w:rsid w:val="007575D2"/>
    <w:rsid w:val="00757B4F"/>
    <w:rsid w:val="00757B6A"/>
    <w:rsid w:val="007610E0"/>
    <w:rsid w:val="007616A8"/>
    <w:rsid w:val="007621AA"/>
    <w:rsid w:val="0076260A"/>
    <w:rsid w:val="00764A67"/>
    <w:rsid w:val="00770F6B"/>
    <w:rsid w:val="00771883"/>
    <w:rsid w:val="00773222"/>
    <w:rsid w:val="00773B66"/>
    <w:rsid w:val="00776DC2"/>
    <w:rsid w:val="00780122"/>
    <w:rsid w:val="00780728"/>
    <w:rsid w:val="00781EEB"/>
    <w:rsid w:val="0078214B"/>
    <w:rsid w:val="0078227C"/>
    <w:rsid w:val="00784412"/>
    <w:rsid w:val="0078498A"/>
    <w:rsid w:val="0078600D"/>
    <w:rsid w:val="007878FE"/>
    <w:rsid w:val="007920BD"/>
    <w:rsid w:val="00792207"/>
    <w:rsid w:val="00792B64"/>
    <w:rsid w:val="00792E29"/>
    <w:rsid w:val="0079379A"/>
    <w:rsid w:val="00794953"/>
    <w:rsid w:val="007A1239"/>
    <w:rsid w:val="007A1F2F"/>
    <w:rsid w:val="007A2A5C"/>
    <w:rsid w:val="007A35D6"/>
    <w:rsid w:val="007A5150"/>
    <w:rsid w:val="007A5373"/>
    <w:rsid w:val="007A789F"/>
    <w:rsid w:val="007B5B7E"/>
    <w:rsid w:val="007B75BC"/>
    <w:rsid w:val="007C0BD6"/>
    <w:rsid w:val="007C3115"/>
    <w:rsid w:val="007C3806"/>
    <w:rsid w:val="007C38E3"/>
    <w:rsid w:val="007C59F5"/>
    <w:rsid w:val="007C5BB7"/>
    <w:rsid w:val="007D07D5"/>
    <w:rsid w:val="007D1C64"/>
    <w:rsid w:val="007D32DD"/>
    <w:rsid w:val="007D3515"/>
    <w:rsid w:val="007D6DCE"/>
    <w:rsid w:val="007D72C4"/>
    <w:rsid w:val="007E0328"/>
    <w:rsid w:val="007E2CFE"/>
    <w:rsid w:val="007E3F23"/>
    <w:rsid w:val="007E59C9"/>
    <w:rsid w:val="007E6B88"/>
    <w:rsid w:val="007F0072"/>
    <w:rsid w:val="007F2EB6"/>
    <w:rsid w:val="007F4A41"/>
    <w:rsid w:val="007F4B0B"/>
    <w:rsid w:val="007F54C3"/>
    <w:rsid w:val="007F5FEA"/>
    <w:rsid w:val="007F7B3E"/>
    <w:rsid w:val="00801C7F"/>
    <w:rsid w:val="008024F6"/>
    <w:rsid w:val="00802949"/>
    <w:rsid w:val="0080301E"/>
    <w:rsid w:val="0080365F"/>
    <w:rsid w:val="00803C93"/>
    <w:rsid w:val="00804806"/>
    <w:rsid w:val="008050D3"/>
    <w:rsid w:val="00806910"/>
    <w:rsid w:val="00806F4F"/>
    <w:rsid w:val="00812BE5"/>
    <w:rsid w:val="00813C3E"/>
    <w:rsid w:val="00817429"/>
    <w:rsid w:val="00821514"/>
    <w:rsid w:val="00821E35"/>
    <w:rsid w:val="00824591"/>
    <w:rsid w:val="00824AED"/>
    <w:rsid w:val="008254AC"/>
    <w:rsid w:val="008257FE"/>
    <w:rsid w:val="00827820"/>
    <w:rsid w:val="00831B8B"/>
    <w:rsid w:val="00833AED"/>
    <w:rsid w:val="0083405D"/>
    <w:rsid w:val="008352D4"/>
    <w:rsid w:val="00836D23"/>
    <w:rsid w:val="00836DB9"/>
    <w:rsid w:val="00837C67"/>
    <w:rsid w:val="008415B0"/>
    <w:rsid w:val="00842028"/>
    <w:rsid w:val="00842B76"/>
    <w:rsid w:val="008436B8"/>
    <w:rsid w:val="008460B6"/>
    <w:rsid w:val="00846AA9"/>
    <w:rsid w:val="00850C9D"/>
    <w:rsid w:val="00852395"/>
    <w:rsid w:val="00852B59"/>
    <w:rsid w:val="00853419"/>
    <w:rsid w:val="00856272"/>
    <w:rsid w:val="008563FF"/>
    <w:rsid w:val="0086018B"/>
    <w:rsid w:val="008611DD"/>
    <w:rsid w:val="008620DE"/>
    <w:rsid w:val="00864338"/>
    <w:rsid w:val="00864980"/>
    <w:rsid w:val="00865B6D"/>
    <w:rsid w:val="00866867"/>
    <w:rsid w:val="00870B94"/>
    <w:rsid w:val="00872257"/>
    <w:rsid w:val="008753E6"/>
    <w:rsid w:val="0087738C"/>
    <w:rsid w:val="008802AF"/>
    <w:rsid w:val="00881926"/>
    <w:rsid w:val="0088318F"/>
    <w:rsid w:val="0088331D"/>
    <w:rsid w:val="00884B3C"/>
    <w:rsid w:val="008852B0"/>
    <w:rsid w:val="00885774"/>
    <w:rsid w:val="00885AE7"/>
    <w:rsid w:val="00886B60"/>
    <w:rsid w:val="00887889"/>
    <w:rsid w:val="008920FF"/>
    <w:rsid w:val="008926E8"/>
    <w:rsid w:val="008927A8"/>
    <w:rsid w:val="00894F19"/>
    <w:rsid w:val="008963E7"/>
    <w:rsid w:val="00896A10"/>
    <w:rsid w:val="008971B5"/>
    <w:rsid w:val="008A52B3"/>
    <w:rsid w:val="008A5D26"/>
    <w:rsid w:val="008A6B13"/>
    <w:rsid w:val="008A6ECB"/>
    <w:rsid w:val="008A75F1"/>
    <w:rsid w:val="008B0BF9"/>
    <w:rsid w:val="008B2866"/>
    <w:rsid w:val="008B29F2"/>
    <w:rsid w:val="008B3859"/>
    <w:rsid w:val="008B436D"/>
    <w:rsid w:val="008B4E49"/>
    <w:rsid w:val="008B7712"/>
    <w:rsid w:val="008B7B26"/>
    <w:rsid w:val="008C3524"/>
    <w:rsid w:val="008C4061"/>
    <w:rsid w:val="008C4229"/>
    <w:rsid w:val="008C54FA"/>
    <w:rsid w:val="008C5BE0"/>
    <w:rsid w:val="008C7233"/>
    <w:rsid w:val="008D2117"/>
    <w:rsid w:val="008D2434"/>
    <w:rsid w:val="008D3E4A"/>
    <w:rsid w:val="008D743A"/>
    <w:rsid w:val="008E171D"/>
    <w:rsid w:val="008E1A79"/>
    <w:rsid w:val="008E2785"/>
    <w:rsid w:val="008E78A3"/>
    <w:rsid w:val="008F0654"/>
    <w:rsid w:val="008F06CB"/>
    <w:rsid w:val="008F2747"/>
    <w:rsid w:val="008F2E83"/>
    <w:rsid w:val="008F3408"/>
    <w:rsid w:val="008F60F4"/>
    <w:rsid w:val="008F612A"/>
    <w:rsid w:val="00900A72"/>
    <w:rsid w:val="0090293D"/>
    <w:rsid w:val="009034DE"/>
    <w:rsid w:val="00905396"/>
    <w:rsid w:val="0090605D"/>
    <w:rsid w:val="00906419"/>
    <w:rsid w:val="00912889"/>
    <w:rsid w:val="00913A42"/>
    <w:rsid w:val="00914167"/>
    <w:rsid w:val="009143DB"/>
    <w:rsid w:val="00915065"/>
    <w:rsid w:val="009158F2"/>
    <w:rsid w:val="00917CE5"/>
    <w:rsid w:val="009217C0"/>
    <w:rsid w:val="00922F9C"/>
    <w:rsid w:val="00924704"/>
    <w:rsid w:val="00925241"/>
    <w:rsid w:val="00925CEC"/>
    <w:rsid w:val="00926A3F"/>
    <w:rsid w:val="0092794E"/>
    <w:rsid w:val="00930D30"/>
    <w:rsid w:val="00932A0A"/>
    <w:rsid w:val="009332A2"/>
    <w:rsid w:val="00937598"/>
    <w:rsid w:val="0093790B"/>
    <w:rsid w:val="009403BF"/>
    <w:rsid w:val="00943751"/>
    <w:rsid w:val="009465B3"/>
    <w:rsid w:val="00946DD0"/>
    <w:rsid w:val="00947EBC"/>
    <w:rsid w:val="009509E6"/>
    <w:rsid w:val="00950D17"/>
    <w:rsid w:val="00952018"/>
    <w:rsid w:val="00952800"/>
    <w:rsid w:val="0095300D"/>
    <w:rsid w:val="009541FD"/>
    <w:rsid w:val="00956812"/>
    <w:rsid w:val="0095719A"/>
    <w:rsid w:val="00961FC7"/>
    <w:rsid w:val="009623E9"/>
    <w:rsid w:val="00963EEB"/>
    <w:rsid w:val="009648BC"/>
    <w:rsid w:val="00964C2F"/>
    <w:rsid w:val="00965F88"/>
    <w:rsid w:val="00973D38"/>
    <w:rsid w:val="0098101C"/>
    <w:rsid w:val="00981E80"/>
    <w:rsid w:val="009848DA"/>
    <w:rsid w:val="00984E03"/>
    <w:rsid w:val="0098599D"/>
    <w:rsid w:val="00987E85"/>
    <w:rsid w:val="00991B41"/>
    <w:rsid w:val="0099309C"/>
    <w:rsid w:val="009A0D12"/>
    <w:rsid w:val="009A1987"/>
    <w:rsid w:val="009A2BEE"/>
    <w:rsid w:val="009A35AF"/>
    <w:rsid w:val="009A5289"/>
    <w:rsid w:val="009A7A53"/>
    <w:rsid w:val="009B0402"/>
    <w:rsid w:val="009B0B75"/>
    <w:rsid w:val="009B16DF"/>
    <w:rsid w:val="009B4CB2"/>
    <w:rsid w:val="009B651C"/>
    <w:rsid w:val="009B6701"/>
    <w:rsid w:val="009B6EF7"/>
    <w:rsid w:val="009B7000"/>
    <w:rsid w:val="009B719B"/>
    <w:rsid w:val="009B739C"/>
    <w:rsid w:val="009B7CC4"/>
    <w:rsid w:val="009C04EC"/>
    <w:rsid w:val="009C1C84"/>
    <w:rsid w:val="009C328C"/>
    <w:rsid w:val="009C4444"/>
    <w:rsid w:val="009C5745"/>
    <w:rsid w:val="009C79AD"/>
    <w:rsid w:val="009C7CA6"/>
    <w:rsid w:val="009D13D2"/>
    <w:rsid w:val="009D3316"/>
    <w:rsid w:val="009D55AA"/>
    <w:rsid w:val="009D710E"/>
    <w:rsid w:val="009E011F"/>
    <w:rsid w:val="009E1BF2"/>
    <w:rsid w:val="009E1CDF"/>
    <w:rsid w:val="009E3E77"/>
    <w:rsid w:val="009E3FAB"/>
    <w:rsid w:val="009E5B3F"/>
    <w:rsid w:val="009E7D90"/>
    <w:rsid w:val="009F15C5"/>
    <w:rsid w:val="009F16F4"/>
    <w:rsid w:val="009F1AB0"/>
    <w:rsid w:val="009F3A5D"/>
    <w:rsid w:val="009F4AC6"/>
    <w:rsid w:val="009F501D"/>
    <w:rsid w:val="00A039D5"/>
    <w:rsid w:val="00A046AD"/>
    <w:rsid w:val="00A079C1"/>
    <w:rsid w:val="00A12520"/>
    <w:rsid w:val="00A130FD"/>
    <w:rsid w:val="00A13D6D"/>
    <w:rsid w:val="00A14769"/>
    <w:rsid w:val="00A16151"/>
    <w:rsid w:val="00A16EC6"/>
    <w:rsid w:val="00A17C06"/>
    <w:rsid w:val="00A2126E"/>
    <w:rsid w:val="00A21706"/>
    <w:rsid w:val="00A23D9A"/>
    <w:rsid w:val="00A24FCC"/>
    <w:rsid w:val="00A26A90"/>
    <w:rsid w:val="00A26B27"/>
    <w:rsid w:val="00A27530"/>
    <w:rsid w:val="00A27C5D"/>
    <w:rsid w:val="00A30E4F"/>
    <w:rsid w:val="00A32253"/>
    <w:rsid w:val="00A3310E"/>
    <w:rsid w:val="00A33391"/>
    <w:rsid w:val="00A333A0"/>
    <w:rsid w:val="00A33898"/>
    <w:rsid w:val="00A37E70"/>
    <w:rsid w:val="00A43623"/>
    <w:rsid w:val="00A437E1"/>
    <w:rsid w:val="00A44E6C"/>
    <w:rsid w:val="00A4685E"/>
    <w:rsid w:val="00A50CD4"/>
    <w:rsid w:val="00A51191"/>
    <w:rsid w:val="00A55E92"/>
    <w:rsid w:val="00A56D62"/>
    <w:rsid w:val="00A56F07"/>
    <w:rsid w:val="00A5762C"/>
    <w:rsid w:val="00A600FC"/>
    <w:rsid w:val="00A60BCA"/>
    <w:rsid w:val="00A61849"/>
    <w:rsid w:val="00A634FE"/>
    <w:rsid w:val="00A638DA"/>
    <w:rsid w:val="00A64676"/>
    <w:rsid w:val="00A65B41"/>
    <w:rsid w:val="00A65E00"/>
    <w:rsid w:val="00A66A78"/>
    <w:rsid w:val="00A7063A"/>
    <w:rsid w:val="00A71E0B"/>
    <w:rsid w:val="00A727B2"/>
    <w:rsid w:val="00A729B6"/>
    <w:rsid w:val="00A72F8F"/>
    <w:rsid w:val="00A731D0"/>
    <w:rsid w:val="00A73D7F"/>
    <w:rsid w:val="00A7408E"/>
    <w:rsid w:val="00A7436E"/>
    <w:rsid w:val="00A745E9"/>
    <w:rsid w:val="00A74E96"/>
    <w:rsid w:val="00A75A8E"/>
    <w:rsid w:val="00A75AA1"/>
    <w:rsid w:val="00A77EFC"/>
    <w:rsid w:val="00A824DD"/>
    <w:rsid w:val="00A83676"/>
    <w:rsid w:val="00A83B7B"/>
    <w:rsid w:val="00A84274"/>
    <w:rsid w:val="00A850F3"/>
    <w:rsid w:val="00A8529F"/>
    <w:rsid w:val="00A864E3"/>
    <w:rsid w:val="00A878C9"/>
    <w:rsid w:val="00A92B2B"/>
    <w:rsid w:val="00A94574"/>
    <w:rsid w:val="00A95936"/>
    <w:rsid w:val="00A96265"/>
    <w:rsid w:val="00A97084"/>
    <w:rsid w:val="00A970A6"/>
    <w:rsid w:val="00AA0510"/>
    <w:rsid w:val="00AA07C5"/>
    <w:rsid w:val="00AA0D37"/>
    <w:rsid w:val="00AA12DF"/>
    <w:rsid w:val="00AA1C2C"/>
    <w:rsid w:val="00AA23EE"/>
    <w:rsid w:val="00AA2C74"/>
    <w:rsid w:val="00AA35F6"/>
    <w:rsid w:val="00AA667C"/>
    <w:rsid w:val="00AA6E91"/>
    <w:rsid w:val="00AA7439"/>
    <w:rsid w:val="00AB047E"/>
    <w:rsid w:val="00AB0B0A"/>
    <w:rsid w:val="00AB0BB7"/>
    <w:rsid w:val="00AB12FA"/>
    <w:rsid w:val="00AB22C6"/>
    <w:rsid w:val="00AB2AD0"/>
    <w:rsid w:val="00AB6157"/>
    <w:rsid w:val="00AB67FC"/>
    <w:rsid w:val="00AC00F2"/>
    <w:rsid w:val="00AC1EA2"/>
    <w:rsid w:val="00AC31B5"/>
    <w:rsid w:val="00AC3ACD"/>
    <w:rsid w:val="00AC43BA"/>
    <w:rsid w:val="00AC4480"/>
    <w:rsid w:val="00AC4EA1"/>
    <w:rsid w:val="00AC5381"/>
    <w:rsid w:val="00AC5920"/>
    <w:rsid w:val="00AC7845"/>
    <w:rsid w:val="00AD0E65"/>
    <w:rsid w:val="00AD2BF2"/>
    <w:rsid w:val="00AD4E90"/>
    <w:rsid w:val="00AD5422"/>
    <w:rsid w:val="00AD7CBC"/>
    <w:rsid w:val="00AE12ED"/>
    <w:rsid w:val="00AE1511"/>
    <w:rsid w:val="00AE2AD3"/>
    <w:rsid w:val="00AE4179"/>
    <w:rsid w:val="00AE4425"/>
    <w:rsid w:val="00AE4FBE"/>
    <w:rsid w:val="00AE650F"/>
    <w:rsid w:val="00AE6555"/>
    <w:rsid w:val="00AE7D16"/>
    <w:rsid w:val="00AF03E3"/>
    <w:rsid w:val="00AF2899"/>
    <w:rsid w:val="00AF4CAA"/>
    <w:rsid w:val="00AF55BA"/>
    <w:rsid w:val="00AF571A"/>
    <w:rsid w:val="00AF60A0"/>
    <w:rsid w:val="00AF67FC"/>
    <w:rsid w:val="00AF7DF5"/>
    <w:rsid w:val="00B006E5"/>
    <w:rsid w:val="00B00E75"/>
    <w:rsid w:val="00B024C2"/>
    <w:rsid w:val="00B03DA9"/>
    <w:rsid w:val="00B04619"/>
    <w:rsid w:val="00B073D5"/>
    <w:rsid w:val="00B07700"/>
    <w:rsid w:val="00B127B2"/>
    <w:rsid w:val="00B13921"/>
    <w:rsid w:val="00B1528C"/>
    <w:rsid w:val="00B1566C"/>
    <w:rsid w:val="00B16ACD"/>
    <w:rsid w:val="00B21487"/>
    <w:rsid w:val="00B232D1"/>
    <w:rsid w:val="00B24DB5"/>
    <w:rsid w:val="00B309D0"/>
    <w:rsid w:val="00B31F9E"/>
    <w:rsid w:val="00B3268F"/>
    <w:rsid w:val="00B32C2C"/>
    <w:rsid w:val="00B33A1A"/>
    <w:rsid w:val="00B33E6C"/>
    <w:rsid w:val="00B36978"/>
    <w:rsid w:val="00B371CC"/>
    <w:rsid w:val="00B41CD9"/>
    <w:rsid w:val="00B427E6"/>
    <w:rsid w:val="00B428A6"/>
    <w:rsid w:val="00B43E1F"/>
    <w:rsid w:val="00B45605"/>
    <w:rsid w:val="00B45FBC"/>
    <w:rsid w:val="00B467DE"/>
    <w:rsid w:val="00B50592"/>
    <w:rsid w:val="00B51A7D"/>
    <w:rsid w:val="00B535C2"/>
    <w:rsid w:val="00B55544"/>
    <w:rsid w:val="00B5575F"/>
    <w:rsid w:val="00B57FAD"/>
    <w:rsid w:val="00B60700"/>
    <w:rsid w:val="00B63B7A"/>
    <w:rsid w:val="00B642FC"/>
    <w:rsid w:val="00B64739"/>
    <w:rsid w:val="00B64D26"/>
    <w:rsid w:val="00B64FBB"/>
    <w:rsid w:val="00B6756D"/>
    <w:rsid w:val="00B70E22"/>
    <w:rsid w:val="00B73B9F"/>
    <w:rsid w:val="00B774CB"/>
    <w:rsid w:val="00B80402"/>
    <w:rsid w:val="00B80B9A"/>
    <w:rsid w:val="00B830B7"/>
    <w:rsid w:val="00B848EA"/>
    <w:rsid w:val="00B84B2B"/>
    <w:rsid w:val="00B90500"/>
    <w:rsid w:val="00B908C0"/>
    <w:rsid w:val="00B9176C"/>
    <w:rsid w:val="00B91DB3"/>
    <w:rsid w:val="00B935A4"/>
    <w:rsid w:val="00B95E58"/>
    <w:rsid w:val="00BA294C"/>
    <w:rsid w:val="00BA3E8E"/>
    <w:rsid w:val="00BA4A0D"/>
    <w:rsid w:val="00BA561A"/>
    <w:rsid w:val="00BA66F4"/>
    <w:rsid w:val="00BB0A5D"/>
    <w:rsid w:val="00BB0DC6"/>
    <w:rsid w:val="00BB15E4"/>
    <w:rsid w:val="00BB1E19"/>
    <w:rsid w:val="00BB21D1"/>
    <w:rsid w:val="00BB32F2"/>
    <w:rsid w:val="00BB3673"/>
    <w:rsid w:val="00BB3A88"/>
    <w:rsid w:val="00BB4338"/>
    <w:rsid w:val="00BB6C0E"/>
    <w:rsid w:val="00BB7B38"/>
    <w:rsid w:val="00BC11E5"/>
    <w:rsid w:val="00BC1F7D"/>
    <w:rsid w:val="00BC4BC6"/>
    <w:rsid w:val="00BC4EBD"/>
    <w:rsid w:val="00BC52FD"/>
    <w:rsid w:val="00BC6E62"/>
    <w:rsid w:val="00BC71D0"/>
    <w:rsid w:val="00BC7443"/>
    <w:rsid w:val="00BD0648"/>
    <w:rsid w:val="00BD1040"/>
    <w:rsid w:val="00BD34AA"/>
    <w:rsid w:val="00BD4CEA"/>
    <w:rsid w:val="00BE0C44"/>
    <w:rsid w:val="00BE1B8B"/>
    <w:rsid w:val="00BE1CB1"/>
    <w:rsid w:val="00BE2A18"/>
    <w:rsid w:val="00BE2C01"/>
    <w:rsid w:val="00BE41EC"/>
    <w:rsid w:val="00BE56FB"/>
    <w:rsid w:val="00BE7AFF"/>
    <w:rsid w:val="00BF36A9"/>
    <w:rsid w:val="00BF3DDE"/>
    <w:rsid w:val="00BF447F"/>
    <w:rsid w:val="00BF6589"/>
    <w:rsid w:val="00BF6F7F"/>
    <w:rsid w:val="00BF6FFB"/>
    <w:rsid w:val="00C00647"/>
    <w:rsid w:val="00C02764"/>
    <w:rsid w:val="00C04CEF"/>
    <w:rsid w:val="00C05645"/>
    <w:rsid w:val="00C0662F"/>
    <w:rsid w:val="00C07BFC"/>
    <w:rsid w:val="00C07E7D"/>
    <w:rsid w:val="00C11943"/>
    <w:rsid w:val="00C12E96"/>
    <w:rsid w:val="00C14763"/>
    <w:rsid w:val="00C16141"/>
    <w:rsid w:val="00C212D8"/>
    <w:rsid w:val="00C2160F"/>
    <w:rsid w:val="00C2363F"/>
    <w:rsid w:val="00C236C8"/>
    <w:rsid w:val="00C249FC"/>
    <w:rsid w:val="00C24B95"/>
    <w:rsid w:val="00C260B1"/>
    <w:rsid w:val="00C265EC"/>
    <w:rsid w:val="00C26E56"/>
    <w:rsid w:val="00C31406"/>
    <w:rsid w:val="00C34C7B"/>
    <w:rsid w:val="00C362B5"/>
    <w:rsid w:val="00C37194"/>
    <w:rsid w:val="00C37593"/>
    <w:rsid w:val="00C40637"/>
    <w:rsid w:val="00C40F6C"/>
    <w:rsid w:val="00C44426"/>
    <w:rsid w:val="00C445F3"/>
    <w:rsid w:val="00C451F4"/>
    <w:rsid w:val="00C45EB1"/>
    <w:rsid w:val="00C53D67"/>
    <w:rsid w:val="00C542C7"/>
    <w:rsid w:val="00C54A3A"/>
    <w:rsid w:val="00C55566"/>
    <w:rsid w:val="00C56448"/>
    <w:rsid w:val="00C624C0"/>
    <w:rsid w:val="00C63B25"/>
    <w:rsid w:val="00C65151"/>
    <w:rsid w:val="00C6617E"/>
    <w:rsid w:val="00C667BE"/>
    <w:rsid w:val="00C6766B"/>
    <w:rsid w:val="00C72223"/>
    <w:rsid w:val="00C726BF"/>
    <w:rsid w:val="00C7293C"/>
    <w:rsid w:val="00C74092"/>
    <w:rsid w:val="00C76417"/>
    <w:rsid w:val="00C7726F"/>
    <w:rsid w:val="00C823DA"/>
    <w:rsid w:val="00C8259F"/>
    <w:rsid w:val="00C82746"/>
    <w:rsid w:val="00C8312F"/>
    <w:rsid w:val="00C84C47"/>
    <w:rsid w:val="00C858A4"/>
    <w:rsid w:val="00C86AFA"/>
    <w:rsid w:val="00C91B24"/>
    <w:rsid w:val="00CA005A"/>
    <w:rsid w:val="00CB18D0"/>
    <w:rsid w:val="00CB1C8A"/>
    <w:rsid w:val="00CB24F5"/>
    <w:rsid w:val="00CB2663"/>
    <w:rsid w:val="00CB32BD"/>
    <w:rsid w:val="00CB3BBE"/>
    <w:rsid w:val="00CB4F78"/>
    <w:rsid w:val="00CB59E9"/>
    <w:rsid w:val="00CB64D5"/>
    <w:rsid w:val="00CC0D6A"/>
    <w:rsid w:val="00CC20DB"/>
    <w:rsid w:val="00CC2FCA"/>
    <w:rsid w:val="00CC3831"/>
    <w:rsid w:val="00CC399E"/>
    <w:rsid w:val="00CC3C38"/>
    <w:rsid w:val="00CC3E3D"/>
    <w:rsid w:val="00CC4476"/>
    <w:rsid w:val="00CC519B"/>
    <w:rsid w:val="00CC7241"/>
    <w:rsid w:val="00CD12C1"/>
    <w:rsid w:val="00CD15CE"/>
    <w:rsid w:val="00CD214E"/>
    <w:rsid w:val="00CD2C01"/>
    <w:rsid w:val="00CD46FA"/>
    <w:rsid w:val="00CD5973"/>
    <w:rsid w:val="00CD6498"/>
    <w:rsid w:val="00CD6810"/>
    <w:rsid w:val="00CE09AE"/>
    <w:rsid w:val="00CE31A6"/>
    <w:rsid w:val="00CE3220"/>
    <w:rsid w:val="00CF09AA"/>
    <w:rsid w:val="00CF134D"/>
    <w:rsid w:val="00CF13C6"/>
    <w:rsid w:val="00CF1C63"/>
    <w:rsid w:val="00CF2929"/>
    <w:rsid w:val="00CF4813"/>
    <w:rsid w:val="00CF5233"/>
    <w:rsid w:val="00D0062E"/>
    <w:rsid w:val="00D029B8"/>
    <w:rsid w:val="00D02F60"/>
    <w:rsid w:val="00D0464E"/>
    <w:rsid w:val="00D04A96"/>
    <w:rsid w:val="00D07A7B"/>
    <w:rsid w:val="00D10E06"/>
    <w:rsid w:val="00D15197"/>
    <w:rsid w:val="00D15D8A"/>
    <w:rsid w:val="00D16820"/>
    <w:rsid w:val="00D169C8"/>
    <w:rsid w:val="00D1793F"/>
    <w:rsid w:val="00D179D5"/>
    <w:rsid w:val="00D22AF5"/>
    <w:rsid w:val="00D235EA"/>
    <w:rsid w:val="00D247A9"/>
    <w:rsid w:val="00D2791E"/>
    <w:rsid w:val="00D32721"/>
    <w:rsid w:val="00D328DC"/>
    <w:rsid w:val="00D33387"/>
    <w:rsid w:val="00D402FB"/>
    <w:rsid w:val="00D47D7A"/>
    <w:rsid w:val="00D50ABD"/>
    <w:rsid w:val="00D55290"/>
    <w:rsid w:val="00D55E37"/>
    <w:rsid w:val="00D567C3"/>
    <w:rsid w:val="00D57791"/>
    <w:rsid w:val="00D6046A"/>
    <w:rsid w:val="00D62870"/>
    <w:rsid w:val="00D64F56"/>
    <w:rsid w:val="00D6515C"/>
    <w:rsid w:val="00D655D9"/>
    <w:rsid w:val="00D65872"/>
    <w:rsid w:val="00D67687"/>
    <w:rsid w:val="00D676F3"/>
    <w:rsid w:val="00D70EF5"/>
    <w:rsid w:val="00D71024"/>
    <w:rsid w:val="00D71A25"/>
    <w:rsid w:val="00D71CC6"/>
    <w:rsid w:val="00D71FCF"/>
    <w:rsid w:val="00D72A54"/>
    <w:rsid w:val="00D72CC1"/>
    <w:rsid w:val="00D74E7B"/>
    <w:rsid w:val="00D76EC9"/>
    <w:rsid w:val="00D77D8D"/>
    <w:rsid w:val="00D80E7D"/>
    <w:rsid w:val="00D81397"/>
    <w:rsid w:val="00D848B9"/>
    <w:rsid w:val="00D85518"/>
    <w:rsid w:val="00D85E44"/>
    <w:rsid w:val="00D86012"/>
    <w:rsid w:val="00D86EC4"/>
    <w:rsid w:val="00D90E69"/>
    <w:rsid w:val="00D91368"/>
    <w:rsid w:val="00D927FB"/>
    <w:rsid w:val="00D93106"/>
    <w:rsid w:val="00D933E9"/>
    <w:rsid w:val="00D9505D"/>
    <w:rsid w:val="00D953D0"/>
    <w:rsid w:val="00D959F5"/>
    <w:rsid w:val="00D96884"/>
    <w:rsid w:val="00DA3486"/>
    <w:rsid w:val="00DA3FDD"/>
    <w:rsid w:val="00DA6AC9"/>
    <w:rsid w:val="00DA7017"/>
    <w:rsid w:val="00DA7028"/>
    <w:rsid w:val="00DA7EB2"/>
    <w:rsid w:val="00DB1AD2"/>
    <w:rsid w:val="00DB2B58"/>
    <w:rsid w:val="00DB5206"/>
    <w:rsid w:val="00DB6276"/>
    <w:rsid w:val="00DB63F5"/>
    <w:rsid w:val="00DC1C6B"/>
    <w:rsid w:val="00DC2C2E"/>
    <w:rsid w:val="00DC4AF0"/>
    <w:rsid w:val="00DC4B9D"/>
    <w:rsid w:val="00DC7886"/>
    <w:rsid w:val="00DC7E15"/>
    <w:rsid w:val="00DD0CF2"/>
    <w:rsid w:val="00DD2B21"/>
    <w:rsid w:val="00DD31AB"/>
    <w:rsid w:val="00DE1554"/>
    <w:rsid w:val="00DE21B0"/>
    <w:rsid w:val="00DE2901"/>
    <w:rsid w:val="00DE2F27"/>
    <w:rsid w:val="00DE590F"/>
    <w:rsid w:val="00DE7DC1"/>
    <w:rsid w:val="00DF1A07"/>
    <w:rsid w:val="00DF3F7E"/>
    <w:rsid w:val="00DF5FA1"/>
    <w:rsid w:val="00DF7648"/>
    <w:rsid w:val="00DF7D78"/>
    <w:rsid w:val="00E009BE"/>
    <w:rsid w:val="00E00E29"/>
    <w:rsid w:val="00E01ECE"/>
    <w:rsid w:val="00E02BAB"/>
    <w:rsid w:val="00E04CEB"/>
    <w:rsid w:val="00E060BC"/>
    <w:rsid w:val="00E0625C"/>
    <w:rsid w:val="00E063A7"/>
    <w:rsid w:val="00E11420"/>
    <w:rsid w:val="00E132FB"/>
    <w:rsid w:val="00E1639B"/>
    <w:rsid w:val="00E170B7"/>
    <w:rsid w:val="00E177DD"/>
    <w:rsid w:val="00E20900"/>
    <w:rsid w:val="00E20C7F"/>
    <w:rsid w:val="00E2396E"/>
    <w:rsid w:val="00E24728"/>
    <w:rsid w:val="00E25273"/>
    <w:rsid w:val="00E25822"/>
    <w:rsid w:val="00E276AC"/>
    <w:rsid w:val="00E31D83"/>
    <w:rsid w:val="00E32E66"/>
    <w:rsid w:val="00E3317E"/>
    <w:rsid w:val="00E34A35"/>
    <w:rsid w:val="00E37744"/>
    <w:rsid w:val="00E37C2F"/>
    <w:rsid w:val="00E41C28"/>
    <w:rsid w:val="00E41CF1"/>
    <w:rsid w:val="00E45676"/>
    <w:rsid w:val="00E46308"/>
    <w:rsid w:val="00E470BD"/>
    <w:rsid w:val="00E50E57"/>
    <w:rsid w:val="00E51AF0"/>
    <w:rsid w:val="00E51E17"/>
    <w:rsid w:val="00E52DAB"/>
    <w:rsid w:val="00E539B0"/>
    <w:rsid w:val="00E556CC"/>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3824"/>
    <w:rsid w:val="00E75DDA"/>
    <w:rsid w:val="00E769A6"/>
    <w:rsid w:val="00E773E8"/>
    <w:rsid w:val="00E8060D"/>
    <w:rsid w:val="00E81C0F"/>
    <w:rsid w:val="00E83ADD"/>
    <w:rsid w:val="00E84F38"/>
    <w:rsid w:val="00E85623"/>
    <w:rsid w:val="00E87441"/>
    <w:rsid w:val="00E91FAE"/>
    <w:rsid w:val="00E9261F"/>
    <w:rsid w:val="00E92767"/>
    <w:rsid w:val="00E929B4"/>
    <w:rsid w:val="00E93285"/>
    <w:rsid w:val="00E95AC9"/>
    <w:rsid w:val="00E96E3F"/>
    <w:rsid w:val="00EA270C"/>
    <w:rsid w:val="00EA3BC2"/>
    <w:rsid w:val="00EA4974"/>
    <w:rsid w:val="00EA532E"/>
    <w:rsid w:val="00EB06D9"/>
    <w:rsid w:val="00EB192B"/>
    <w:rsid w:val="00EB19ED"/>
    <w:rsid w:val="00EB1CAB"/>
    <w:rsid w:val="00EB2643"/>
    <w:rsid w:val="00EB3306"/>
    <w:rsid w:val="00EB6477"/>
    <w:rsid w:val="00EB6B3E"/>
    <w:rsid w:val="00EC0F5A"/>
    <w:rsid w:val="00EC2071"/>
    <w:rsid w:val="00EC4265"/>
    <w:rsid w:val="00EC47F7"/>
    <w:rsid w:val="00EC4CEB"/>
    <w:rsid w:val="00EC659E"/>
    <w:rsid w:val="00ED04B1"/>
    <w:rsid w:val="00ED2072"/>
    <w:rsid w:val="00ED2AE0"/>
    <w:rsid w:val="00ED3007"/>
    <w:rsid w:val="00ED5553"/>
    <w:rsid w:val="00ED5E36"/>
    <w:rsid w:val="00ED6961"/>
    <w:rsid w:val="00ED6DC4"/>
    <w:rsid w:val="00ED747A"/>
    <w:rsid w:val="00EF065D"/>
    <w:rsid w:val="00EF0B96"/>
    <w:rsid w:val="00EF3486"/>
    <w:rsid w:val="00EF47AF"/>
    <w:rsid w:val="00EF524F"/>
    <w:rsid w:val="00EF53B6"/>
    <w:rsid w:val="00EF73E8"/>
    <w:rsid w:val="00F00B73"/>
    <w:rsid w:val="00F00CA1"/>
    <w:rsid w:val="00F02307"/>
    <w:rsid w:val="00F05039"/>
    <w:rsid w:val="00F05ECF"/>
    <w:rsid w:val="00F115CA"/>
    <w:rsid w:val="00F12B44"/>
    <w:rsid w:val="00F14817"/>
    <w:rsid w:val="00F14EBA"/>
    <w:rsid w:val="00F1510F"/>
    <w:rsid w:val="00F1533A"/>
    <w:rsid w:val="00F15E5A"/>
    <w:rsid w:val="00F17F0A"/>
    <w:rsid w:val="00F242FE"/>
    <w:rsid w:val="00F2668F"/>
    <w:rsid w:val="00F2742F"/>
    <w:rsid w:val="00F2753B"/>
    <w:rsid w:val="00F3107E"/>
    <w:rsid w:val="00F33F8B"/>
    <w:rsid w:val="00F340B2"/>
    <w:rsid w:val="00F43390"/>
    <w:rsid w:val="00F443B2"/>
    <w:rsid w:val="00F458D8"/>
    <w:rsid w:val="00F4597F"/>
    <w:rsid w:val="00F459D6"/>
    <w:rsid w:val="00F50237"/>
    <w:rsid w:val="00F53596"/>
    <w:rsid w:val="00F54731"/>
    <w:rsid w:val="00F55BA8"/>
    <w:rsid w:val="00F55DB1"/>
    <w:rsid w:val="00F56593"/>
    <w:rsid w:val="00F56ACA"/>
    <w:rsid w:val="00F600FE"/>
    <w:rsid w:val="00F62E4D"/>
    <w:rsid w:val="00F66B34"/>
    <w:rsid w:val="00F675B9"/>
    <w:rsid w:val="00F7115C"/>
    <w:rsid w:val="00F711C9"/>
    <w:rsid w:val="00F74C59"/>
    <w:rsid w:val="00F75C3A"/>
    <w:rsid w:val="00F76DF2"/>
    <w:rsid w:val="00F82E30"/>
    <w:rsid w:val="00F831CB"/>
    <w:rsid w:val="00F848A3"/>
    <w:rsid w:val="00F84ACF"/>
    <w:rsid w:val="00F85742"/>
    <w:rsid w:val="00F85BF8"/>
    <w:rsid w:val="00F871CE"/>
    <w:rsid w:val="00F87802"/>
    <w:rsid w:val="00F91C63"/>
    <w:rsid w:val="00F92C0A"/>
    <w:rsid w:val="00F92E9D"/>
    <w:rsid w:val="00F93573"/>
    <w:rsid w:val="00F9415B"/>
    <w:rsid w:val="00F94AA2"/>
    <w:rsid w:val="00F970E4"/>
    <w:rsid w:val="00FA01AF"/>
    <w:rsid w:val="00FA13C2"/>
    <w:rsid w:val="00FA6B4D"/>
    <w:rsid w:val="00FA7240"/>
    <w:rsid w:val="00FA7F91"/>
    <w:rsid w:val="00FB050B"/>
    <w:rsid w:val="00FB121C"/>
    <w:rsid w:val="00FB1CDD"/>
    <w:rsid w:val="00FB1FBF"/>
    <w:rsid w:val="00FB2C2F"/>
    <w:rsid w:val="00FB305C"/>
    <w:rsid w:val="00FC053E"/>
    <w:rsid w:val="00FC2E3D"/>
    <w:rsid w:val="00FC3BDE"/>
    <w:rsid w:val="00FC4CAA"/>
    <w:rsid w:val="00FC535B"/>
    <w:rsid w:val="00FD1677"/>
    <w:rsid w:val="00FD1DBE"/>
    <w:rsid w:val="00FD25A7"/>
    <w:rsid w:val="00FD27B6"/>
    <w:rsid w:val="00FD2A1E"/>
    <w:rsid w:val="00FD3689"/>
    <w:rsid w:val="00FD42A3"/>
    <w:rsid w:val="00FD7468"/>
    <w:rsid w:val="00FD7CE0"/>
    <w:rsid w:val="00FE0B3B"/>
    <w:rsid w:val="00FE133E"/>
    <w:rsid w:val="00FE1BE2"/>
    <w:rsid w:val="00FE730A"/>
    <w:rsid w:val="00FF1DD7"/>
    <w:rsid w:val="00FF2E13"/>
    <w:rsid w:val="00FF4453"/>
    <w:rsid w:val="00FF66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E573D"/>
  <w15:docId w15:val="{C4F804F9-DA63-467E-8BDD-703BD34C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es-ES"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643"/>
    <w:pPr>
      <w:spacing w:line="240" w:lineRule="auto"/>
    </w:pPr>
    <w:rPr>
      <w:rFonts w:ascii="Times New Roman" w:hAnsi="Times New Roman"/>
    </w:rPr>
  </w:style>
  <w:style w:type="paragraph" w:styleId="Heading1">
    <w:name w:val="heading 1"/>
    <w:basedOn w:val="Normal"/>
    <w:next w:val="Normal"/>
    <w:link w:val="Heading1Char"/>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99"/>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99"/>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rsid w:val="00023F13"/>
    <w:rPr>
      <w:sz w:val="16"/>
      <w:szCs w:val="16"/>
    </w:rPr>
  </w:style>
  <w:style w:type="paragraph" w:styleId="CommentText">
    <w:name w:val="annotation text"/>
    <w:basedOn w:val="Normal"/>
    <w:link w:val="CommentTextChar"/>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99"/>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99"/>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styleId="Revision">
    <w:name w:val="Revision"/>
    <w:hidden/>
    <w:uiPriority w:val="99"/>
    <w:semiHidden/>
    <w:rsid w:val="002030B2"/>
    <w:pPr>
      <w:spacing w:line="240" w:lineRule="auto"/>
    </w:pPr>
    <w:rPr>
      <w:rFonts w:ascii="Times New Roman" w:hAnsi="Times New Roman"/>
    </w:rPr>
  </w:style>
  <w:style w:type="character" w:styleId="Hyperlink">
    <w:name w:val="Hyperlink"/>
    <w:basedOn w:val="DefaultParagraphFont"/>
    <w:uiPriority w:val="99"/>
    <w:unhideWhenUsed/>
    <w:rsid w:val="002B60E5"/>
    <w:rPr>
      <w:color w:val="0000FF" w:themeColor="hyperlink"/>
      <w:u w:val="single"/>
    </w:rPr>
  </w:style>
  <w:style w:type="character" w:styleId="UnresolvedMention">
    <w:name w:val="Unresolved Mention"/>
    <w:basedOn w:val="DefaultParagraphFont"/>
    <w:uiPriority w:val="99"/>
    <w:semiHidden/>
    <w:unhideWhenUsed/>
    <w:rsid w:val="002B6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800230">
      <w:bodyDiv w:val="1"/>
      <w:marLeft w:val="0"/>
      <w:marRight w:val="0"/>
      <w:marTop w:val="0"/>
      <w:marBottom w:val="0"/>
      <w:divBdr>
        <w:top w:val="none" w:sz="0" w:space="0" w:color="auto"/>
        <w:left w:val="none" w:sz="0" w:space="0" w:color="auto"/>
        <w:bottom w:val="none" w:sz="0" w:space="0" w:color="auto"/>
        <w:right w:val="none" w:sz="0" w:space="0" w:color="auto"/>
      </w:divBdr>
    </w:div>
    <w:div w:id="1866674134">
      <w:bodyDiv w:val="1"/>
      <w:marLeft w:val="0"/>
      <w:marRight w:val="0"/>
      <w:marTop w:val="0"/>
      <w:marBottom w:val="0"/>
      <w:divBdr>
        <w:top w:val="none" w:sz="0" w:space="0" w:color="auto"/>
        <w:left w:val="none" w:sz="0" w:space="0" w:color="auto"/>
        <w:bottom w:val="none" w:sz="0" w:space="0" w:color="auto"/>
        <w:right w:val="none" w:sz="0" w:space="0" w:color="auto"/>
      </w:divBdr>
    </w:div>
    <w:div w:id="198312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olodziejek\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xml version="1.0" encoding="utf-8"?>
<customUI xmlns="http://schemas.microsoft.com/office/2006/01/customui">
  <ribbon>
    <tabs>
      <tab idMso="TabHome">
        <group idMso="GroupFont" visible="false"/>
        <group idMso="GroupParagraph" visible="false"/>
        <group id="gMakra4" insertBeforeMso="GroupFont" label="Wygląd tekstu">
          <button id="pMakro15" imageMso="CharacterShading" label="Pogrubienie" onAction="Stub.Bold_stub" visible="true"/>
          <button id="pMakro16" imageMso="WordArtFormatDialog" label="Kursywa" onAction="Stub.Italic_stub" visible="true"/>
          <toggleButton idMso="ParagraphMarks" imageMso="ParagraphMarks"/>
          <button id="pMakro18" imageMso="FontSchemes" label="Indeks górny" onAction="Stub.G_Indeks_stub" visible="true"/>
          <button id="pMakro17" imageMso="MailMergeResultsPreview" label="Indeks dolny" onAction="Stub.D_indeks_stub" visible="true"/>
          <button id="pMakro24" imageMso="CharacterBorder" label="Normalna czcionka" onAction="Stub.Bez_stylu_stub" visible="true"/>
        </group>
        <group id="gMakra5" insertBeforeMso="GroupFont" label="Edycja tekstu">
          <button id="pMakro19" label="Wstawienie odnośnika" onAction="Stub.Przypis_stub" visible="true"/>
          <button id="pMakro30" label="Usunięcie odnośnika" onAction="Stub.Usun_przypis_stub" visible="true"/>
          <button id="pMakro25" imageMso="WebServerDiscussions" label="Wstawienie zakładki" onAction="Stub.Wstaw_Zakladke_stub" visible="true"/>
        </group>
        <group id="gMakra6" insertAfterMso="GroupFont" label="Kolory">
          <button id="pMakro31" imageMso="AppointmentColor1" label="Na czerwono" onAction="Stub.Kolor_czerwony_stub" visible="true"/>
          <button id="pMakro32" imageMso="AppointmentColor6" label="Na niebiesko" onAction="Stub.Kolor_niebieski_stub" visible="true"/>
          <button id="pMakro35" imageMso="AppointmentColor0" label="Usunięcie kolorów" onAction="Stub.Bez_koloru_stub" visible="true"/>
          <button id="pMakro33" imageMso="AppointmentColor3" label="Na zielono" onAction="Stub.Kolor_zielony_stub" visible="true"/>
          <button id="pMakro34" imageMso="AppointmentColor10" label="Na żółto" onAction="Stub.Kolor_zolty_stub" visible="true"/>
        </group>
        <group id="gMakra3" insertAfterMso="GroupFont" label="Zmiana stylów">
          <button id="pMakro10" imageMso="OutlineDemoteToBodyText" label="Do nowelizacji" onAction="Stub.ZwiekszPoziomNowelizacji_stub" visible="true"/>
          <button id="pMakro11" imageMso="OutlinePromoteToHeading" label="Do aktu głównego" onAction="Stub.ZmniejszPoziomNowelizacji_stub" visible="true"/>
          <button id="pMakro14" imageMso="Bullets" label="Przenumerowanie" onAction="Stub.Przenumeruj_stub" visible="true"/>
          <button id="pMakro12" imageMso="RightArrow2" label="Do jednostki niższego stopnia" onAction="Stub.ZwiekszZaglebienie_stub" visible="true"/>
          <button id="pMakro13" imageMso="LeftArrow2" label="Do jednostki wyższego stopnia" onAction="Stub.ZmniejszZaglebienie_stub" visible="true"/>
        </group>
      </tab>
      <tab id="zMakra1" label="Legislacja">
        <group id="gMakra1" label="Konwersja">
          <button id="pMakro23" label="Sprawdzenie cudzysłowów" onAction="Stub.Sprawdz_Cudzyslowy_stub"/>
          <button id="pMakro1" imageMso="ViewGoForward" label="Konwersja aktu" onAction="Stub.Przypisz_Styl_stub"/>
          <button id="pMakro4" label="Konwersja odnośników" onAction="Stub.Przypisz_Styl_Odnosniki_stub"/>
          <button enabled="false" id="pMakro2" label="Konwersja obwieszczenia" onAction="Stub.Przypisz_Styl_tj_stub"/>
          <button enabled="false" id="pMakro3" label="Konwersja całości" onAction="Stub.Przypisz_Styl_Calosc_stub"/>
          <button enabled="true" id="pMakro51" label="Sprawdzenie fragmentu" onAction="Stub.Sprawdz_Fragment_stub"/>
        </group>
        <group id="gMakra2" label="Weryfikacja stylów">
          <button id="pMakro6" imageMso="_3DPerspectiveIncrease" label="Prosta" onAction="Stub.Korekta_stylów_stub" visible="true"/>
          <button id="pMakro9" imageMso="VisibilityVisible" label="Z nazwami stylów" onAction="Stub.PokazZeStylami_stub" visible="true"/>
          <button id="pMakro7" imageMso="PersonaStatusBusy" label="Z kolorami " onAction="Stub.pokazZKolorem_stub" visible="true"/>
          <button id="pMakro5" label="Poprawienie odnośników" onAction="Stub.PoprawPrzypisy_stub"/>
          <button id="pMakro42" label="Autonumerowanie odnośników" onAction="Stub.Numeruj_odnosniki_stub" visible="true"/>
          <button id="pMakro8" imageMso="AppointmentColor0" label="Usunięcie kolorów" onAction="Stub.Bez_koloru_stub" visible="true"/>
        </group>
        <group id="gMakra7" label="Inne">
          <button id="pMakro22" label="Wstawienie tekstu" onAction="Stub.Wklej_stub" visible="true"/>
          <button id="pMakro21" label="Czyszczenie" onAction="Stub.Czyszczenie_stub" visible="true"/>
          <button id="pMakro20" label="Wstawienie przypisu końcowego" onAction="Stub.Przypis_2_stub" visible="true"/>
          <button id="pMakro40" label="Zmiana szablonu" onAction="Stub.Zmien_Szablon_stub" visible="true"/>
          <button id="pMakro41" label="Zainstalowanie szablonu" onAction="Stub.Zainstaluj_Szablon_stub" visible="true"/>
        </group>
      </tab>
      <tab id="zMakra2" label="Zablokowane">
        <group idMso="GroupFont" visible="true"/>
        <group idMso="GroupParagraph" visible="true"/>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1F75ED-D1EA-41C0-BDF1-3BFC7ABA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10</Pages>
  <Words>3165</Words>
  <Characters>18548</Characters>
  <Application>Microsoft Office Word</Application>
  <DocSecurity>0</DocSecurity>
  <Lines>356</Lines>
  <Paragraphs>135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Kosiorek Dominika</dc:creator>
  <cp:keywords>class='Internal'</cp:keywords>
  <cp:lastModifiedBy>Ragnhild Efraimsson</cp:lastModifiedBy>
  <cp:revision>2</cp:revision>
  <cp:lastPrinted>2023-01-09T13:15:00Z</cp:lastPrinted>
  <dcterms:created xsi:type="dcterms:W3CDTF">2023-05-15T07:45:00Z</dcterms:created>
  <dcterms:modified xsi:type="dcterms:W3CDTF">2023-05-15T07:45:00Z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imageMso="_3DPerspectiveIncrease" label="Korekta formatowania dokumentu" onAction="Korekta_stylów" visible="true"/>
        <mso:button idQ="doc:ZwiekszPoziomNowelizacji_1" imageMso="OutlineDemoteToBodyText" label="Przejście do nowelizacji" onAction="ZwiekszPoziomNowelizacji" visible="true"/>
        <mso:button idQ="doc:ZmniejszPoziomNowelizacji_1" imageMso="OutlinePromoteToHeading" label="Przejście do aktu głównego" onAction="ZmniejszPoziomNowelizacji" visible="true"/>
        <mso:button idQ="doc:ZwiekszZaglebienie_1" imageMso="RightArrow2" label="Przejście do jednostki redakcyjnej niższego stopnia" onAction="ZwiekszZaglebienie" visible="true"/>
        <mso:button idQ="doc:ZmniejszZaglebienie_1" imageMso="LeftArrow2" label="Przejście do jednostki redakcyjnej wyższego stopnia" onAction="ZmniejszZaglebienie" visible="true"/>
        <mso:button idQ="doc:Przenumeruj_1" imageMso="Bullets" label="Przenumerowanie" onAction="Przenumeruj" visible="true"/>
        <mso:button idQ="doc:wstaw_Zakladke_1" imageMso="WebServerDiscussions" label="Wstawienie zakładki" onAction="wstaw_Zakladke" visible="true"/>
        <mso:button idQ="doc:Kolor_czerwony_1" imageMso="AppointmentColor1" label="Na czerwono" onAction="Kolor_czerwony" visible="true"/>
        <mso:button idQ="doc:Kolor_niebieski_1" imageMso="AppointmentColor6" label="Na niebiesko" onAction="Kolor_niebieski" visible="true"/>
        <mso:button idQ="doc:Kolor_zielony_1" imageMso="AppointmentColor3" label="Na zielono" onAction="Kolor_zielony" visible="true"/>
        <mso:button idQ="doc:Kolor_zolty_1" imageMso="AppointmentColor10" label="Na żółto" onAction="Kolor_zolty" visible="true"/>
        <mso:button idQ="doc:Bez_koloru_1" imageMso="AppointmentColor0" label="Usunięcie kolorów" onAction="Bez_koloru" visible="true"/>
        <mso:button idQ="doc:Bold_1" imageMso="CharacterShading" label="Pogrubienie" onAction="Bold" visible="true"/>
        <mso:button idQ="doc:Italic_1" imageMso="WordArtFormatDialog" label="Kursywa" onAction="Italic" visible="true"/>
        <mso:button idQ="doc:D_indeks_1" imageMso="MailMergeResultsPreview" label="Indeks dolny" onAction="D_indeks" visible="true"/>
        <mso:button idQ="doc:G_Indeks_1" imageMso="FontSchemes" label="Indeks górny" onAction="G_Indeks" visible="true"/>
        <mso:button idQ="doc:Bez_stylu_1" imageMso="CharacterBorder" label="Normalna czcionka" onAction="Bez_stylu" visible="true"/>
      </mso:documentControls>
    </mso:qat>
  </mso:ribbon>
</mso:customUI>
</file>