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GOSPODARSTVO I POMORSTVO</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Ured državnog tajnika za gospodarstvo</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Pravilnik br.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Sažetak: Pravilnik o utvrđivanju propisa o zakonskom mjeriteljskom nadzoru nad uređajima za mjerenje zamućenosti ispušnih plinova.</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Mjeriteljski nadzor nad mjernim metodama i instrumentima u Portugalu u skladu je s općim sustavom odobrenim Uredbom sa zakonskom snagom br. 29/2022 od 7. travnja, općim regulatornim odredbama utvrđenima u Općoj uredbi o mjeriteljskom nadzoru odobrenom Pravilnikom br. 211/2022 od 23. kolovoza, kao i odredbama iz posebnih pravilnika za svaki mjerni instrument.</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S obzirom na objavu ovog pravnog stajališta, potrebno je donijeti posebne propise čiji zahtjevi moraju biti ispunjeni prilikom mjeriteljskog nadzora nad uređajima za mjerenje zamućenosti ispušnih plinova, kojima se stavlja izvan snage Pravilnik br. 797/2009 od 1. prosinca.</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Ovaj je Pravilnik podvrgnut postupku pružanja informacija u području tehničkih propisa i pravila o uslugama informacijskog društva iz Direktive (EU) 2015/1535 Europskog parlamenta i Vijeća od 9. rujna 2015.</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S obzirom na prethodno navedeno:</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u skladu s člankom 2. točkom (a) i člankom 25. stavkom 1. Uredbe sa zakonskom snagom br. 29/2022 od 7. travnja, u vezi s odredbama članka 1. stavka 4. Uredbe priložene Pravilniku br. 211/2022 od 23. kolovoza, Vlada putem državnog tajnika za gospodarstvo utvrđuje sljedeće:</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rFonts w:ascii="Garamond" w:hAnsi="Garamond" w:cs="Arial"/>
          <w:b/>
          <w:bCs/>
          <w:sz w:val="24"/>
          <w:szCs w:val="24"/>
        </w:rPr>
      </w:pPr>
      <w:r>
        <w:rPr>
          <w:rFonts w:ascii="Garamond" w:hAnsi="Garamond"/>
          <w:sz w:val="24"/>
        </w:rPr>
        <w:t>Članak 1.</w:t>
      </w:r>
    </w:p>
    <w:p w14:paraId="1BA6C310"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Predmet</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Ovime se odobravaju Propisi o zakonskom mjeriteljskom nadzoru nad uređajima za mjerenje zamućenosti ispušnih plinova, koji su priloženi ovom Pravilniku i čine njegov sastavni dio.</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Članak 2.</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Odredba o stavljanju izvan snage</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Pravilnik br. 797/2009 od 1. prosinca stavlja se izvan snage.</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Članak 3.</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Stupanje na snagu</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Ovaj Pravilnik stupa na snagu sljedećeg dana od dana objave.</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 xml:space="preserve">xx xxxxxx 2023. – Državni tajnik za gospodarstvo, </w:t>
      </w:r>
      <w:r>
        <w:rPr>
          <w:rFonts w:ascii="Garamond" w:hAnsi="Garamond"/>
          <w:i/>
          <w:sz w:val="24"/>
        </w:rPr>
        <w:t>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PRILOG</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PROPISI O ZAKONSKOM MJERITELJSKOM NADZORU NAD UREĐAJIMA ZA MJERENJE ZAMUĆENOSTI ISPUŠNIH PLINOVA</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Članak 1.</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Područje primjene</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Ovi se Propisi primjenjuju na uređaje za mjerenje zamućenosti ispušnih plinova iz vozila na dizelski pogon.</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Članak 2.</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Definicija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Za potrebe ovih Propisa uređaji za mjerenje zamućenosti ispušnih plinova znači instrumenti projektirani za neprestano mjerenje zamućenosti ispušnih plinova koje ispuštaju vozila.</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Članak 3.</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Puštanje u uporabu</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 xml:space="preserve">Uređaji za mjerenje zamućenosti ispušnih plinova moraju ispunjavati mjeriteljske i tehničke zahtjeve utvrđene </w:t>
      </w:r>
      <w:bookmarkStart w:id="2" w:name="_Hlk63409046"/>
      <w:bookmarkStart w:id="3" w:name="_Hlk63674255"/>
      <w:r>
        <w:rPr>
          <w:rFonts w:ascii="Garamond" w:hAnsi="Garamond"/>
          <w:sz w:val="24"/>
        </w:rPr>
        <w:t xml:space="preserve">u </w:t>
      </w:r>
      <w:bookmarkEnd w:id="2"/>
      <w:bookmarkEnd w:id="3"/>
      <w:r>
        <w:rPr>
          <w:rFonts w:ascii="Garamond" w:hAnsi="Garamond"/>
          <w:sz w:val="24"/>
        </w:rPr>
        <w:t>normi 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Članak 4.</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Očitanja</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Očitanje uređaja za mjerenje zamućenosti ispušnih plinova izražava se pomoću koeficijenta apsorpcije svjetlosti, koji predstavlja simbol k, u jedinici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Vrijednosti zamućenosti izražavaju se u postocima pomoću simbola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Ako je konverzijski faktor propisno izražen, mogu se prihvatiti druge jednakovrijedne jedinice na temelju jedinica Međunarodnog sustava jedinica (SI).</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8C2EBC">
      <w:pPr>
        <w:keepNext/>
        <w:spacing w:after="120" w:line="360" w:lineRule="auto"/>
        <w:jc w:val="center"/>
        <w:rPr>
          <w:rFonts w:ascii="Garamond" w:hAnsi="Garamond" w:cs="Arial"/>
          <w:sz w:val="24"/>
          <w:szCs w:val="24"/>
        </w:rPr>
      </w:pPr>
      <w:r>
        <w:rPr>
          <w:rFonts w:ascii="Garamond" w:hAnsi="Garamond"/>
          <w:sz w:val="24"/>
        </w:rPr>
        <w:lastRenderedPageBreak/>
        <w:t>Članak 5.</w:t>
      </w:r>
    </w:p>
    <w:p w14:paraId="7A1BEF1E" w14:textId="77777777" w:rsidR="00503EE6" w:rsidRPr="003D5AFB" w:rsidRDefault="00503EE6" w:rsidP="005024E2">
      <w:pPr>
        <w:spacing w:after="120" w:line="360" w:lineRule="auto"/>
        <w:jc w:val="center"/>
        <w:rPr>
          <w:rFonts w:ascii="Garamond" w:hAnsi="Garamond" w:cs="Arial"/>
          <w:b/>
          <w:bCs/>
          <w:sz w:val="24"/>
          <w:szCs w:val="24"/>
        </w:rPr>
      </w:pPr>
      <w:r>
        <w:rPr>
          <w:rFonts w:ascii="Garamond" w:hAnsi="Garamond"/>
          <w:b/>
          <w:sz w:val="24"/>
        </w:rPr>
        <w:t>Zakonski mjeriteljski nadzor</w:t>
      </w:r>
    </w:p>
    <w:p w14:paraId="1A8C137B" w14:textId="3F9C24C1" w:rsidR="00A57A1C" w:rsidRPr="003D5AFB" w:rsidRDefault="00503EE6" w:rsidP="005024E2">
      <w:pPr>
        <w:spacing w:after="120" w:line="360" w:lineRule="auto"/>
        <w:jc w:val="both"/>
        <w:rPr>
          <w:rFonts w:ascii="Garamond" w:hAnsi="Garamond" w:cs="Arial"/>
          <w:sz w:val="24"/>
          <w:szCs w:val="24"/>
        </w:rPr>
      </w:pPr>
      <w:r>
        <w:rPr>
          <w:rFonts w:ascii="Garamond" w:hAnsi="Garamond"/>
          <w:sz w:val="24"/>
        </w:rPr>
        <w:t xml:space="preserve">Za zakonski mjeriteljski nadzor </w:t>
      </w:r>
      <w:bookmarkStart w:id="4" w:name="_Hlk106875133"/>
      <w:r>
        <w:rPr>
          <w:rFonts w:ascii="Garamond" w:hAnsi="Garamond"/>
          <w:sz w:val="24"/>
        </w:rPr>
        <w:t xml:space="preserve">uređaja za mjerenje zamućenosti ispušnih plinova </w:t>
      </w:r>
      <w:bookmarkEnd w:id="4"/>
      <w:r>
        <w:rPr>
          <w:rFonts w:ascii="Garamond" w:hAnsi="Garamond"/>
          <w:sz w:val="24"/>
        </w:rPr>
        <w:t>odgovoran je Portugalski institut za kvalitetu, I. P. (IPQ, I. P.), i obuhvaća postupke odobrenja tipa, prve provjere, redovne provjere i izvanredne provjere.</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Članak 6.</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Odobrenje tipa</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Odobrenje tipa mora biti u skladu sa zahtjevima iz članka 7. Uredbe sa zakonskom snagom br. 29/2022 od 7. travnja i članka 2. Uredbe priložene Pravilniku br. 211/2022 od 23. kolovoza.</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(2) Tijekom razdoblja valjanosti odobrenja tipa sve izmjene odobrenog tipa, neovisno o tome je li do njih došlo zamjenom sastavnih dijelova, dodavanjem dodatnog uređaja, promjenom računalnog programa (softvera) ili izmjenama koje mogu utjecati na rezultate mjerenja ili regulatorne uvjete uporabe, zahtijevaju dodatno odobrenje tipa.</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 xml:space="preserve">(3) Računalnim programima koje upotrebljavaju </w:t>
      </w:r>
      <w:bookmarkStart w:id="5" w:name="_Hlk126936097"/>
      <w:r>
        <w:rPr>
          <w:rFonts w:ascii="Garamond" w:hAnsi="Garamond"/>
          <w:sz w:val="24"/>
        </w:rPr>
        <w:t>uređaji za mjerenje zamućenosti ispušnih plinova</w:t>
      </w:r>
      <w:r>
        <w:rPr>
          <w:rFonts w:ascii="Garamond" w:hAnsi="Garamond"/>
          <w:color w:val="000000"/>
          <w:sz w:val="24"/>
        </w:rPr>
        <w:t xml:space="preserve"> </w:t>
      </w:r>
      <w:bookmarkEnd w:id="5"/>
      <w:r>
        <w:rPr>
          <w:rFonts w:ascii="Garamond" w:hAnsi="Garamond"/>
          <w:color w:val="000000"/>
          <w:sz w:val="24"/>
        </w:rPr>
        <w:t>moraju biti zajamčene cjelovitost i povjerljivost dobivenih i dostavljenih podataka, a također moraju biti podložni jedinstvenoj i nedvosmislenoj identifikaciji.</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Članak 7.</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Prva provjera</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Prva provjera provodi se prije stavljanja instrumenta na tržište ili nakon njegova popravka te svaki put kad dođe do kvara na sustavu brtvljenja, pri čemu se te godine ne provodi redovna provjera, s istim razdobljem valjanosti.</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Ispitivanja u okviru prve provjere provode se u skladu s mjeriteljskim i tehničkim zahtjevima utvrđenima u članku 3. ovih Propisa.</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Najveće dopuštene vrijednosti pogreške za prvu provjeru iznose ± 2 % zamućenosti,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8C2EBC">
      <w:pPr>
        <w:keepNext/>
        <w:spacing w:after="120" w:line="360" w:lineRule="auto"/>
        <w:jc w:val="center"/>
        <w:rPr>
          <w:rFonts w:ascii="Garamond" w:hAnsi="Garamond" w:cs="Arial"/>
          <w:sz w:val="24"/>
          <w:szCs w:val="24"/>
        </w:rPr>
      </w:pPr>
      <w:r>
        <w:rPr>
          <w:rFonts w:ascii="Garamond" w:hAnsi="Garamond"/>
          <w:sz w:val="24"/>
        </w:rPr>
        <w:lastRenderedPageBreak/>
        <w:t>Članak 8.</w:t>
      </w:r>
    </w:p>
    <w:p w14:paraId="177F56D3" w14:textId="77777777" w:rsidR="00503EE6" w:rsidRPr="003D5AFB" w:rsidRDefault="00503EE6" w:rsidP="008C2EBC">
      <w:pPr>
        <w:keepNext/>
        <w:spacing w:after="120" w:line="360" w:lineRule="auto"/>
        <w:jc w:val="center"/>
        <w:rPr>
          <w:rFonts w:ascii="Garamond" w:hAnsi="Garamond" w:cs="Arial"/>
          <w:b/>
          <w:bCs/>
          <w:sz w:val="24"/>
          <w:szCs w:val="24"/>
        </w:rPr>
      </w:pPr>
      <w:r>
        <w:rPr>
          <w:rFonts w:ascii="Garamond" w:hAnsi="Garamond"/>
          <w:b/>
          <w:sz w:val="24"/>
        </w:rPr>
        <w:t>Redovna provjera</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Redovna provjera provodi se na godišnjoj osnovi i vrijedi godinu dana nakon provedbe.</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Ispitivanja u okviru redovne provjere jednaka su ispitivanjima utvrđenima za prvu provjeru.</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Vrijednosti najvećih dopuštenih pogrešaka tijekom redovne provjere jednake su vrijednostima najvećih dopuštenih pogrešaka utvrđenima za prvu provjeru.</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Članak 9.</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Izvanredna provjera</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Izvanredna provjera uključuje ispitivanja u okviru redovne provjere.</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Vrijednosti najvećih dopuštenih pogrešaka za izvanrednu provjeru jednake su vrijednostima najvećih dopuštenih pogrešaka utvrđenih za redovnu provjeru.</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Članak 10.</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Natpisi i oznake</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Na uređajima za mjerenje zamućenosti ispušnih plinova moraju na vidljiv i čitljiv način biti prikazani natpisi i oznake u skladu s mjeriteljskim zahtjevima utvrđenima u članku 3. ovih Propisa.</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Uređaji za mjerenje zamućenosti ispušnih plinova također moraju nositi simbol odobrenja tipa te ostale simbole ili upućivanja korisna za njihovu uporabu.</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rFonts w:ascii="Garamond" w:hAnsi="Garamond" w:cs="Arial"/>
          <w:sz w:val="24"/>
          <w:szCs w:val="24"/>
        </w:rPr>
      </w:pPr>
      <w:bookmarkStart w:id="11" w:name="_Hlk63417111"/>
      <w:r>
        <w:rPr>
          <w:rFonts w:ascii="Garamond" w:hAnsi="Garamond"/>
          <w:sz w:val="24"/>
        </w:rPr>
        <w:t>Članak 11.</w:t>
      </w:r>
    </w:p>
    <w:p w14:paraId="7F04099F" w14:textId="77777777" w:rsidR="00503EE6" w:rsidRPr="003D5AFB" w:rsidRDefault="00503EE6" w:rsidP="00BF69F3">
      <w:pPr>
        <w:spacing w:after="120" w:line="360" w:lineRule="auto"/>
        <w:jc w:val="center"/>
        <w:rPr>
          <w:rFonts w:ascii="Garamond" w:hAnsi="Garamond" w:cs="Arial"/>
          <w:b/>
          <w:bCs/>
          <w:sz w:val="24"/>
          <w:szCs w:val="24"/>
        </w:rPr>
      </w:pPr>
      <w:r>
        <w:rPr>
          <w:rFonts w:ascii="Garamond" w:hAnsi="Garamond"/>
          <w:b/>
          <w:sz w:val="24"/>
        </w:rPr>
        <w:t>Prijelazna odredba</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Instrumenti koji su u uporabi ostaju u uporabi sve dok su u dobrom stanju te sve dok tijekom ispitivanja u okviru mjeriteljske provjere prikazuju pogreške koje ne premašuju najveće dopuštene pogreške.</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BF69F3">
      <w:pPr>
        <w:spacing w:after="120" w:line="360" w:lineRule="auto"/>
        <w:jc w:val="center"/>
        <w:rPr>
          <w:rFonts w:ascii="Garamond" w:hAnsi="Garamond" w:cs="Arial"/>
          <w:sz w:val="24"/>
          <w:szCs w:val="24"/>
        </w:rPr>
      </w:pPr>
      <w:r>
        <w:rPr>
          <w:rFonts w:ascii="Garamond" w:hAnsi="Garamond"/>
          <w:sz w:val="24"/>
        </w:rPr>
        <w:lastRenderedPageBreak/>
        <w:t>Članak 12.</w:t>
      </w:r>
    </w:p>
    <w:p w14:paraId="00AFCFB4" w14:textId="2D0E9E49" w:rsidR="0014394D" w:rsidRPr="003D5AFB" w:rsidRDefault="00336A88" w:rsidP="00BF69F3">
      <w:pPr>
        <w:spacing w:after="120" w:line="360" w:lineRule="auto"/>
        <w:jc w:val="center"/>
        <w:rPr>
          <w:rFonts w:ascii="Garamond" w:hAnsi="Garamond" w:cs="Arial"/>
          <w:b/>
          <w:bCs/>
          <w:sz w:val="24"/>
          <w:szCs w:val="24"/>
        </w:rPr>
      </w:pPr>
      <w:r>
        <w:rPr>
          <w:rFonts w:ascii="Garamond" w:hAnsi="Garamond"/>
          <w:b/>
          <w:sz w:val="24"/>
        </w:rPr>
        <w:t xml:space="preserve">Konačna odredba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Odredbe prethodnih članaka ne sprečavaju stavljanje na tržište ili daljnju uporabu uređaja za mjerenje zamućenosti ispušnih plinova za koje su dostupne potvrde ocjenjivanju sukladnosti koje su izdala tijela priznata u skladu s primjenjivim zakonodavstvom Europske unije, u okviru zakonske mjeriteljske djelatnosti, na temelju specifikacija i postupaka kojima se osigurava mjeriteljska kakvoća istovjetna onoj iz ovih Propisa, pri čemu istovjetnost ocjenjuje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C2EBC"/>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Props1.xml><?xml version="1.0" encoding="utf-8"?>
<ds:datastoreItem xmlns:ds="http://schemas.openxmlformats.org/officeDocument/2006/customXml" ds:itemID="{3D0F512B-875A-4B06-8BC4-34DF7F15D44F}">
  <ds:schemaRefs>
    <ds:schemaRef ds:uri="http://schemas.microsoft.com/sharepoint/v3/contenttype/forms"/>
  </ds:schemaRefs>
</ds:datastoreItem>
</file>

<file path=customXml/itemProps2.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3.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4</cp:revision>
  <dcterms:created xsi:type="dcterms:W3CDTF">2023-04-03T15:23:00Z</dcterms:created>
  <dcterms:modified xsi:type="dcterms:W3CDTF">2023-04-18T13:45:00Z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