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A5A5" w14:textId="602FEEEB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GOSPODARKA I GOSPODARKA MORSKA</w:t>
      </w:r>
    </w:p>
    <w:p w14:paraId="4BE6550D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Biuro sekretarza stanu ds. gospodarki</w:t>
      </w:r>
    </w:p>
    <w:p w14:paraId="5E59B0B5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</w:p>
    <w:p w14:paraId="31DCF98E" w14:textId="51AB327C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Zarządzenie nr XXX/2023</w:t>
      </w:r>
    </w:p>
    <w:p w14:paraId="055E8259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</w:p>
    <w:p w14:paraId="15BB47EF" w14:textId="51345528" w:rsidR="00CD6108" w:rsidRDefault="00CD6108" w:rsidP="00CD6108">
      <w:pPr>
        <w:shd w:val="clear" w:color="auto" w:fill="FFFFFF" w:themeFill="background1"/>
        <w:spacing w:after="225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Podsumowanie: Zarządzenie ustanawiające rozporządzenie w sprawie prawnej kontroli metrologicznej dymomierzy.</w:t>
      </w:r>
    </w:p>
    <w:p w14:paraId="4AE88BD5" w14:textId="0D92811E" w:rsidR="00501FB0" w:rsidRDefault="00752C59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Kontrola metrologiczna metod i przyrządów pomiarowych w Portugalii jest zgodna z ogólnym systemem zatwierdzonym dekretem z mocą ustawy nr 29/2022 z dnia 7 kwietnia 2022 r., ogólnymi przepisami wykonawczymi zawartymi w ogólnym rozporządzeniu w sprawie kontroli metrologicznej zatwierdzonym rozporządzeniem nr 211/2022 z dnia 23 sierpnia 2022 r., a także z przepisami zawartymi w szczegółowych rozporządzeniach dotyczących każdego przyrządu pomiarowego.</w:t>
      </w:r>
    </w:p>
    <w:p w14:paraId="0689E6B7" w14:textId="3B86FDFE" w:rsidR="00CB623B" w:rsidRDefault="00CB623B" w:rsidP="00B86C46">
      <w:pPr>
        <w:shd w:val="clear" w:color="auto" w:fill="FFFFFF" w:themeFill="background1"/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0" w:name="_Hlk66124405"/>
      <w:r>
        <w:rPr>
          <w:rFonts w:ascii="Garamond" w:hAnsi="Garamond"/>
          <w:sz w:val="24"/>
        </w:rPr>
        <w:t>W związku z publikacją tego stanowiska prawnego konieczne staje się przyjęcie szczególnego rozporządzenia, któremu musi odpowiadać kontrola metrologiczna dymomierzy, uchylając zarządzenie nr 797/2009 z dnia 1 grudnia 2009 r.</w:t>
      </w:r>
    </w:p>
    <w:p w14:paraId="44CADCEE" w14:textId="5BD42CB3" w:rsidR="00473279" w:rsidRPr="00B86C46" w:rsidRDefault="00473279" w:rsidP="00B86C46">
      <w:pPr>
        <w:shd w:val="clear" w:color="auto" w:fill="FFFFFF" w:themeFill="background1"/>
        <w:spacing w:after="12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Niniejsze zarządzenie zostało objęte procedurą informacyjną w dziedzinie przepisów technicznych i zasad dotyczących usług społeczeństwa informacyjnego, o której mowa w dyrektywie Parlamentu Europejskiego i Rady (UE) 2015/1535 z dnia 9 września 2015 r.</w:t>
      </w:r>
    </w:p>
    <w:bookmarkEnd w:id="0"/>
    <w:p w14:paraId="03472A57" w14:textId="157F5F06" w:rsidR="00752C59" w:rsidRPr="003D5AFB" w:rsidRDefault="001E2713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Wobec powyższego:</w:t>
      </w:r>
    </w:p>
    <w:p w14:paraId="675622A4" w14:textId="215B8811" w:rsidR="00CB623B" w:rsidRPr="00CA3DB1" w:rsidRDefault="00CB623B" w:rsidP="00CB623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Zgodnie z art. 2 lit. a) i art. 25 ust. 1 dekretu z mocą ustawy nr 29/2022 z dnia 7 kwietnia 2022 r. w związku z przepisami art. 1 ust. 4 rozporządzenia załączonego do zarządzenia nr 211/2022 z dnia 23 sierpnia 2022 r., rząd, za pośrednictwem sekretarza stanu ds. gospodarki, wydaje, co następuje:</w:t>
      </w:r>
    </w:p>
    <w:p w14:paraId="222F76DE" w14:textId="77777777" w:rsidR="00DB3A4E" w:rsidRPr="003D5AFB" w:rsidRDefault="00DB3A4E" w:rsidP="000E7B45">
      <w:pPr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1AA088A4" w14:textId="127C5176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sz w:val="24"/>
        </w:rPr>
        <w:t>Artykuł 1</w:t>
      </w:r>
    </w:p>
    <w:p w14:paraId="1BA6C310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Przedmiot</w:t>
      </w:r>
    </w:p>
    <w:p w14:paraId="02F0580C" w14:textId="4858DA5D" w:rsidR="00572E2D" w:rsidRPr="003D5AFB" w:rsidRDefault="00503EE6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Niniejszym zatwierdza się rozporządzenie w sprawie prawnej kontroli metrologicznej dymomierzy załączone do niniejszego zarządzenia, którego stanowi ono integralną część.</w:t>
      </w:r>
    </w:p>
    <w:p w14:paraId="3265F547" w14:textId="77777777" w:rsidR="00A57A1C" w:rsidRPr="003D5AFB" w:rsidRDefault="00A57A1C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198BBB32" w14:textId="65BF9CD4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Artykuł 2</w:t>
      </w:r>
    </w:p>
    <w:p w14:paraId="209921D8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Klauzula uchylająca</w:t>
      </w:r>
    </w:p>
    <w:p w14:paraId="2DB40EAF" w14:textId="1318F5B8" w:rsidR="00503EE6" w:rsidRPr="003D5AFB" w:rsidRDefault="00503EE6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Niniejszym uchyla się zarządzenie nr 797/2009 z dnia 1 grudnia 2009 r.</w:t>
      </w:r>
    </w:p>
    <w:p w14:paraId="0F60FE99" w14:textId="77777777" w:rsidR="00A57A1C" w:rsidRPr="003D5AFB" w:rsidRDefault="00A57A1C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6FA41C09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Artykuł 3</w:t>
      </w:r>
    </w:p>
    <w:p w14:paraId="05D48045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Wejście w życie</w:t>
      </w:r>
    </w:p>
    <w:p w14:paraId="06329FD8" w14:textId="0217627E" w:rsidR="000D5C89" w:rsidRPr="000E7B45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Niniejsze zarządzenie wchodzi w życie następnego dnia po jego opublikowaniu.</w:t>
      </w:r>
    </w:p>
    <w:p w14:paraId="5F2AE5CD" w14:textId="77777777" w:rsidR="000D5C89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BBEDC7E" w14:textId="77777777" w:rsidR="000D5C89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41D7A48" w14:textId="652BB506" w:rsidR="000D5C89" w:rsidRPr="00BF69F3" w:rsidRDefault="000D5C89" w:rsidP="000D5C89">
      <w:pPr>
        <w:spacing w:after="12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 xml:space="preserve">xx xxxxxx 2023 r. – Sekretarz stanu ds. gospodarki, </w:t>
      </w:r>
      <w:r>
        <w:rPr>
          <w:rFonts w:ascii="Garamond" w:hAnsi="Garamond"/>
          <w:i/>
          <w:sz w:val="24"/>
        </w:rPr>
        <w:t>Pedro Cilínio</w:t>
      </w:r>
      <w:r>
        <w:rPr>
          <w:rFonts w:ascii="Garamond" w:hAnsi="Garamond"/>
          <w:sz w:val="24"/>
        </w:rPr>
        <w:t>.</w:t>
      </w:r>
    </w:p>
    <w:p w14:paraId="2FABC214" w14:textId="77777777" w:rsidR="00FC7BA5" w:rsidRPr="003D5AFB" w:rsidRDefault="00FC7BA5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DA659C" w14:textId="77777777" w:rsidR="00327929" w:rsidRPr="003D5AFB" w:rsidRDefault="00327929">
      <w:pPr>
        <w:rPr>
          <w:rFonts w:ascii="Garamond" w:hAnsi="Garamond" w:cs="Arial"/>
          <w:sz w:val="24"/>
          <w:szCs w:val="24"/>
        </w:rPr>
      </w:pPr>
      <w:r>
        <w:br w:type="page"/>
      </w:r>
    </w:p>
    <w:p w14:paraId="67F457C7" w14:textId="010A1BD5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lastRenderedPageBreak/>
        <w:t>ZAŁĄCZNIK</w:t>
      </w:r>
    </w:p>
    <w:p w14:paraId="7BBDD6D4" w14:textId="792EC905" w:rsidR="00B55531" w:rsidRPr="003D5AFB" w:rsidRDefault="00B55531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ROZPORZĄDZENIE W SPRAWIE PRAWNEJ KONTROLI METROLOGICZNEJ DYMOMIERZY</w:t>
      </w:r>
    </w:p>
    <w:p w14:paraId="1024B4FA" w14:textId="77777777" w:rsidR="00FC7BA5" w:rsidRPr="003D5AFB" w:rsidRDefault="00FC7BA5" w:rsidP="00501FB0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</w:p>
    <w:p w14:paraId="0E18C89E" w14:textId="0E3486D1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Artykuł 1</w:t>
      </w:r>
    </w:p>
    <w:p w14:paraId="67D520C6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Zakres</w:t>
      </w:r>
    </w:p>
    <w:p w14:paraId="4356A378" w14:textId="58CC8C8E" w:rsidR="00B55531" w:rsidRPr="003D5AFB" w:rsidRDefault="00B55531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Niniejsze rozporządzenie stosuje się do dymomierzy przeznaczonych do pomiaru nieprzezroczystości emisji spalin emitowanych przez pojazdy z silnikami wysokoprężnymi.</w:t>
      </w:r>
    </w:p>
    <w:p w14:paraId="7531927A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8FD58A9" w14:textId="0558B44D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Artykuł 2</w:t>
      </w:r>
    </w:p>
    <w:p w14:paraId="5FB19F42" w14:textId="3A391A93" w:rsidR="006D605C" w:rsidRPr="003D5AFB" w:rsidRDefault="006D605C" w:rsidP="006D605C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Definicja </w:t>
      </w:r>
    </w:p>
    <w:p w14:paraId="216E5843" w14:textId="78AA9014" w:rsidR="00A57A1C" w:rsidRDefault="00E144AF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Do celów niniejszego rozporządzenia dymomierze oznaczają przyrządy przeznaczone do ciągłego pomiaru nieprzezroczystości spalin emitowanych przez pojazdy.</w:t>
      </w:r>
    </w:p>
    <w:p w14:paraId="0EC431E1" w14:textId="77777777" w:rsidR="00C97828" w:rsidRPr="003D5AFB" w:rsidRDefault="00C97828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C24B2CF" w14:textId="65386484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bookmarkStart w:id="1" w:name="_Hlk63432496"/>
      <w:r>
        <w:rPr>
          <w:rFonts w:ascii="Garamond" w:hAnsi="Garamond"/>
          <w:sz w:val="24"/>
        </w:rPr>
        <w:t>Artykuł 3</w:t>
      </w:r>
    </w:p>
    <w:bookmarkEnd w:id="1"/>
    <w:p w14:paraId="58D3E434" w14:textId="77777777" w:rsidR="006D605C" w:rsidRPr="003D5AFB" w:rsidRDefault="006D605C" w:rsidP="006D605C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Oddawanie do użytku</w:t>
      </w:r>
    </w:p>
    <w:p w14:paraId="53E67223" w14:textId="39B9CF21" w:rsidR="006D605C" w:rsidRPr="003D5AFB" w:rsidRDefault="006D605C" w:rsidP="006D605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 xml:space="preserve">Dymomierze muszą spełniać wymagania metrologiczne i techniczne określone </w:t>
      </w:r>
      <w:bookmarkStart w:id="2" w:name="_Hlk63409046"/>
      <w:bookmarkStart w:id="3" w:name="_Hlk63674255"/>
      <w:r>
        <w:rPr>
          <w:rFonts w:ascii="Garamond" w:hAnsi="Garamond"/>
          <w:sz w:val="24"/>
        </w:rPr>
        <w:t xml:space="preserve">w </w:t>
      </w:r>
      <w:bookmarkEnd w:id="2"/>
      <w:bookmarkEnd w:id="3"/>
      <w:r>
        <w:rPr>
          <w:rFonts w:ascii="Garamond" w:hAnsi="Garamond"/>
          <w:sz w:val="24"/>
        </w:rPr>
        <w:t>normie ISO 11614.</w:t>
      </w:r>
    </w:p>
    <w:p w14:paraId="329073A8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110D83CD" w14:textId="43F70083" w:rsidR="00533F9E" w:rsidRPr="003D5AFB" w:rsidRDefault="00533F9E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Artykuł 4</w:t>
      </w:r>
    </w:p>
    <w:p w14:paraId="75DB895D" w14:textId="58B82272" w:rsidR="00C75076" w:rsidRPr="003D5AFB" w:rsidRDefault="00597F39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/>
          <w:sz w:val="24"/>
        </w:rPr>
        <w:t>Wskazanie</w:t>
      </w:r>
    </w:p>
    <w:p w14:paraId="7F87933E" w14:textId="542F813F" w:rsidR="00197A36" w:rsidRPr="00197A36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(1) Wskazanie dymomierzy wyraża się współczynnikiem pochłaniania światła, przedstawianym za pomocą symbolu k i w jednostce m</w:t>
      </w:r>
      <w:r>
        <w:rPr>
          <w:rFonts w:ascii="Garamond" w:hAnsi="Garamond"/>
          <w:sz w:val="24"/>
          <w:vertAlign w:val="superscript"/>
        </w:rPr>
        <w:t>-1</w:t>
      </w:r>
      <w:r>
        <w:rPr>
          <w:rFonts w:ascii="Garamond" w:hAnsi="Garamond"/>
          <w:sz w:val="24"/>
        </w:rPr>
        <w:t>.</w:t>
      </w:r>
    </w:p>
    <w:p w14:paraId="0F28A0DF" w14:textId="3D7E2FD2" w:rsidR="00197A36" w:rsidRPr="00197A36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(2) Wartości nieprzezroczystości są procentowe i są wyrażone symbolem N.</w:t>
      </w:r>
    </w:p>
    <w:p w14:paraId="7B029027" w14:textId="571AF0FE" w:rsidR="001B79B7" w:rsidRPr="003D5AFB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(3) Gdy współczynnik przeliczeniowy jest należycie wyrażony, można przyjąć inne równoważne jednostki na podstawie jednostek Międzynarodowego Układu Jednostek Miar (SI).</w:t>
      </w:r>
    </w:p>
    <w:p w14:paraId="6978003C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488AB2F" w14:textId="3E4CF1F1" w:rsidR="00503EE6" w:rsidRPr="003D5AFB" w:rsidRDefault="00503EE6" w:rsidP="005024E2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lastRenderedPageBreak/>
        <w:t>Artykuł 5</w:t>
      </w:r>
    </w:p>
    <w:p w14:paraId="7A1BEF1E" w14:textId="77777777" w:rsidR="00503EE6" w:rsidRPr="003D5AFB" w:rsidRDefault="00503EE6" w:rsidP="005024E2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Prawna kontrola metrologiczna</w:t>
      </w:r>
    </w:p>
    <w:p w14:paraId="1A8C137B" w14:textId="3F9C24C1" w:rsidR="00A57A1C" w:rsidRPr="003D5AFB" w:rsidRDefault="00503EE6" w:rsidP="005024E2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 xml:space="preserve">Za prawną kontrolę metrologiczną </w:t>
      </w:r>
      <w:bookmarkStart w:id="4" w:name="_Hlk106875133"/>
      <w:r>
        <w:rPr>
          <w:rFonts w:ascii="Garamond" w:hAnsi="Garamond"/>
          <w:sz w:val="24"/>
        </w:rPr>
        <w:t>dymomierzy</w:t>
      </w:r>
      <w:bookmarkEnd w:id="4"/>
      <w:r>
        <w:rPr>
          <w:rFonts w:ascii="Garamond" w:hAnsi="Garamond"/>
          <w:sz w:val="24"/>
        </w:rPr>
        <w:t xml:space="preserve"> odpowiada portugalski Instytut Jakości, I. P. (IPQ, I. P.) i obejmuje zatwierdzenie modelu, legalizację pierwotną, legalizację okresową i legalizację specjalną.</w:t>
      </w:r>
    </w:p>
    <w:p w14:paraId="70D6A65A" w14:textId="77777777" w:rsidR="00FC7BA5" w:rsidRPr="003D5AFB" w:rsidRDefault="00FC7BA5" w:rsidP="00093EA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45623B" w14:textId="732021EA" w:rsidR="00503EE6" w:rsidRPr="003D5AFB" w:rsidRDefault="00503EE6" w:rsidP="00104E49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Artykuł 6</w:t>
      </w:r>
    </w:p>
    <w:p w14:paraId="2FD67190" w14:textId="19023FF4" w:rsidR="00503EE6" w:rsidRPr="003D5AFB" w:rsidRDefault="00727801" w:rsidP="00104E49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Zatwierdzenie modelu</w:t>
      </w:r>
    </w:p>
    <w:p w14:paraId="07DF1D43" w14:textId="149EC1C6" w:rsidR="00BF3396" w:rsidRDefault="00BF3396" w:rsidP="00BF3396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(1) Wzór zatwierdzenia musi być zgodny z wymogami określonymi w art. 7 dekretu z mocą ustawy nr 29/2022 z dnia 7 kwietnia 2022 r. oraz w art. 2 rozporządzenia załączonego do zarządzenia nr 211/2022 z dnia 23 sierpnia 2022 r.</w:t>
      </w:r>
    </w:p>
    <w:p w14:paraId="157246D2" w14:textId="297C8A92" w:rsidR="00BF3396" w:rsidRDefault="00BF3396" w:rsidP="00BF3396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</w:rPr>
        <w:t xml:space="preserve">(2) W okresie ważności zatwierdzenia modelu każda zmiana dokonana w zatwierdzonym modelu poprzez zastąpienie elementów, dodanie dodatkowych urządzeń, </w:t>
      </w:r>
      <w:r>
        <w:rPr>
          <w:rFonts w:ascii="Garamond" w:hAnsi="Garamond"/>
          <w:color w:val="000000"/>
          <w:sz w:val="24"/>
        </w:rPr>
        <w:t xml:space="preserve">zmianę zainstalowanego oprogramowania </w:t>
      </w:r>
      <w:r>
        <w:rPr>
          <w:rFonts w:ascii="Garamond" w:hAnsi="Garamond"/>
          <w:i/>
          <w:iCs/>
          <w:color w:val="000000"/>
          <w:sz w:val="24"/>
        </w:rPr>
        <w:t>(software)</w:t>
      </w:r>
      <w:r>
        <w:rPr>
          <w:rFonts w:ascii="Garamond" w:hAnsi="Garamond"/>
          <w:color w:val="000000"/>
          <w:sz w:val="24"/>
        </w:rPr>
        <w:t xml:space="preserve"> lub zmiany mogące wpłynąć na wyniki pomiarów lub zalecane warunki użytkowania, wymaga dodatkowego zatwierdzenia modelu.</w:t>
      </w:r>
    </w:p>
    <w:p w14:paraId="5C139199" w14:textId="0E76FCE2" w:rsidR="00BF3396" w:rsidRDefault="00BF3396" w:rsidP="00BF3396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</w:rPr>
        <w:t>(3) Oprogramowanie stosowane przez dymomierze musi gwarantować integralność i poufność gromadzonych i prezentowanych danych oraz musi podlegać unikalnej i jednoznacznej identyfikacji.</w:t>
      </w:r>
    </w:p>
    <w:p w14:paraId="2FCFDA57" w14:textId="59631F94" w:rsidR="007204A7" w:rsidRPr="003D5AFB" w:rsidRDefault="007204A7" w:rsidP="002C68EA">
      <w:pPr>
        <w:pStyle w:val="ListParagraph"/>
        <w:spacing w:after="120" w:line="360" w:lineRule="auto"/>
        <w:ind w:left="0"/>
        <w:contextualSpacing w:val="0"/>
        <w:jc w:val="both"/>
        <w:rPr>
          <w:rFonts w:ascii="Garamond" w:hAnsi="Garamond" w:cs="Arial"/>
          <w:sz w:val="24"/>
          <w:szCs w:val="24"/>
        </w:rPr>
      </w:pPr>
    </w:p>
    <w:p w14:paraId="7C0C899C" w14:textId="006A9304" w:rsidR="00F60431" w:rsidRPr="003D5AFB" w:rsidRDefault="00F60431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Artykuł 7</w:t>
      </w:r>
    </w:p>
    <w:p w14:paraId="34626D98" w14:textId="7B508073" w:rsidR="00F97B29" w:rsidRPr="003D5AFB" w:rsidRDefault="00570BD9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Legalizacja pierwotna</w:t>
      </w:r>
    </w:p>
    <w:p w14:paraId="43E5DF15" w14:textId="05439965" w:rsidR="0087542F" w:rsidRPr="003D5AFB" w:rsidRDefault="0087542F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(1) Legalizację pierwotną przeprowadza się przed wprowadzeniem przyrządu do obrotu lub po jego naprawie oraz za każdym razem, gdy dochodzi do naruszenia systemu uszczelniającego, bez legalizacji okresowej w danym roku i o takim samym okresie ważności.</w:t>
      </w:r>
    </w:p>
    <w:p w14:paraId="5A2368F9" w14:textId="167DAACC" w:rsidR="003842F2" w:rsidRPr="003D5AFB" w:rsidRDefault="003842F2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(2) Badania w ramach legalizacji pierwotnej przeprowadza się zgodnie z wymogami metrologicznymi i technicznymi określonymi w art. 3 niniejszego rozporządzenia.</w:t>
      </w:r>
    </w:p>
    <w:p w14:paraId="320CE689" w14:textId="6E0E1DB0" w:rsidR="00A17F17" w:rsidRDefault="003842F2" w:rsidP="00A17F17">
      <w:pPr>
        <w:jc w:val="both"/>
        <w:rPr>
          <w:rFonts w:ascii="Garamond" w:hAnsi="Garamond" w:cs="Arial"/>
          <w:sz w:val="24"/>
          <w:szCs w:val="24"/>
        </w:rPr>
      </w:pPr>
      <w:bookmarkStart w:id="5" w:name="_Hlk63414812"/>
      <w:r>
        <w:rPr>
          <w:rFonts w:ascii="Garamond" w:hAnsi="Garamond"/>
          <w:sz w:val="24"/>
        </w:rPr>
        <w:t>(3)</w:t>
      </w:r>
      <w:bookmarkEnd w:id="5"/>
      <w:r>
        <w:rPr>
          <w:rFonts w:ascii="Garamond" w:hAnsi="Garamond"/>
          <w:sz w:val="24"/>
        </w:rPr>
        <w:t xml:space="preserve"> Maksymalne dopuszczalne wartości błędu dla legalizacji pierwotnej są równe ±2 % nieprzezroczystości, N.  </w:t>
      </w:r>
    </w:p>
    <w:p w14:paraId="03EBD602" w14:textId="77777777" w:rsidR="00A57A1C" w:rsidRPr="003D5AFB" w:rsidRDefault="00A57A1C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6FC48BE" w14:textId="1622D2EA" w:rsidR="00503EE6" w:rsidRPr="003D5AFB" w:rsidRDefault="00503EE6" w:rsidP="002A652C">
      <w:pPr>
        <w:keepNext/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lastRenderedPageBreak/>
        <w:t>Artykuł 8</w:t>
      </w:r>
    </w:p>
    <w:p w14:paraId="177F56D3" w14:textId="77777777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Legalizacja okresowa</w:t>
      </w:r>
    </w:p>
    <w:p w14:paraId="62D7103A" w14:textId="3D028C7A" w:rsidR="005E797A" w:rsidRDefault="005E797A" w:rsidP="005E797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6" w:name="_Hlk107869984"/>
      <w:bookmarkStart w:id="7" w:name="_Hlk107936171"/>
      <w:r>
        <w:rPr>
          <w:rFonts w:ascii="Garamond" w:hAnsi="Garamond"/>
          <w:sz w:val="24"/>
        </w:rPr>
        <w:t>(1) Legalizacja okresowa ma częstotliwość roczną i jest ważna przez rok po jej dokonaniu.</w:t>
      </w:r>
    </w:p>
    <w:bookmarkEnd w:id="6"/>
    <w:bookmarkEnd w:id="7"/>
    <w:p w14:paraId="583B7830" w14:textId="4D5C067E" w:rsidR="002B5F8C" w:rsidRPr="003D5AFB" w:rsidRDefault="002B5F8C" w:rsidP="002B5F8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(2) Badania legalizacji okresowej są takie same jak badania ustanowione dla legalizacji pierwotnej.</w:t>
      </w:r>
    </w:p>
    <w:p w14:paraId="6E7C93C7" w14:textId="5E71EEB5" w:rsidR="0073637C" w:rsidRPr="003D5AFB" w:rsidRDefault="002B5F8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(3) Wartości maksymalnych dopuszczalnych błędów podczas legalizacji okresowej są równe wartościom maksymalnych dopuszczalnych błędów ustalonych dla legalizacji pierwotnej.</w:t>
      </w:r>
    </w:p>
    <w:p w14:paraId="3A15EA1F" w14:textId="77777777" w:rsidR="00A57A1C" w:rsidRPr="003D5AFB" w:rsidRDefault="00A57A1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484A3A9A" w14:textId="243DF155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Artykuł 9</w:t>
      </w:r>
    </w:p>
    <w:p w14:paraId="62B7028E" w14:textId="77777777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Legalizacja specjalna</w:t>
      </w:r>
    </w:p>
    <w:p w14:paraId="21E9EEE9" w14:textId="5CC7507F" w:rsidR="00503EE6" w:rsidRPr="003D5AFB" w:rsidRDefault="00944E05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(1) Legalizacja specjalna obejmuje badania legalizacji okresowej.</w:t>
      </w:r>
    </w:p>
    <w:p w14:paraId="7447DA07" w14:textId="6567F499" w:rsidR="00503EE6" w:rsidRPr="003D5AFB" w:rsidRDefault="00503EE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(2) Podczas legalizacji specjalnej wartości maksymalnych dopuszczalnych błędów są równe wartościom maksymalnych dopuszczalnych błędów ustalonych dla legalizacji okresowej.</w:t>
      </w:r>
    </w:p>
    <w:p w14:paraId="0BE4205E" w14:textId="77777777" w:rsidR="0073637C" w:rsidRPr="003D5AFB" w:rsidRDefault="0073637C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C617DDA" w14:textId="72BADA5C" w:rsidR="000A231E" w:rsidRPr="003D5AFB" w:rsidRDefault="000A231E" w:rsidP="007366C9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Artykuł 10</w:t>
      </w:r>
    </w:p>
    <w:p w14:paraId="39298155" w14:textId="53987728" w:rsidR="000A231E" w:rsidRPr="003D5AFB" w:rsidRDefault="000A231E" w:rsidP="007366C9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Napisy i oznaczenia</w:t>
      </w:r>
    </w:p>
    <w:p w14:paraId="7A96B35F" w14:textId="514B3BE3" w:rsidR="004A5897" w:rsidRPr="003D5AFB" w:rsidRDefault="004A5897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8" w:name="_Hlk82391725"/>
      <w:bookmarkStart w:id="9" w:name="_Hlk82391591"/>
      <w:r>
        <w:rPr>
          <w:rFonts w:ascii="Garamond" w:hAnsi="Garamond"/>
          <w:sz w:val="24"/>
        </w:rPr>
        <w:t>(1) Na dymomierzach w sposób widoczny i czytelny umieszcza się napisy i oznaczenia wskazujące na spełnienie wymagań metrologicznych określonych w art. 3 niniejszego rozporządzenia.</w:t>
      </w:r>
    </w:p>
    <w:p w14:paraId="28620774" w14:textId="7685BCFA" w:rsidR="004A5897" w:rsidRPr="003D5AFB" w:rsidRDefault="004A5897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(2)</w:t>
      </w:r>
      <w:bookmarkEnd w:id="8"/>
      <w:r>
        <w:rPr>
          <w:rFonts w:ascii="Garamond" w:hAnsi="Garamond"/>
          <w:sz w:val="24"/>
        </w:rPr>
        <w:t xml:space="preserve"> Dymomierze opatrzone są również symbolem zatwierdzenia modelu oraz innymi symbolami lub odniesieniami korzystnymi do ich stosowania.</w:t>
      </w:r>
    </w:p>
    <w:bookmarkEnd w:id="9"/>
    <w:p w14:paraId="7ACAD7AE" w14:textId="6B227A09" w:rsidR="00FC57F5" w:rsidRPr="003D5AFB" w:rsidRDefault="00FC57F5" w:rsidP="00BF69F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3842174" w14:textId="79CCA1CF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bookmarkStart w:id="10" w:name="_Hlk63417111"/>
      <w:r>
        <w:rPr>
          <w:rFonts w:ascii="Garamond" w:hAnsi="Garamond"/>
          <w:sz w:val="24"/>
        </w:rPr>
        <w:t>Artykuł 11</w:t>
      </w:r>
    </w:p>
    <w:p w14:paraId="7F04099F" w14:textId="77777777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Przepis przejściowy</w:t>
      </w:r>
    </w:p>
    <w:bookmarkEnd w:id="10"/>
    <w:p w14:paraId="441DDFF2" w14:textId="48C08D7A" w:rsidR="00D24055" w:rsidRPr="003D5AFB" w:rsidRDefault="00D24055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Przyrządy mogą pozostać w użyciu, jeżeli są w dobrym stanie i jeżeli w badaniach legalizacji metrologicznej uzyskają błędy, które nie przekraczają maksymalnych błędów dopuszczalnych.</w:t>
      </w:r>
    </w:p>
    <w:p w14:paraId="12DE1FBE" w14:textId="77777777" w:rsidR="00BF69F3" w:rsidRPr="003D5AFB" w:rsidRDefault="00BF69F3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</w:p>
    <w:p w14:paraId="1F4559B5" w14:textId="100C162E" w:rsidR="00336A88" w:rsidRPr="003D5AFB" w:rsidRDefault="00336A88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lastRenderedPageBreak/>
        <w:t>Artykuł 12</w:t>
      </w:r>
    </w:p>
    <w:p w14:paraId="00AFCFB4" w14:textId="2D0E9E49" w:rsidR="0014394D" w:rsidRPr="003D5AFB" w:rsidRDefault="00336A88" w:rsidP="00BF69F3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Postanowienia końcowe </w:t>
      </w:r>
    </w:p>
    <w:p w14:paraId="745D5232" w14:textId="79E15894" w:rsidR="00181C8E" w:rsidRPr="003D5AFB" w:rsidRDefault="00181C8E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Przepisy poprzednich artykułów nie stanowią przeszkody dla wprowadzania do obrotu lub dalszego stosowania dymomierzy, którym towarzyszą świadectwa oceny zgodności wydane przez jednostki uznane na mocy mającego zastosowanie prawodawstwa Unii Europejskiej, w zakresie działalności metrologii prawnej, w oparciu o specyfikacje i procedury zapewniające jakość metrologiczną zgodną z zamierzoną w niniejszym rozporządzeniu, przy czym równoważność jest oceniana przez IPQ, I. P.</w:t>
      </w:r>
    </w:p>
    <w:sectPr w:rsidR="00181C8E" w:rsidRPr="003D5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B060" w14:textId="77777777" w:rsidR="008A7813" w:rsidRDefault="008A7813" w:rsidP="00344923">
      <w:pPr>
        <w:spacing w:after="0" w:line="240" w:lineRule="auto"/>
      </w:pPr>
      <w:r>
        <w:separator/>
      </w:r>
    </w:p>
  </w:endnote>
  <w:endnote w:type="continuationSeparator" w:id="0">
    <w:p w14:paraId="1FBDF394" w14:textId="77777777" w:rsidR="008A7813" w:rsidRDefault="008A7813" w:rsidP="0034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418B" w14:textId="77777777" w:rsidR="008A7813" w:rsidRDefault="008A7813" w:rsidP="00344923">
      <w:pPr>
        <w:spacing w:after="0" w:line="240" w:lineRule="auto"/>
      </w:pPr>
      <w:r>
        <w:separator/>
      </w:r>
    </w:p>
  </w:footnote>
  <w:footnote w:type="continuationSeparator" w:id="0">
    <w:p w14:paraId="5E8F1505" w14:textId="77777777" w:rsidR="008A7813" w:rsidRDefault="008A7813" w:rsidP="0034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1B24"/>
    <w:multiLevelType w:val="hybridMultilevel"/>
    <w:tmpl w:val="EC52C69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19704B"/>
    <w:multiLevelType w:val="hybridMultilevel"/>
    <w:tmpl w:val="600AF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209D"/>
    <w:multiLevelType w:val="hybridMultilevel"/>
    <w:tmpl w:val="DC60F1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0405"/>
    <w:multiLevelType w:val="hybridMultilevel"/>
    <w:tmpl w:val="CAEC66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18954">
    <w:abstractNumId w:val="0"/>
  </w:num>
  <w:num w:numId="2" w16cid:durableId="2119715062">
    <w:abstractNumId w:val="2"/>
  </w:num>
  <w:num w:numId="3" w16cid:durableId="1937520543">
    <w:abstractNumId w:val="3"/>
  </w:num>
  <w:num w:numId="4" w16cid:durableId="27749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1D"/>
    <w:rsid w:val="00000BDE"/>
    <w:rsid w:val="0001190B"/>
    <w:rsid w:val="00013DAB"/>
    <w:rsid w:val="00032B15"/>
    <w:rsid w:val="00073EEC"/>
    <w:rsid w:val="0008627E"/>
    <w:rsid w:val="00093EAB"/>
    <w:rsid w:val="000A115E"/>
    <w:rsid w:val="000A231E"/>
    <w:rsid w:val="000D5C89"/>
    <w:rsid w:val="000E0638"/>
    <w:rsid w:val="000E597C"/>
    <w:rsid w:val="000E7B45"/>
    <w:rsid w:val="00104E49"/>
    <w:rsid w:val="00120B97"/>
    <w:rsid w:val="001248EE"/>
    <w:rsid w:val="0014090F"/>
    <w:rsid w:val="0014394D"/>
    <w:rsid w:val="00150079"/>
    <w:rsid w:val="00157B9F"/>
    <w:rsid w:val="00167FC3"/>
    <w:rsid w:val="00172C89"/>
    <w:rsid w:val="00181C8E"/>
    <w:rsid w:val="00187C7C"/>
    <w:rsid w:val="00191916"/>
    <w:rsid w:val="00197A36"/>
    <w:rsid w:val="001B79B7"/>
    <w:rsid w:val="001D20BF"/>
    <w:rsid w:val="001D7B24"/>
    <w:rsid w:val="001E2713"/>
    <w:rsid w:val="002008BE"/>
    <w:rsid w:val="00206996"/>
    <w:rsid w:val="002129E8"/>
    <w:rsid w:val="00213547"/>
    <w:rsid w:val="002207D6"/>
    <w:rsid w:val="002208C1"/>
    <w:rsid w:val="00221DEC"/>
    <w:rsid w:val="002261C4"/>
    <w:rsid w:val="00233473"/>
    <w:rsid w:val="00257208"/>
    <w:rsid w:val="002635B9"/>
    <w:rsid w:val="00272BB1"/>
    <w:rsid w:val="00291C0B"/>
    <w:rsid w:val="002A55E9"/>
    <w:rsid w:val="002A652C"/>
    <w:rsid w:val="002B4130"/>
    <w:rsid w:val="002B5F8C"/>
    <w:rsid w:val="002C3FD8"/>
    <w:rsid w:val="002C51F6"/>
    <w:rsid w:val="002C68EA"/>
    <w:rsid w:val="002F11E4"/>
    <w:rsid w:val="003027CF"/>
    <w:rsid w:val="0031578E"/>
    <w:rsid w:val="0032043E"/>
    <w:rsid w:val="00327929"/>
    <w:rsid w:val="00336A88"/>
    <w:rsid w:val="00344923"/>
    <w:rsid w:val="00355D97"/>
    <w:rsid w:val="003602EC"/>
    <w:rsid w:val="00383640"/>
    <w:rsid w:val="003842F2"/>
    <w:rsid w:val="00392067"/>
    <w:rsid w:val="00394E9F"/>
    <w:rsid w:val="003D5AFB"/>
    <w:rsid w:val="003E427B"/>
    <w:rsid w:val="003E6488"/>
    <w:rsid w:val="003F0878"/>
    <w:rsid w:val="0043441C"/>
    <w:rsid w:val="00437F7F"/>
    <w:rsid w:val="004629AB"/>
    <w:rsid w:val="0047061A"/>
    <w:rsid w:val="00473279"/>
    <w:rsid w:val="004A5897"/>
    <w:rsid w:val="004D2E9B"/>
    <w:rsid w:val="004D6DB6"/>
    <w:rsid w:val="004E5050"/>
    <w:rsid w:val="004F3F34"/>
    <w:rsid w:val="004F6C7F"/>
    <w:rsid w:val="004F7424"/>
    <w:rsid w:val="00501FB0"/>
    <w:rsid w:val="005024E2"/>
    <w:rsid w:val="00503EE6"/>
    <w:rsid w:val="0050525F"/>
    <w:rsid w:val="00525093"/>
    <w:rsid w:val="00533F9E"/>
    <w:rsid w:val="00550D71"/>
    <w:rsid w:val="00552B46"/>
    <w:rsid w:val="00556EE6"/>
    <w:rsid w:val="00561A2D"/>
    <w:rsid w:val="0056458D"/>
    <w:rsid w:val="00570BD9"/>
    <w:rsid w:val="00572E2D"/>
    <w:rsid w:val="00584418"/>
    <w:rsid w:val="00584675"/>
    <w:rsid w:val="0058561B"/>
    <w:rsid w:val="005935A3"/>
    <w:rsid w:val="00593E38"/>
    <w:rsid w:val="0059504B"/>
    <w:rsid w:val="00597F39"/>
    <w:rsid w:val="005B3B89"/>
    <w:rsid w:val="005D6074"/>
    <w:rsid w:val="005E017D"/>
    <w:rsid w:val="005E797A"/>
    <w:rsid w:val="005F1A28"/>
    <w:rsid w:val="006116CE"/>
    <w:rsid w:val="00617915"/>
    <w:rsid w:val="00624047"/>
    <w:rsid w:val="006246CC"/>
    <w:rsid w:val="00624B50"/>
    <w:rsid w:val="00643D18"/>
    <w:rsid w:val="00644DCE"/>
    <w:rsid w:val="00645700"/>
    <w:rsid w:val="0064792A"/>
    <w:rsid w:val="00664687"/>
    <w:rsid w:val="00664E24"/>
    <w:rsid w:val="00676C90"/>
    <w:rsid w:val="00690D4A"/>
    <w:rsid w:val="00694D01"/>
    <w:rsid w:val="00695633"/>
    <w:rsid w:val="006D605C"/>
    <w:rsid w:val="006E2787"/>
    <w:rsid w:val="00713821"/>
    <w:rsid w:val="007204A7"/>
    <w:rsid w:val="00727801"/>
    <w:rsid w:val="00727A58"/>
    <w:rsid w:val="0073637C"/>
    <w:rsid w:val="007366C9"/>
    <w:rsid w:val="00752C59"/>
    <w:rsid w:val="00754149"/>
    <w:rsid w:val="007600B5"/>
    <w:rsid w:val="007728C9"/>
    <w:rsid w:val="0078610F"/>
    <w:rsid w:val="007A512B"/>
    <w:rsid w:val="007C0464"/>
    <w:rsid w:val="007C6DD2"/>
    <w:rsid w:val="007E5832"/>
    <w:rsid w:val="007E5C60"/>
    <w:rsid w:val="008100B7"/>
    <w:rsid w:val="00814D47"/>
    <w:rsid w:val="0081718A"/>
    <w:rsid w:val="008218A2"/>
    <w:rsid w:val="00826185"/>
    <w:rsid w:val="00826762"/>
    <w:rsid w:val="008317C9"/>
    <w:rsid w:val="00834A86"/>
    <w:rsid w:val="0084050B"/>
    <w:rsid w:val="00841515"/>
    <w:rsid w:val="008552E9"/>
    <w:rsid w:val="00862940"/>
    <w:rsid w:val="0087542F"/>
    <w:rsid w:val="00897C78"/>
    <w:rsid w:val="008A7813"/>
    <w:rsid w:val="008D118F"/>
    <w:rsid w:val="008D4310"/>
    <w:rsid w:val="008E740B"/>
    <w:rsid w:val="008E76A4"/>
    <w:rsid w:val="00921B47"/>
    <w:rsid w:val="00921FB3"/>
    <w:rsid w:val="00933FA6"/>
    <w:rsid w:val="0093713E"/>
    <w:rsid w:val="00944E05"/>
    <w:rsid w:val="0095516A"/>
    <w:rsid w:val="00956E26"/>
    <w:rsid w:val="00960D0F"/>
    <w:rsid w:val="0096781D"/>
    <w:rsid w:val="00974B6D"/>
    <w:rsid w:val="00991E2E"/>
    <w:rsid w:val="009A06F9"/>
    <w:rsid w:val="009B2CD5"/>
    <w:rsid w:val="009B3585"/>
    <w:rsid w:val="009C3031"/>
    <w:rsid w:val="009E4A31"/>
    <w:rsid w:val="00A06037"/>
    <w:rsid w:val="00A11D7E"/>
    <w:rsid w:val="00A137F1"/>
    <w:rsid w:val="00A17F17"/>
    <w:rsid w:val="00A264B0"/>
    <w:rsid w:val="00A271F7"/>
    <w:rsid w:val="00A31292"/>
    <w:rsid w:val="00A36AE0"/>
    <w:rsid w:val="00A55ED6"/>
    <w:rsid w:val="00A57A1C"/>
    <w:rsid w:val="00A653AF"/>
    <w:rsid w:val="00A67E46"/>
    <w:rsid w:val="00A77330"/>
    <w:rsid w:val="00A86454"/>
    <w:rsid w:val="00A87329"/>
    <w:rsid w:val="00A94101"/>
    <w:rsid w:val="00AD15A5"/>
    <w:rsid w:val="00AE1812"/>
    <w:rsid w:val="00AE5805"/>
    <w:rsid w:val="00AF2A91"/>
    <w:rsid w:val="00B42A12"/>
    <w:rsid w:val="00B438A7"/>
    <w:rsid w:val="00B45C40"/>
    <w:rsid w:val="00B55531"/>
    <w:rsid w:val="00B85EFB"/>
    <w:rsid w:val="00B86C46"/>
    <w:rsid w:val="00BB424A"/>
    <w:rsid w:val="00BC41EE"/>
    <w:rsid w:val="00BE0BC3"/>
    <w:rsid w:val="00BF3396"/>
    <w:rsid w:val="00BF69F3"/>
    <w:rsid w:val="00BF701A"/>
    <w:rsid w:val="00BF7C4A"/>
    <w:rsid w:val="00C01D7B"/>
    <w:rsid w:val="00C110C9"/>
    <w:rsid w:val="00C116B9"/>
    <w:rsid w:val="00C32240"/>
    <w:rsid w:val="00C342DF"/>
    <w:rsid w:val="00C37AFB"/>
    <w:rsid w:val="00C40024"/>
    <w:rsid w:val="00C62C54"/>
    <w:rsid w:val="00C65889"/>
    <w:rsid w:val="00C75076"/>
    <w:rsid w:val="00C87710"/>
    <w:rsid w:val="00C96A98"/>
    <w:rsid w:val="00C97828"/>
    <w:rsid w:val="00CA3DB1"/>
    <w:rsid w:val="00CB4532"/>
    <w:rsid w:val="00CB479D"/>
    <w:rsid w:val="00CB623B"/>
    <w:rsid w:val="00CC6BCA"/>
    <w:rsid w:val="00CD6108"/>
    <w:rsid w:val="00CD6DFD"/>
    <w:rsid w:val="00CE4CC9"/>
    <w:rsid w:val="00CF41B0"/>
    <w:rsid w:val="00CF57EB"/>
    <w:rsid w:val="00D10CD1"/>
    <w:rsid w:val="00D24055"/>
    <w:rsid w:val="00D25AFC"/>
    <w:rsid w:val="00D32597"/>
    <w:rsid w:val="00D3733D"/>
    <w:rsid w:val="00D44515"/>
    <w:rsid w:val="00D4592B"/>
    <w:rsid w:val="00D61662"/>
    <w:rsid w:val="00D62496"/>
    <w:rsid w:val="00D629C3"/>
    <w:rsid w:val="00D749D5"/>
    <w:rsid w:val="00D7502D"/>
    <w:rsid w:val="00D82562"/>
    <w:rsid w:val="00DA1DE2"/>
    <w:rsid w:val="00DA4432"/>
    <w:rsid w:val="00DB0ED2"/>
    <w:rsid w:val="00DB3A4E"/>
    <w:rsid w:val="00DB5B5F"/>
    <w:rsid w:val="00DB710D"/>
    <w:rsid w:val="00DC17F8"/>
    <w:rsid w:val="00DD5624"/>
    <w:rsid w:val="00DE6AEC"/>
    <w:rsid w:val="00DE7ABD"/>
    <w:rsid w:val="00E0501D"/>
    <w:rsid w:val="00E0652D"/>
    <w:rsid w:val="00E144AF"/>
    <w:rsid w:val="00E257B2"/>
    <w:rsid w:val="00E37926"/>
    <w:rsid w:val="00E51F0B"/>
    <w:rsid w:val="00E60B65"/>
    <w:rsid w:val="00E73797"/>
    <w:rsid w:val="00E77C9F"/>
    <w:rsid w:val="00E9606F"/>
    <w:rsid w:val="00EA7E19"/>
    <w:rsid w:val="00EB3C2E"/>
    <w:rsid w:val="00EC1B91"/>
    <w:rsid w:val="00EF7D48"/>
    <w:rsid w:val="00F02FF6"/>
    <w:rsid w:val="00F071F7"/>
    <w:rsid w:val="00F220CE"/>
    <w:rsid w:val="00F31C27"/>
    <w:rsid w:val="00F359E3"/>
    <w:rsid w:val="00F376A5"/>
    <w:rsid w:val="00F5051C"/>
    <w:rsid w:val="00F60431"/>
    <w:rsid w:val="00F721C3"/>
    <w:rsid w:val="00F97B29"/>
    <w:rsid w:val="00FC57F5"/>
    <w:rsid w:val="00FC7BA5"/>
    <w:rsid w:val="00FD3C18"/>
    <w:rsid w:val="00FD5141"/>
    <w:rsid w:val="00FE18CA"/>
    <w:rsid w:val="00FE2F77"/>
    <w:rsid w:val="00FE5AA9"/>
    <w:rsid w:val="00FF0061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A2D4C"/>
  <w15:chartTrackingRefBased/>
  <w15:docId w15:val="{209064F1-3177-49F8-BAE4-0A4F8AC6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23"/>
  </w:style>
  <w:style w:type="paragraph" w:styleId="Footer">
    <w:name w:val="footer"/>
    <w:basedOn w:val="Normal"/>
    <w:link w:val="FooterChar"/>
    <w:uiPriority w:val="99"/>
    <w:unhideWhenUsed/>
    <w:rsid w:val="00344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23"/>
  </w:style>
  <w:style w:type="paragraph" w:styleId="ListParagraph">
    <w:name w:val="List Paragraph"/>
    <w:basedOn w:val="Normal"/>
    <w:uiPriority w:val="34"/>
    <w:qFormat/>
    <w:rsid w:val="00355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7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68D4DB638D4D83CFEF74C12CB670" ma:contentTypeVersion="4" ma:contentTypeDescription="Create a new document." ma:contentTypeScope="" ma:versionID="29f85d568f2483290e2dfc2f2d882393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8e9f0b2ccab4fb9ae99fd794bcfb2110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IPQDOC-224-38341</_dlc_DocId>
    <_dlc_DocIdUrl xmlns="716b16a7-de2f-47cc-9eaa-991bdb9199e1">
      <Url>http://ipq1sapp01:9999/DMET/_layouts/DocIdRedir.aspx?ID=IPQDOC-224-38341</Url>
      <Description>IPQDOC-224-38341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014FB8-1673-4D40-ADD5-EBE585697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b16a7-de2f-47cc-9eaa-991bdb9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54567-45D1-4A3C-88CC-5B9388739A6A}">
  <ds:schemaRefs>
    <ds:schemaRef ds:uri="http://schemas.microsoft.com/office/2006/metadata/properties"/>
    <ds:schemaRef ds:uri="http://schemas.microsoft.com/office/infopath/2007/PartnerControls"/>
    <ds:schemaRef ds:uri="716b16a7-de2f-47cc-9eaa-991bdb9199e1"/>
  </ds:schemaRefs>
</ds:datastoreItem>
</file>

<file path=customXml/itemProps3.xml><?xml version="1.0" encoding="utf-8"?>
<ds:datastoreItem xmlns:ds="http://schemas.openxmlformats.org/officeDocument/2006/customXml" ds:itemID="{3D0F512B-875A-4B06-8BC4-34DF7F15D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6EA6A-55BD-4596-87D2-826D3BE138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MCFerreira@ipq.pt</dc:creator>
  <cp:keywords/>
  <dc:description/>
  <cp:lastModifiedBy>Liana Brili</cp:lastModifiedBy>
  <cp:revision>4</cp:revision>
  <dcterms:created xsi:type="dcterms:W3CDTF">2023-04-03T15:23:00Z</dcterms:created>
  <dcterms:modified xsi:type="dcterms:W3CDTF">2023-04-18T13:45:00Z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4600ee9b-d3c1-4d72-9efa-04b38c3a2de3</vt:lpwstr>
  </property>
  <property fmtid="{D5CDD505-2E9C-101B-9397-08002B2CF9AE}" pid="3" name="ContentTypeId">
    <vt:lpwstr>0x01010090B068D4DB638D4D83CFEF74C12CB670</vt:lpwstr>
  </property>
</Properties>
</file>