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F15" w:rsidRDefault="00C72F15" w:rsidP="00C72F15">
      <w:pPr>
        <w:jc w:val="center"/>
        <w:rPr>
          <w:rFonts w:ascii="Courier New" w:hAnsi="Courier New"/>
          <w:sz w:val="20"/>
        </w:rPr>
      </w:pPr>
      <w:bookmarkStart w:id="0" w:name="_Hlk58612681"/>
      <w:r>
        <w:rPr>
          <w:rFonts w:ascii="Courier New" w:hAnsi="Courier New"/>
          <w:sz w:val="20"/>
        </w:rPr>
        <w:t xml:space="preserve">1. ------IND- 2021 0013 D-- RO- ------ 20210126 --- --- </w:t>
      </w:r>
      <w:bookmarkEnd w:id="0"/>
      <w:r>
        <w:rPr>
          <w:rFonts w:ascii="Courier New" w:hAnsi="Courier New"/>
          <w:sz w:val="20"/>
        </w:rPr>
        <w:t>PROJET</w:t>
      </w:r>
    </w:p>
    <w:p w:rsidR="002B6ABF" w:rsidRPr="00774080" w:rsidRDefault="004B1EAC" w:rsidP="004E1D47">
      <w:pPr>
        <w:pStyle w:val="Heading1"/>
        <w:rPr>
          <w:sz w:val="30"/>
          <w:szCs w:val="30"/>
        </w:rPr>
      </w:pPr>
      <w:r>
        <w:rPr>
          <w:sz w:val="30"/>
          <w:szCs w:val="30"/>
        </w:rPr>
        <w:t>Proiect de lege</w:t>
      </w:r>
    </w:p>
    <w:p w:rsidR="002B6ABF" w:rsidRPr="00774080" w:rsidRDefault="002B6ABF">
      <w:pPr>
        <w:pStyle w:val="Initiant"/>
        <w:rPr>
          <w:szCs w:val="26"/>
        </w:rPr>
      </w:pPr>
      <w:r>
        <w:t>al guvernului federal</w:t>
      </w:r>
    </w:p>
    <w:p w:rsidR="002B6ABF" w:rsidRPr="00774080" w:rsidRDefault="00C80BD3" w:rsidP="007965D0">
      <w:pPr>
        <w:pStyle w:val="VorblattBezeichnung"/>
        <w:jc w:val="center"/>
      </w:pPr>
      <w:r>
        <w:t>Legea de modificare a Legii privind bunăstarea animalelor - interzicerea uciderii puilor</w:t>
      </w:r>
    </w:p>
    <w:p w:rsidR="004B1EAC" w:rsidRPr="00774080" w:rsidRDefault="00EF383E" w:rsidP="00EF383E">
      <w:pPr>
        <w:pStyle w:val="VorblattTitelProblemundZiel"/>
      </w:pPr>
      <w:r>
        <w:t>A. Problema și obiectivul</w:t>
      </w:r>
    </w:p>
    <w:p w:rsidR="003C6535" w:rsidRPr="00774080" w:rsidRDefault="003C6535" w:rsidP="003C6535">
      <w:pPr>
        <w:pStyle w:val="Text"/>
      </w:pPr>
      <w:r>
        <w:t>Oficiul Federal de Statistică raportează că, în 2019, au eclozat aproximativ 45 de milioane de „pui femele crescute pentru producția de ouă”. „puii femele crescuți pentru producția de ouă” sunt pui femele care sunt utilizate ca găini ouătoare după creștere și, prin urmare, sunt obținute, în principal, din liniile de reproducere care, spre deosebire de animalele din rasele crescute în scop dublu, sunt crescute cu scopul specific de a obține o producție ridicată de ouă.</w:t>
      </w:r>
    </w:p>
    <w:p w:rsidR="003C6535" w:rsidRPr="00774080" w:rsidRDefault="003C6535" w:rsidP="003C6535">
      <w:pPr>
        <w:pStyle w:val="Text"/>
      </w:pPr>
      <w:r>
        <w:t>În liniile de reproducere respective eclozează aproximativ 45 de milioane de pui masculi, în plus față de 45 de milioane de pui femele crescute pentru producția de ouă. Producătorii aruncă acești pui masculi din motive economice, deoarece cocoșii nu depun ouă, iar cocoșii din aceste linii de reproducere nu sunt adecvați să fie crescuți ca pui de carne din cauza capacității lor scăzute de îngrășare. Din acest motiv, marea majoritate a puilor masculi sunt în prezent sacrificați în incubatoare la scurt timp după eclozare. Sacrificarea se efectuează, de obicei, prin introducerea unor concentrații ridicate de dioxid de carbon, mai puțin frecvent prin zdrobire.</w:t>
      </w:r>
    </w:p>
    <w:p w:rsidR="003C6535" w:rsidRPr="00774080" w:rsidRDefault="003C6535" w:rsidP="003C6535">
      <w:pPr>
        <w:pStyle w:val="Text"/>
      </w:pPr>
      <w:r>
        <w:t xml:space="preserve">Articolul 1 prima teză din Legea privind bunăstarea animalelor prevede că animalele trebuie protejate: „Scopul prezentei legi este de a proteja viața și bunăstarea animalelor prin asumarea de către oameni a responsabilității față de acestea ca ființe vii.” Articolul 1 a doua teză din Legea privind bunăstarea animalelor prevede: „Nicio persoană nu poate provoca durere, suferință sau vătămare unui animal fără o cauză justificată.” La articolul 1 a doua teză se prevede, pe de altă parte, că durerea, suferința sau vătămarea poate fi totuși cauzată animalelor numai dacă există motive justificate pentru a face acest lucru. În hotărârile sale din 13 iunie 2019 (BVerwG 3 C 28.16, BVerwG 3 C 29.16), Curtea Administrativă Federală a decis că, având în vedere obiectivul național de protejare a bunăstării animalelor consacrat în Constituție (articolul 20a din Constituție), interesul financiar pentru găinile crescute în mod special pentru producția intensivă de ouă nu constituie o cauză rezonabilă în temeiul articolului 1 a doua teză din Legea privind bunăstarea animalelor, pentru a elimina puii masculi din aceste linii de reproducere. Cu toate acestea, Curtea Administrativă Federală a considerat că există încă o justificare rezonabilă pentru continuarea practicii actuale de sacrificare a puilor masculi pentru o perioadă de tranziție, în cazul în care în curând este posibil să existe alternative la tăierea puilor, ceea ce pune o povară mult mai redusă asupra incubatorului decât creșterea animalelor. </w:t>
      </w:r>
    </w:p>
    <w:p w:rsidR="003C6535" w:rsidRPr="00774080" w:rsidRDefault="003C6535" w:rsidP="00796FE3">
      <w:pPr>
        <w:spacing w:before="0" w:after="0"/>
        <w:jc w:val="left"/>
      </w:pPr>
      <w:r>
        <w:t xml:space="preserve">Indiferent de cele două hotărâri și de cauzele specifice judecate de instanțe, intenția politică de ani de zile este ca în sectorul creșterii păsărilor să se înceteze sacrificarea puilor. În acest scop au fost promovate proiecte de cercetare privind utilizarea puilor cu dublu scop. La creșterea puilor cu dublu scop, găina ar trebui să aibă performanțe ridicate de ouat, iar cocoșul ar trebui să aibă performanțe acceptabile de îngrășare și sacrificare, astfel încât ambele sexe să aibă o valoare financiară. Pe de altă parte, proiectele de cercetare, care au fost, de asemenea, sprijinite din fonduri publice, au reușit în prezent să </w:t>
      </w:r>
      <w:r>
        <w:lastRenderedPageBreak/>
        <w:t xml:space="preserve">dezvolte metode practice prin care sexul puilor să poate fi determinat înainte ca aceștia să eclozeze. Prin urmare, ouăle din care ar ieși puii masculi pot fi aruncate, eliminându-se necesitatea de a sacrifica puii masculi. </w:t>
      </w:r>
    </w:p>
    <w:p w:rsidR="003C6535" w:rsidRPr="00774080" w:rsidRDefault="003C6535" w:rsidP="003C6535">
      <w:pPr>
        <w:pStyle w:val="Text"/>
      </w:pPr>
      <w:r>
        <w:t>În acest context, în special având în vedere hotărârile Curții Administrative Federale și obiectivul guvernului de coaliție de a pune capăt sacrificării puilor, astfel cum se specifică în acordul de coaliție, uciderea puilor este acum interzisă în mod expres. Interdicția se referă, de asemenea, la animalele de reproducție și de prăsilă. Animalele de reproducție sunt folosite pentru a produce animale de înmulțire, care sunt utilizate pentru a produce pui de consum. Potrivit cunoștințelor științifice actuale, embrionii de pui nu sunt capabili să simtă durere până în a șaptea zi de incubație. Începând cu a șaptea zi de incubație, nu trebuie exclusă posibilitatea ca senzația de durere să înceapă să apară. Prin urmare, din motive de bunăstare a animalelor, începând cu a șaptea zi de incubație, este necesar să se interzică orice intervenție asupra oului sau orice întrerupere a procesului de incubație care se efectuează în timpul sau după utilizarea metodelor de determinare a sexului în ou și care cauzează moartea embrionului. În prezent, aceste acțiuni ar trebui să fie interzise.</w:t>
      </w:r>
    </w:p>
    <w:p w:rsidR="003C6535" w:rsidRPr="00774080" w:rsidRDefault="003C6535" w:rsidP="003C6535">
      <w:pPr>
        <w:pStyle w:val="VorblattTitelLsung"/>
      </w:pPr>
      <w:r>
        <w:t>B. Soluție</w:t>
      </w:r>
    </w:p>
    <w:p w:rsidR="003C6535" w:rsidRPr="00774080" w:rsidRDefault="003C6535" w:rsidP="003C6535">
      <w:pPr>
        <w:pStyle w:val="Text"/>
      </w:pPr>
      <w:r>
        <w:t xml:space="preserve">Legea prevede introducerea interdicției de a ucide a puii de găină din special Gallus Gallus în Legea privind bunăstarea animalelor. Interdicția se referă, de asemenea, la animalele de reproducție și de prăsilă. </w:t>
      </w:r>
    </w:p>
    <w:p w:rsidR="003C6535" w:rsidRPr="00774080" w:rsidRDefault="003C6535" w:rsidP="003C6535">
      <w:pPr>
        <w:pStyle w:val="Text"/>
      </w:pPr>
      <w:r>
        <w:t xml:space="preserve">Aceasta include, de asemenea, interzicerea oricărei intervenții asupra ouălor de găină și întreruperea procesului de incubație începând din a șaptea zi de incubație, care se realizează în perioada sau după utilizarea procedurilor de determinare a sexului în ou și provoacă moartea embrionului de pui de găină. </w:t>
      </w:r>
    </w:p>
    <w:p w:rsidR="003C6535" w:rsidRPr="00774080" w:rsidRDefault="003C6535" w:rsidP="003C6535">
      <w:pPr>
        <w:pStyle w:val="Text"/>
      </w:pPr>
      <w:r>
        <w:t xml:space="preserve">Cu toate acestea, cele două interdicții nu vor intra în vigoare imediat sau concomitent. Se adoptă o regulă privind intrarea progresivă în vigoare: Interdicția de a ucide puii de găină intră în vigoare la 1 ianuarie 2022, iar interdicția de a manipula ouăle de găină și de a întrerupe procesul de incubație intră în vigoare abia la 1 ianuarie 2024. Acest lucru oferă industriei timp pentru a se adapta la noul context juridic. </w:t>
      </w:r>
    </w:p>
    <w:p w:rsidR="003C6535" w:rsidRPr="00774080" w:rsidRDefault="003C6535" w:rsidP="003C6535">
      <w:pPr>
        <w:pStyle w:val="VorblattTitelAlternativen"/>
      </w:pPr>
      <w:r>
        <w:t>C. Soluții alternative</w:t>
      </w:r>
    </w:p>
    <w:p w:rsidR="003C6535" w:rsidRPr="00774080" w:rsidRDefault="003C6535" w:rsidP="003C6535">
      <w:pPr>
        <w:pStyle w:val="Text"/>
      </w:pPr>
      <w:r>
        <w:t>Prin renunțarea la includerea celor două interdicții sau prin simpla stabilire a faptului că nu există niciun motiv întemeiat pentru uciderea puilor și pentru moartea embrionilor de pui, scopul de a preveni uciderea puilor sau a embrionilor de pui și posibilitatea de a asigura conformitatea în mod eficient nu ar fi atins. Prin urmare, nu pot fi identificate alternative legislative care să aibă un caracter adecvat echivalent. Reglementările sunt însoțite de măsuri menite să consolideze creșterea și utilizarea raselor în scop dublu.</w:t>
      </w:r>
    </w:p>
    <w:p w:rsidR="003C6535" w:rsidRPr="00774080" w:rsidRDefault="003C6535" w:rsidP="003C6535">
      <w:pPr>
        <w:pStyle w:val="VorblattTitelHaushaltsausgabenohneErfllungsaufwand"/>
      </w:pPr>
      <w:r>
        <w:t>D. Cheltuieli bugetare fără costuri de asigurare a conformității</w:t>
      </w:r>
    </w:p>
    <w:p w:rsidR="003C6535" w:rsidRPr="00774080" w:rsidRDefault="003C6535" w:rsidP="003C6535">
      <w:pPr>
        <w:pStyle w:val="Text"/>
      </w:pPr>
      <w:r>
        <w:t xml:space="preserve">Legea nu generează cheltuieli bugetare fără costuri de asigurare a conformității </w:t>
      </w:r>
    </w:p>
    <w:p w:rsidR="003C6535" w:rsidRPr="00774080" w:rsidRDefault="003C6535" w:rsidP="003C6535">
      <w:pPr>
        <w:pStyle w:val="VorblattTitelErfllungsaufwand"/>
      </w:pPr>
      <w:r>
        <w:t>E. Costuri de asigurare a conformității</w:t>
      </w:r>
    </w:p>
    <w:p w:rsidR="003C6535" w:rsidRPr="00774080" w:rsidRDefault="003C6535" w:rsidP="003C6535">
      <w:pPr>
        <w:pStyle w:val="VorblattTitelErfllungsaufwandBrgerinnenundBrger"/>
      </w:pPr>
      <w:r>
        <w:t>E.1 Costuri de asigurare a conformității pentru cetățeni</w:t>
      </w:r>
    </w:p>
    <w:p w:rsidR="003C6535" w:rsidRPr="00774080" w:rsidRDefault="003C6535" w:rsidP="003C6535">
      <w:pPr>
        <w:pStyle w:val="Text"/>
      </w:pPr>
      <w:r>
        <w:t>Legea nu generează costuri de asigurare a conformității pentru cetățeni.</w:t>
      </w:r>
    </w:p>
    <w:p w:rsidR="003C6535" w:rsidRPr="00774080" w:rsidRDefault="003C6535" w:rsidP="003C6535">
      <w:pPr>
        <w:pStyle w:val="VorblattTitelErfllungsaufwandWirtschaft"/>
      </w:pPr>
      <w:r>
        <w:lastRenderedPageBreak/>
        <w:t>E.2 Costuri de asigurare a conformității pentru întreprinderi</w:t>
      </w:r>
    </w:p>
    <w:p w:rsidR="003C6535" w:rsidRPr="00774080" w:rsidRDefault="003C6535" w:rsidP="003C6535">
      <w:pPr>
        <w:pStyle w:val="Text"/>
      </w:pPr>
      <w:r>
        <w:t xml:space="preserve">Legea generează costuri anuale de asigurare a conformității de aproximativ 147,5 milioane de euro pentru economie. </w:t>
      </w:r>
    </w:p>
    <w:p w:rsidR="003C6535" w:rsidRPr="00774080" w:rsidRDefault="003C6535" w:rsidP="003C6535">
      <w:pPr>
        <w:pStyle w:val="VorblattTitelBrokratiekostenausInformationspflichten"/>
      </w:pPr>
      <w:r>
        <w:t>Dintre acestea, costuri administrative care rezultă din obligațiile de informare</w:t>
      </w:r>
    </w:p>
    <w:p w:rsidR="003C6535" w:rsidRPr="00774080" w:rsidRDefault="003C6535" w:rsidP="003C6535">
      <w:pPr>
        <w:pStyle w:val="Text"/>
      </w:pPr>
      <w:r>
        <w:t>Nu există.</w:t>
      </w:r>
    </w:p>
    <w:p w:rsidR="003C6535" w:rsidRPr="00774080" w:rsidRDefault="003C6535" w:rsidP="003C6535">
      <w:pPr>
        <w:pStyle w:val="VorblattTitelErfllungsaufwandVerwaltung"/>
      </w:pPr>
      <w:r>
        <w:t>E.3 Costuri administrative de asigurare a conformității</w:t>
      </w:r>
    </w:p>
    <w:p w:rsidR="003C6535" w:rsidRPr="00774080" w:rsidRDefault="003C6535" w:rsidP="003C6535">
      <w:pPr>
        <w:pStyle w:val="Text"/>
      </w:pPr>
      <w:r>
        <w:t xml:space="preserve">Nu se preconizează o modificare a costurilor administrative de asigurare a conformității. </w:t>
      </w:r>
    </w:p>
    <w:p w:rsidR="003C6535" w:rsidRPr="00774080" w:rsidRDefault="003C6535" w:rsidP="003C6535">
      <w:pPr>
        <w:pStyle w:val="VorblattTitelWeitereKosten"/>
      </w:pPr>
      <w:r>
        <w:t>F. Alte costuri</w:t>
      </w:r>
    </w:p>
    <w:p w:rsidR="00793A16" w:rsidRPr="00774080" w:rsidRDefault="00793A16" w:rsidP="003C6535">
      <w:pPr>
        <w:pStyle w:val="Text"/>
      </w:pPr>
      <w:r>
        <w:t>Legea poate duce la creșterea prețului ouălor vândute cu amănuntul, întrucât sectorul economic poate transfera costurile pe care le suportă la consumatorul final.</w:t>
      </w:r>
    </w:p>
    <w:p w:rsidR="003C6535" w:rsidRPr="00774080" w:rsidRDefault="003C6535" w:rsidP="003C6535">
      <w:pPr>
        <w:pStyle w:val="Text"/>
      </w:pPr>
    </w:p>
    <w:p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rsidR="002B6ABF" w:rsidRPr="00774080" w:rsidRDefault="004B1EAC" w:rsidP="000D500B">
      <w:pPr>
        <w:pStyle w:val="Dokumentstatus"/>
        <w:jc w:val="center"/>
      </w:pPr>
      <w:r>
        <w:lastRenderedPageBreak/>
        <w:t>Proiect de lege al guvernului federal</w:t>
      </w:r>
    </w:p>
    <w:p w:rsidR="002B6ABF" w:rsidRPr="00774080" w:rsidRDefault="004F1F90" w:rsidP="00144702">
      <w:pPr>
        <w:pStyle w:val="Bezeichnungnderungsdokument"/>
      </w:pPr>
      <w:r>
        <w:t>Legea de modificare a Legii privind bunăstarea animalelor - interzicerea uciderii puilor</w:t>
      </w:r>
      <w:r w:rsidR="00144702" w:rsidRPr="00774080">
        <w:rPr>
          <w:rStyle w:val="FootnoteReference"/>
        </w:rPr>
        <w:footnoteReference w:id="2"/>
      </w:r>
      <w:r w:rsidR="00144702" w:rsidRPr="00774080">
        <w:rPr>
          <w:rStyle w:val="FootnoteReference"/>
        </w:rPr>
        <w:t>)</w:t>
      </w:r>
      <w:r>
        <w:rPr>
          <w:rStyle w:val="FootnoteReference"/>
        </w:rPr>
        <w:t>)</w:t>
      </w:r>
    </w:p>
    <w:p w:rsidR="002B6ABF" w:rsidRPr="00774080" w:rsidRDefault="002B6ABF">
      <w:pPr>
        <w:pStyle w:val="Ausfertigungsdatumnderungsdokument"/>
      </w:pPr>
      <w:r>
        <w:t>Din ...</w:t>
      </w:r>
    </w:p>
    <w:p w:rsidR="002B6ABF" w:rsidRPr="00774080" w:rsidRDefault="002B6ABF" w:rsidP="00561226">
      <w:pPr>
        <w:pStyle w:val="EingangsformelStandardnderungsdokument"/>
      </w:pPr>
      <w:r>
        <w:t>Bundestagul a adoptat legea următoare:</w:t>
      </w:r>
    </w:p>
    <w:p w:rsidR="002B6ABF" w:rsidRPr="00774080" w:rsidRDefault="00DC4328" w:rsidP="00DC4328">
      <w:pPr>
        <w:pStyle w:val="ArtikelBezeichner"/>
        <w:numPr>
          <w:ilvl w:val="0"/>
          <w:numId w:val="0"/>
        </w:numPr>
      </w:pPr>
      <w:r>
        <w:t>Articolul 1</w:t>
      </w:r>
    </w:p>
    <w:p w:rsidR="002B6ABF" w:rsidRPr="00774080" w:rsidRDefault="00561226">
      <w:pPr>
        <w:pStyle w:val="Artikelberschrift"/>
      </w:pPr>
      <w:r>
        <w:t>Modificarea Legii privind bunăstarea animalelor</w:t>
      </w:r>
    </w:p>
    <w:p w:rsidR="00561226" w:rsidRPr="00774080" w:rsidRDefault="00263A3C" w:rsidP="00144702">
      <w:pPr>
        <w:pStyle w:val="JuristischerAbsatznichtnummeriert"/>
      </w:pPr>
      <w:r>
        <w:t>În temeiul articolului 4b din Legea privind bunăstarea animalelor, astfel cum a fost notificată la 18 mai 2006 (Monitorul Oficial federal I p. 1206, 1313), astfel cum a fost modificată ultima dată prin [….], se introduce articolul 4c cu următoarea formulare:</w:t>
      </w:r>
    </w:p>
    <w:p w:rsidR="002D2BC0" w:rsidRPr="00774080" w:rsidRDefault="002D2BC0" w:rsidP="001216CA">
      <w:pPr>
        <w:pStyle w:val="RevisionParagraphBezeichnermanuell"/>
        <w:ind w:left="425" w:hanging="75"/>
      </w:pPr>
      <w:r>
        <w:t>„Articolul 4c</w:t>
      </w:r>
    </w:p>
    <w:p w:rsidR="006705B2" w:rsidRPr="00774080" w:rsidRDefault="006705B2" w:rsidP="006705B2">
      <w:pPr>
        <w:pStyle w:val="RevisionJuristischerAbsatz"/>
        <w:numPr>
          <w:ilvl w:val="2"/>
          <w:numId w:val="0"/>
        </w:numPr>
        <w:tabs>
          <w:tab w:val="left" w:pos="1275"/>
        </w:tabs>
        <w:ind w:left="425" w:firstLine="425"/>
      </w:pPr>
      <w:r>
        <w:t xml:space="preserve">Se interzice uciderea puilor de găină domestici din specia Gallus Gallus din liniile de reproducere care sunt crescuți spre producția intensivă de ouă. Interdicția nu se aplică </w:t>
      </w:r>
    </w:p>
    <w:p w:rsidR="006705B2" w:rsidRPr="00774080" w:rsidRDefault="006705B2" w:rsidP="00774080">
      <w:pPr>
        <w:pStyle w:val="RevisionNummerierungStufe1"/>
        <w:keepNext/>
        <w:tabs>
          <w:tab w:val="clear" w:pos="425"/>
          <w:tab w:val="num" w:pos="850"/>
        </w:tabs>
        <w:ind w:left="850"/>
      </w:pPr>
      <w:r>
        <w:t xml:space="preserve">în cazul în care uciderea puilor </w:t>
      </w:r>
    </w:p>
    <w:p w:rsidR="006705B2" w:rsidRPr="00774080" w:rsidRDefault="006705B2" w:rsidP="006705B2">
      <w:pPr>
        <w:pStyle w:val="RevisionNummerierungStufe2"/>
        <w:tabs>
          <w:tab w:val="clear" w:pos="850"/>
          <w:tab w:val="num" w:pos="1275"/>
        </w:tabs>
        <w:ind w:left="1275"/>
      </w:pPr>
      <w:r>
        <w:t>a fost prevăzută sau hotărâtă în conformitate cu reglementările privind sănătatea animală sau</w:t>
      </w:r>
    </w:p>
    <w:p w:rsidR="006705B2" w:rsidRPr="00774080" w:rsidRDefault="006705B2" w:rsidP="006705B2">
      <w:pPr>
        <w:pStyle w:val="RevisionNummerierungStufe2"/>
        <w:tabs>
          <w:tab w:val="clear" w:pos="850"/>
          <w:tab w:val="num" w:pos="1275"/>
        </w:tabs>
        <w:ind w:left="1275"/>
      </w:pPr>
      <w:r>
        <w:t>este necesară în cazuri individuale din motive de bunăstare a animalelor,</w:t>
      </w:r>
    </w:p>
    <w:p w:rsidR="006705B2" w:rsidRPr="00774080" w:rsidRDefault="006705B2" w:rsidP="006705B2">
      <w:pPr>
        <w:pStyle w:val="RevisionNummerierungStufe1"/>
        <w:tabs>
          <w:tab w:val="clear" w:pos="425"/>
          <w:tab w:val="num" w:pos="850"/>
        </w:tabs>
        <w:ind w:left="850"/>
      </w:pPr>
      <w:r>
        <w:t>pentru puii care nu pot ecloza,</w:t>
      </w:r>
    </w:p>
    <w:p w:rsidR="006705B2" w:rsidRPr="00774080" w:rsidRDefault="006705B2" w:rsidP="006705B2">
      <w:pPr>
        <w:pStyle w:val="RevisionNummerierungStufe1"/>
        <w:tabs>
          <w:tab w:val="clear" w:pos="425"/>
          <w:tab w:val="num" w:pos="850"/>
        </w:tabs>
        <w:ind w:left="850"/>
      </w:pPr>
      <w:r>
        <w:t>pentru puii mici prevăzuți la articolul 1 punctul 1 litera (a) din Regulamentul (CE) nr. 543/2008 al Comisiei din 16 iunie 2008 de stabilire a normelor de aplicare a Regulamentului (CE) nr. 1234/2007 al Consiliului în ceea ce privește standardele de comercializare a cărnii de pasăre (JO L 157,17.6.2008, p. 46) astfel cum a fost modificat ultima dată prin Regulamentul (UE) nr. 519/2013 al Comisiei din 21.2.2013 (JO L 158,10.6.2013, p. 74) și</w:t>
      </w:r>
    </w:p>
    <w:p w:rsidR="006705B2" w:rsidRPr="00774080" w:rsidRDefault="006705B2" w:rsidP="00774080">
      <w:pPr>
        <w:pStyle w:val="RevisionNummerierungStufe1"/>
        <w:keepNext/>
        <w:tabs>
          <w:tab w:val="clear" w:pos="425"/>
          <w:tab w:val="num" w:pos="850"/>
        </w:tabs>
        <w:ind w:left="850"/>
      </w:pPr>
      <w:r>
        <w:t>pentru puii</w:t>
      </w:r>
    </w:p>
    <w:p w:rsidR="006705B2" w:rsidRPr="00774080" w:rsidRDefault="006705B2" w:rsidP="00796FE3">
      <w:pPr>
        <w:pStyle w:val="RevisionNummerierungStufe3"/>
      </w:pPr>
      <w:r>
        <w:t>destinați utilizării în experimente pe animale sau</w:t>
      </w:r>
    </w:p>
    <w:p w:rsidR="006705B2" w:rsidRPr="00774080" w:rsidRDefault="006705B2" w:rsidP="00796FE3">
      <w:pPr>
        <w:pStyle w:val="RevisionNummerierungStufe3"/>
      </w:pPr>
      <w:r>
        <w:t>ale căror țesuturi sau organe sunt destinate utilizării în scopuri științifice.”</w:t>
      </w:r>
    </w:p>
    <w:p w:rsidR="00B74AA8" w:rsidRPr="00774080" w:rsidRDefault="00DC4328" w:rsidP="00DC4328">
      <w:pPr>
        <w:pStyle w:val="ArtikelBezeichner"/>
        <w:numPr>
          <w:ilvl w:val="0"/>
          <w:numId w:val="0"/>
        </w:numPr>
      </w:pPr>
      <w:r>
        <w:lastRenderedPageBreak/>
        <w:t>Articolul 2</w:t>
      </w:r>
    </w:p>
    <w:p w:rsidR="00B74AA8" w:rsidRPr="00774080" w:rsidRDefault="00B74AA8" w:rsidP="005911C7">
      <w:pPr>
        <w:pStyle w:val="Artikelberschrift"/>
      </w:pPr>
      <w:r>
        <w:t>Modificări suplimentare ale Legii privind bunăstarea animalelor</w:t>
      </w:r>
    </w:p>
    <w:p w:rsidR="00B74AA8" w:rsidRPr="00774080" w:rsidRDefault="00B74AA8" w:rsidP="00774080">
      <w:pPr>
        <w:pStyle w:val="JuristischerAbsatznichtnummeriert"/>
        <w:keepNext/>
      </w:pPr>
      <w:r>
        <w:t>Legea privind bunăstarea animalelor, care a fost modificată ultima dată de articolul 1 din prezenta lege, se modifică după cum urmează:</w:t>
      </w:r>
    </w:p>
    <w:p w:rsidR="00E35578" w:rsidRPr="00774080" w:rsidRDefault="00E35578" w:rsidP="00774080">
      <w:pPr>
        <w:pStyle w:val="NummerierungStufe1"/>
        <w:keepNext/>
      </w:pPr>
      <w:r>
        <w:t>Articolul 4c se modifică după cum urmează:</w:t>
      </w:r>
    </w:p>
    <w:p w:rsidR="00761C51" w:rsidRPr="00774080" w:rsidRDefault="00761C51" w:rsidP="00735C5B">
      <w:pPr>
        <w:pStyle w:val="NummerierungStufe2"/>
      </w:pPr>
      <w:r>
        <w:t>Textul anterior devine alineatul (1).</w:t>
      </w:r>
    </w:p>
    <w:p w:rsidR="00B74AA8" w:rsidRPr="00774080" w:rsidRDefault="00761C51" w:rsidP="00774080">
      <w:pPr>
        <w:pStyle w:val="NummerierungStufe2"/>
        <w:keepNext/>
      </w:pPr>
      <w:r>
        <w:t>Se introduce alineatul (2) cu formularea următoare:</w:t>
      </w:r>
    </w:p>
    <w:p w:rsidR="00F565A0" w:rsidRPr="00774080" w:rsidRDefault="00B74AA8" w:rsidP="001216CA">
      <w:pPr>
        <w:pStyle w:val="RevisionJuristischerAbsatzmanuell"/>
        <w:tabs>
          <w:tab w:val="clear" w:pos="850"/>
          <w:tab w:val="left" w:pos="1700"/>
        </w:tabs>
        <w:ind w:left="850" w:firstLine="350"/>
      </w:pPr>
      <w:r>
        <w:t>„(2) Începând cu a șaptea zi de incubație, este interzisă în timpul sau după utilizarea unei metode de determinare a sexului în ouăle de găină</w:t>
      </w:r>
    </w:p>
    <w:p w:rsidR="00F565A0" w:rsidRPr="00774080" w:rsidRDefault="00F565A0" w:rsidP="001216CA">
      <w:pPr>
        <w:pStyle w:val="RevisionJuristischerAbsatzmanuell"/>
        <w:numPr>
          <w:ilvl w:val="0"/>
          <w:numId w:val="1"/>
        </w:numPr>
        <w:tabs>
          <w:tab w:val="clear" w:pos="850"/>
          <w:tab w:val="left" w:pos="1700"/>
        </w:tabs>
        <w:ind w:left="850" w:firstLine="425"/>
      </w:pPr>
      <w:r>
        <w:t>să se efectueze o intervenție asupra unui ou de găină, care provoacă moartea embrionului de pui sau</w:t>
      </w:r>
    </w:p>
    <w:p w:rsidR="00B74AA8" w:rsidRPr="00774080" w:rsidRDefault="00F316A3" w:rsidP="001216CA">
      <w:pPr>
        <w:pStyle w:val="RevisionJuristischerAbsatzmanuell"/>
        <w:numPr>
          <w:ilvl w:val="0"/>
          <w:numId w:val="1"/>
        </w:numPr>
        <w:tabs>
          <w:tab w:val="clear" w:pos="850"/>
          <w:tab w:val="left" w:pos="1700"/>
        </w:tabs>
        <w:ind w:left="850" w:firstLine="425"/>
      </w:pPr>
      <w:r>
        <w:t xml:space="preserve">prin care se oprește procesul de incubație, care va provoca moartea embrionului de pui.” </w:t>
      </w:r>
    </w:p>
    <w:p w:rsidR="00903F6C" w:rsidRPr="00774080" w:rsidRDefault="00903F6C" w:rsidP="00774080">
      <w:pPr>
        <w:pStyle w:val="NummerierungStufe1"/>
        <w:keepNext/>
      </w:pPr>
      <w:r>
        <w:t>La articolul 18 alineatul (1), după punctul 6, se adaugă punctul 6a următor:</w:t>
      </w:r>
    </w:p>
    <w:p w:rsidR="00E35578" w:rsidRPr="00774080" w:rsidRDefault="00903F6C" w:rsidP="001216CA">
      <w:pPr>
        <w:pStyle w:val="RevisionNummerierungStufe1manuell"/>
        <w:tabs>
          <w:tab w:val="clear" w:pos="425"/>
          <w:tab w:val="left" w:pos="925"/>
        </w:tabs>
        <w:ind w:left="925" w:hanging="500"/>
      </w:pPr>
      <w:r>
        <w:t>„6a.</w:t>
      </w:r>
      <w:r w:rsidR="003D5E3C">
        <w:tab/>
      </w:r>
      <w:bookmarkStart w:id="1" w:name="_GoBack"/>
      <w:bookmarkEnd w:id="1"/>
      <w:r>
        <w:t>prin încălcarea articolului 4c alineatul (2) se efectuează o intervenție sau o oprire a procesului, astfel cum se prevede la articolul respectiv,”.</w:t>
      </w:r>
    </w:p>
    <w:p w:rsidR="002B6ABF" w:rsidRPr="00774080" w:rsidRDefault="00774080" w:rsidP="00774080">
      <w:pPr>
        <w:pStyle w:val="ArtikelBezeichner"/>
        <w:numPr>
          <w:ilvl w:val="0"/>
          <w:numId w:val="0"/>
        </w:numPr>
      </w:pPr>
      <w:r>
        <w:t>Articolul 3</w:t>
      </w:r>
    </w:p>
    <w:p w:rsidR="002B6ABF" w:rsidRPr="00774080" w:rsidRDefault="002B6ABF">
      <w:pPr>
        <w:pStyle w:val="Artikelberschrift"/>
      </w:pPr>
      <w:r>
        <w:t>Intrare în vigoare</w:t>
      </w:r>
    </w:p>
    <w:p w:rsidR="00485DDD" w:rsidRPr="00774080" w:rsidRDefault="00485DDD" w:rsidP="00774080">
      <w:pPr>
        <w:pStyle w:val="JuristischerAbsatznummeriert"/>
        <w:numPr>
          <w:ilvl w:val="2"/>
          <w:numId w:val="28"/>
        </w:numPr>
      </w:pPr>
      <w:r>
        <w:t>Prezenta lege intră în vigoare la 1 ianuarie 2022, cu excepția alineatului (2).</w:t>
      </w:r>
    </w:p>
    <w:p w:rsidR="00485DDD" w:rsidRPr="00774080" w:rsidRDefault="00485DDD" w:rsidP="00485DDD">
      <w:pPr>
        <w:pStyle w:val="JuristischerAbsatznummeriert"/>
      </w:pPr>
      <w:r>
        <w:t>Articolul 2 intră în vigoare la 1 ianuarie 2024.</w:t>
      </w:r>
    </w:p>
    <w:p w:rsidR="00F6304A" w:rsidRPr="00774080" w:rsidRDefault="00F6304A" w:rsidP="009623BC"/>
    <w:p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rsidR="002B6ABF" w:rsidRPr="00774080" w:rsidRDefault="002B6ABF" w:rsidP="00606ED5">
      <w:pPr>
        <w:pStyle w:val="BegrndungTitel"/>
      </w:pPr>
      <w:r>
        <w:lastRenderedPageBreak/>
        <w:t>Expunere de motive</w:t>
      </w:r>
    </w:p>
    <w:p w:rsidR="002B6ABF" w:rsidRPr="00774080" w:rsidRDefault="002B6ABF" w:rsidP="00606ED5">
      <w:pPr>
        <w:pStyle w:val="BegrndungAllgemeinerTeil"/>
      </w:pPr>
      <w:r>
        <w:t>A. Partea generală</w:t>
      </w:r>
    </w:p>
    <w:p w:rsidR="002B6ABF" w:rsidRPr="00774080" w:rsidRDefault="002B6ABF" w:rsidP="00606ED5">
      <w:pPr>
        <w:pStyle w:val="berschriftrmischBegrndung"/>
      </w:pPr>
      <w:r>
        <w:t>Stabilirea obiectivului și necesitatea reglementărilor</w:t>
      </w:r>
    </w:p>
    <w:p w:rsidR="00C37492" w:rsidRPr="00774080" w:rsidRDefault="00795460" w:rsidP="00795460">
      <w:pPr>
        <w:pStyle w:val="Text"/>
      </w:pPr>
      <w:r>
        <w:t xml:space="preserve">Oficiul Federal de Statistică raportează că, în 2019, au eclozat aproximativ 45 de milioane de „pui femele crescute pentru producția de ouă”. „puii femele crescuți pentru producția de ouă” sunt pui femele care sunt utilizate ca găini ouătoare după creștere și, prin urmare, sunt obținute, în principal, din liniile de reproducere care, spre deosebire de animalele din rasele crescute în scop dublu, sunt crescute cu scopul specific de a obține o producție ridicată de ouă. </w:t>
      </w:r>
    </w:p>
    <w:p w:rsidR="00795460" w:rsidRPr="00774080" w:rsidRDefault="00C37492" w:rsidP="00795460">
      <w:pPr>
        <w:pStyle w:val="Text"/>
      </w:pPr>
      <w:r>
        <w:t xml:space="preserve">În liniile de reproducere respective eclozează aproximativ 45 de milioane de „pui masculi”, în plus față de 45 de milioane de pui femele crescute pentru producția de ouă. Acești pui masculi sunt respinși de producători din motive economice, deoarece puii masculi cresc și devin cocoși care nu produc ouă. În plus, cocoșii au o capacitate de îngrășare mai mică decât puii de carne. Din acest motiv, marea majoritate a puilor masculi sunt în prezent sacrificați în incubatoare la scurt timp după eclozare. Sacrificarea se efectuează, de obicei, prin introducerea unor concentrații ridicate de dioxid de carbon. </w:t>
      </w:r>
    </w:p>
    <w:p w:rsidR="00795460" w:rsidRPr="00774080" w:rsidRDefault="00C37492" w:rsidP="00795460">
      <w:pPr>
        <w:pStyle w:val="Text"/>
      </w:pPr>
      <w:r>
        <w:t>Articolul 1 prima teză din Legea privind bunăstarea animalelor prevede că animalele trebuie protejate: „Scopul prezentei legi este de a proteja viața și bunăstarea animalelor prin asumarea de către oameni a responsabilității față de acestea ca ființe vii.” La articolul 1 a doua teză se prevede, pe de altă parte, că durerea, suferința sau vătămarea poate fi totuși cauzată animalelor numai dacă există motive justificate pentru a face acest lucru. În hotărârile sale din 13 iunie 2019 (BVerwG 3 C 29.16, BVerwG 3 C 28.16), Curtea Administrativă Federală a decis că, având în vedere obiectivul național de protejare a bunăstării animalelor consacrat în Constituție (articolul 20a din Constituție – uciderea puilor masculi conform conceptelor morale actuale nu se mai bazează pe un motiv justificat în temeiul articolului 1 a doua teză din TierSchG. Noțiunea de motiv justificat are drept scop echilibrarea intereselor protejate legal ale proprietarilor de animale cu interesul protecției bunăstării animalelor. Curtea Administrativă Federală a decis că, atunci când se examinează interese contrare, interesele bunăstării animalelor sunt mai mari decât interesele economice ale incubatoarelor, evitând costurile care rezultă în cazul puilor masculi din liniile de producție de ouă. Faptul că puii de găină ouătoare și de găină utilizați cu dublu scop sunt considerabil mai puțin adecvați pentru îngrășare decât puii produși în liniile de îngrășare este rezultatul unui proces de creștere care se axează în principal pe performanțe economice și pe o metodă de producție bazată pe acestea. Uciderea sistematică a puilor masculi din liniile de producție a ouălor nu este compatibilă cu ideea de bază a Legii privind bunăstarea animalelor care prevede asigurarea unui echilibru între protecția animalelor și interesele umane. Protecția vieții, bazată pe normele de etică, în conformitate cu noțiunea Legii privind bunăstarea animalelor nu este doar amânată, ci complet abandonată. Acestea sunt produse cunoscându-se faptul că vor fi imediat eliminate (a se vedea hotărârile Curții Administrative Federale din 13 iunie 2019 - 3 C 28/16, 3 C 29/16 -, juris, punctul 26).</w:t>
      </w:r>
    </w:p>
    <w:p w:rsidR="00795460" w:rsidRPr="00774080" w:rsidRDefault="00795460" w:rsidP="00795460">
      <w:pPr>
        <w:pStyle w:val="Text"/>
      </w:pPr>
      <w:r>
        <w:t xml:space="preserve">Curtea a considerat că, din moment ce conceptul de motiv justificat prevăzut la articolul 1 a doua teză din Legea privind bunăstarea animalelor vizează stabilirea unui echilibru între interesele protejate legal ale deținătorilor de animale și interesele bunăstării animalelor, practica anterioară și interesele specifice ale animalelor, deținătorii de animale nu ar trebui să fie neglijați dacă metodele vor fi schimbate. În plus, se preconizează că determinarea sexului în ou va fi posibilă în viitorul apropiat sau că va fi posibilă o îmbunătățire a metodelor de utilizare a găinilor provenite din linii cu dublu scop. În acest caz, Curtea a statuat că nu </w:t>
      </w:r>
      <w:r>
        <w:lastRenderedPageBreak/>
        <w:t>s-ar realiza un echilibru adecvat între interesele prevăzute la articolul 1 a doua teză din Legea privind bunăstarea animalelor dacă ar interzice incubatoarelor să continue să sacrifice puii masculi fără a acorda o perioadă de tranziție, ceea ce ar lăsa timp pentru dezvoltarea previzibilă a noilor metode de determinarea a sexului în ou și, de asemenea, pentru orice modificări ulterioare ale liniilor cu dublu scop. Fără o astfel de perioadă de tranziție, incubatoarele ar fi forțate, cu cheltuială mare, să permită mai întâi creșterea puilor masculi și apoi, probabil la scurt timp după aceea, să stabilească o procedură de determinare a sexului în ou sau să-și transforme fermele pentru producția de ouă pentru incubație din linii îmbunătățite cu dublu scop. Având în vedere circumstanțele speciale, evitarea unei astfel de modificări duble este un motiv justificat pentru continuarea temporară a practicii anterioare. Dacă un motiv justificat pentru uciderea puilor masculi a fost refuzat, indiferent de timpul acordat pentru transformarea fermelor, nu ar putea fi luate în considerare în mod adecvat interesele crescătorilor de animale care trebuie să fie protejate (a se vedea BVerwG, hotărârile din 13 iunie 2019 - 3 C 28/16 , 3 C 29/16 -, juris, punctele 28-31).</w:t>
      </w:r>
    </w:p>
    <w:p w:rsidR="00C37492" w:rsidRPr="00774080" w:rsidRDefault="00C37492" w:rsidP="00795460">
      <w:pPr>
        <w:pStyle w:val="Text"/>
      </w:pPr>
      <w:r>
        <w:t xml:space="preserve">Indiferent de cele două hotărâri și de cauzele conexe judecate de instanțe, intenția politică de ani de zile este ca în sectorul creșterii păsărilor să se înceteze sacrificarea puilor. În acest scop sunt promovate proiecte de cercetare privind utilizarea puilor cu dublu scop. Proiectele de cercetare, care au fost, de asemenea, sprijinite din fonduri publice, au reușit în prezent să dezvolte metode practice prin care sexul puilor să poate fi determinat înainte ca aceștia să eclozeze. Prin urmare, ouăle din care ar ieși puii masculi pot fi aruncate, eliminându-se necesitatea de a sacrifica acești pui. </w:t>
      </w:r>
    </w:p>
    <w:p w:rsidR="00D178D1" w:rsidRPr="00774080" w:rsidRDefault="00B74AA8" w:rsidP="00795460">
      <w:pPr>
        <w:pStyle w:val="Text"/>
      </w:pPr>
      <w:r>
        <w:t>Potrivit cunoștințelor științifice actuale, embrionii de pui nu sunt capabili să simtă durere până în a șaptea zi de incubație</w:t>
      </w:r>
      <w:r w:rsidR="00106CCC" w:rsidRPr="00774080">
        <w:rPr>
          <w:rStyle w:val="FootnoteReference"/>
        </w:rPr>
        <w:footnoteReference w:id="3"/>
      </w:r>
      <w:r>
        <w:t xml:space="preserve">. Începând cu a șaptea zi de incubație, nu trebuie exclusă posibilitatea ca senzația de durere să înceapă să apară. Prin urmare, sunt interzise intervențiile asupra ouălor de găină și întreruperea procesului de incubație începând din a șaptea zi de incubație, care se realizează în perioada sau după utilizarea procedurilor de determinare a sexului în ou și provoacă moartea embrionului de pui de găină. Un embrion de pui se dezvoltă în ou în timpul procesul de incubație și eclozează după 20 sau 21 de zile. Conform cunoștințelor științifice actuale, se presupune că un embrion de pui nu poate simți senzația de durere înainte de a șaptea zi de incubație. Embrionul începe să simtă senzația de durere după a șasea zi de incubație și, conform cunoștințelor actuale, senzația de durere a embrionului este pe deplin dezvoltată începând cu a 15-a zi de incubație. Prin urmare, din motive de bunăstare a animalelor, nu trebuie să se interzică numai sacrificarea puiului eclozat, ci și orice intervenție asupra oului de pui și orice întrerupere a procesului de incubație efectuate începând cu a șaptea zi de incubație, care pot să provoace moartea embrionului de pui care poate percepe senzația de durere. Cu cât procesul de incubație a progresat din a șaptea zi de incubație, cu atât mai mult se poate presupune că, din punct de vedere al bunăstării animalelor, nu se poate face nicio distincție semnificativă între provocarea morții embrionului de pui și uciderea puiului eclozat. Faza dezvoltării embrionare până la eclozarea puilor este, prin urmare, inclusă în domeniul de aplicare al modificării legislative. Scopul în acest sens este de a preveni o perioadă de tranziție îndelungată care să creeze un stimulent pentru a investi mai întâi în tehnici de determinare a sexului care vor fi utilizate după a șaptea zi de incubație. </w:t>
      </w:r>
    </w:p>
    <w:p w:rsidR="002B6ABF" w:rsidRPr="00774080" w:rsidRDefault="00F62817" w:rsidP="00F62817">
      <w:pPr>
        <w:pStyle w:val="berschriftrmischBegrndung"/>
      </w:pPr>
      <w:r>
        <w:t xml:space="preserve">Conținutul de bază al proiectului </w:t>
      </w:r>
    </w:p>
    <w:p w:rsidR="00795460" w:rsidRPr="00774080" w:rsidRDefault="00795460" w:rsidP="00795460">
      <w:pPr>
        <w:pStyle w:val="Text"/>
      </w:pPr>
      <w:r>
        <w:t>Pentru a proteja interesele bunăstării animalelor, prezentul proiect de lege include interdicția sacrificării puilor de găină în Legea privind bunăstarea animalelor. Interdicția se referă, de asemenea, la animalele de reproducție și de prăsilă.</w:t>
      </w:r>
    </w:p>
    <w:p w:rsidR="00451BE0" w:rsidRPr="00774080" w:rsidRDefault="00451BE0" w:rsidP="00451BE0">
      <w:pPr>
        <w:pStyle w:val="Text"/>
      </w:pPr>
      <w:r>
        <w:lastRenderedPageBreak/>
        <w:t>Aceasta include, de asemenea, interzicerea oricărei intervenții asupra ouălor de găină și întreruperea procesului de incubație începând din a șaptea zi de incubație, care se realizează în perioada sau după utilizarea procedurilor de determinare a sexului în ou și provoacă moartea embrionului de pui de găină.</w:t>
      </w:r>
    </w:p>
    <w:p w:rsidR="00451BE0" w:rsidRPr="00774080" w:rsidRDefault="00451BE0" w:rsidP="00451BE0">
      <w:pPr>
        <w:pStyle w:val="Text"/>
      </w:pPr>
      <w:r>
        <w:t>Cu toate acestea, cele două interdicții nu vor intra în vigoare imediat sau concomitent. Se adoptă o regulă privind intrarea progresivă în vigoare: Interdicția de a ucide puii de găină intră în vigoare la 1 ianuarie 2022, iar interdicția de a manipula ouăle de găină sau de a întrerupe procesul de incubație intră în vigoare abia la 1 ianuarie 2024. Acest lucru oferă industriei timp pentru a se adapta la noul context juridic.</w:t>
      </w:r>
    </w:p>
    <w:p w:rsidR="002B6ABF" w:rsidRPr="00774080" w:rsidRDefault="002B6ABF" w:rsidP="00606ED5">
      <w:pPr>
        <w:pStyle w:val="berschriftrmischBegrndung"/>
      </w:pPr>
      <w:r>
        <w:t>Soluții alternative</w:t>
      </w:r>
    </w:p>
    <w:p w:rsidR="00AE798D" w:rsidRPr="00774080" w:rsidRDefault="00795460" w:rsidP="00AE798D">
      <w:pPr>
        <w:pStyle w:val="Text"/>
      </w:pPr>
      <w:r>
        <w:t>Prin renunțarea la includerea celor două interdicții sau prin simpla stabilire a faptului că nu există niciun motiv întemeiat pentru uciderea puilor și pentru moartea embrionilor de pui, scopul de a preveni uciderea puilor sau de a provoca moartea embrionilor de pui și posibilitatea de a asigura conformitatea în mod eficient nu ar fi atins. Prin urmare, nu pot fi identificate alternative legislative care să aibă un caracter adecvat echivalent. Reglementările sunt însoțite de măsuri menite să consolideze creșterea și utilizarea raselor în scop dublu.</w:t>
      </w:r>
    </w:p>
    <w:p w:rsidR="002B6ABF" w:rsidRPr="00774080" w:rsidRDefault="002B6ABF" w:rsidP="00AE798D">
      <w:pPr>
        <w:pStyle w:val="berschriftrmischBegrndung"/>
      </w:pPr>
      <w:r>
        <w:t>Competența de legiferare</w:t>
      </w:r>
    </w:p>
    <w:p w:rsidR="00795460" w:rsidRPr="00774080" w:rsidRDefault="00795460" w:rsidP="00795460">
      <w:pPr>
        <w:pStyle w:val="Text"/>
      </w:pPr>
      <w:r>
        <w:t>Competența de legiferare a guvernului federal pentru modificările cuprinse în lege este conferită la articolul 74 alineatul (1) punctul 20 (bunăstarea animalelor, dreptul în materie de alimente, inclusiv animalele utilizate pentru producția lor) din Constituție (GG). Competența de legiferare a guvernului federal pentru reglementările necesare cu privire la amenzi se bazează pe articolul 74 alineatul (1) punctul 1, al doilea caz din GG (Codul penal).</w:t>
      </w:r>
    </w:p>
    <w:p w:rsidR="00795460" w:rsidRPr="00774080" w:rsidRDefault="00795460" w:rsidP="00795460">
      <w:pPr>
        <w:pStyle w:val="Text"/>
      </w:pPr>
      <w:r>
        <w:t>În prezent, este necesară o reglementare federală pentru a păstra unitatea juridică și economică în interesul general al statului în sensul articolului 72 alineatul (2) din Constituție, întrucât reglementarea care urmează să fie adoptată în acest caz trebuie să se aplice în mod egal tuturor animalelor afectate utilizate pentru producția de alimente și, de asemenea, tuturor operatorilor economici de pe teritoriul federal, astfel încât să se asigure că animalele în cauză beneficiază de aceeași protecție pe întreg teritoriul federal și toți operatorii economici de pe teritoriul federal fac obiectul unor cerințe și condiții similare pentru activitățile pe care le desfășoară.</w:t>
      </w:r>
    </w:p>
    <w:p w:rsidR="002B6ABF" w:rsidRPr="00774080" w:rsidRDefault="002B6ABF" w:rsidP="00606ED5">
      <w:pPr>
        <w:pStyle w:val="berschriftrmischBegrndung"/>
      </w:pPr>
      <w:r>
        <w:t>Compatibilitatea cu dreptul Uniunii Europene și cu tratatele internaționale</w:t>
      </w:r>
    </w:p>
    <w:p w:rsidR="00795460" w:rsidRPr="00774080" w:rsidRDefault="00795460" w:rsidP="00795460">
      <w:pPr>
        <w:pStyle w:val="Text"/>
      </w:pPr>
      <w:r>
        <w:t>Proiectul de lege este compatibil cu legislația Uniunii Europene și cu acordurile internaționale încheiate de Republica Federală Germania.</w:t>
      </w:r>
    </w:p>
    <w:p w:rsidR="002B6ABF" w:rsidRPr="00774080" w:rsidRDefault="00795460" w:rsidP="00795460">
      <w:pPr>
        <w:pStyle w:val="Text"/>
      </w:pPr>
      <w:r>
        <w:t>În special, proiectul de lege este în conformitate cu Regulamentul (CE) nr. 1099/2009 al Consiliului privind protecția animalelor în momentul uciderii, deoarece acest regulament reglementează modul în care animalele pot fi ucise și nu posibilitatea ca acestea să fie ucise. Prin urmare, regulamentul propus aici nu se încadrează în domeniul de aplicare al Regulamentului (CE) nr. 1099/2009.</w:t>
      </w:r>
    </w:p>
    <w:p w:rsidR="002B6ABF" w:rsidRPr="00774080" w:rsidRDefault="002B6ABF" w:rsidP="00606ED5">
      <w:pPr>
        <w:pStyle w:val="berschriftrmischBegrndung"/>
      </w:pPr>
      <w:r>
        <w:lastRenderedPageBreak/>
        <w:t>Consecințe juridice</w:t>
      </w:r>
    </w:p>
    <w:p w:rsidR="002B6ABF" w:rsidRPr="00774080" w:rsidRDefault="002B6ABF" w:rsidP="002B6ABF">
      <w:pPr>
        <w:pStyle w:val="berschriftarabischBegrndung"/>
      </w:pPr>
      <w:r>
        <w:t>Simplificare juridică și administrativă</w:t>
      </w:r>
    </w:p>
    <w:p w:rsidR="002B6ABF" w:rsidRPr="00774080" w:rsidRDefault="00151D1A" w:rsidP="00606ED5">
      <w:pPr>
        <w:pStyle w:val="Text"/>
      </w:pPr>
      <w:r>
        <w:t>Nicio reglementare nu va fi simplificată sau abrogată.</w:t>
      </w:r>
    </w:p>
    <w:p w:rsidR="002B6ABF" w:rsidRPr="00774080" w:rsidRDefault="002B6ABF" w:rsidP="00606ED5">
      <w:pPr>
        <w:pStyle w:val="berschriftarabischBegrndung"/>
      </w:pPr>
      <w:r>
        <w:t>Aspecte legate de durabilitate</w:t>
      </w:r>
    </w:p>
    <w:p w:rsidR="00BA72BF" w:rsidRPr="00774080" w:rsidRDefault="007768AF" w:rsidP="00BA72BF">
      <w:pPr>
        <w:pStyle w:val="Text"/>
      </w:pPr>
      <w:r>
        <w:t xml:space="preserve">Reglementările din prezentul proiect de lege sunt durabile în sensul Strategiei Germaniei privind durabilitatea, întrucât au ca scop bunăstarea animalelor și, astfel, agricultura durabilă. Proiectul de lege are ca scop să pună capăt uciderii puilor care sunt sortați din interese economice. </w:t>
      </w:r>
    </w:p>
    <w:p w:rsidR="007768AF" w:rsidRPr="00774080" w:rsidRDefault="007768AF" w:rsidP="007768AF">
      <w:pPr>
        <w:pStyle w:val="Text"/>
      </w:pPr>
      <w:r>
        <w:t xml:space="preserve">Prin urmare, proiectul este în conformitate cu principiile unei dezvoltări mai durabile în ceea ce privește protejarea bunăstării animalelor crescute la fermă și îmbunătățirea </w:t>
      </w:r>
      <w:r>
        <w:rPr>
          <w:rStyle w:val="acopre"/>
        </w:rPr>
        <w:t>eticii alimentare</w:t>
      </w:r>
      <w:r>
        <w:t xml:space="preserve"> în societate, atât în ceea ce privește producția de alimente, cât și în ceea ce privește comerțul. În special, îndeplinirea obiectivului de durabilitate numărul 2 „Eradicarea foametei, atingerea securității alimentare și o alimentație mai bună și promovarea agriculturii durabile” este, prin urmare, promovată prin reglementare. În plus, se ține seama de principiul dezvoltării durabile numărul 4 „Consolidarea managementului durabil”, în special de subpunctul 4c) „Agricultura și pescuitul durabil trebuie să fie productive, competitive și compatibile din punct de vedere social și ecologic; trebuie să respecte în special [...] cerințele pentru creșterea animalelor care asigură bunăstarea animalelor [...] ".</w:t>
      </w:r>
    </w:p>
    <w:p w:rsidR="002B6ABF" w:rsidRPr="00774080" w:rsidRDefault="002B6ABF" w:rsidP="002B6ABF">
      <w:pPr>
        <w:pStyle w:val="berschriftarabischBegrndung"/>
      </w:pPr>
      <w:r>
        <w:t>Cheltuieli bugetare fără costuri de asigurare a conformității</w:t>
      </w:r>
    </w:p>
    <w:p w:rsidR="002B6ABF" w:rsidRPr="00774080" w:rsidRDefault="00151D1A" w:rsidP="00606ED5">
      <w:pPr>
        <w:pStyle w:val="Text"/>
      </w:pPr>
      <w:r>
        <w:t>Proiectul generează cheltuieli bugetare fără costuri de asigurare a conformității</w:t>
      </w:r>
    </w:p>
    <w:p w:rsidR="00A75A00" w:rsidRPr="00774080" w:rsidRDefault="002B6ABF" w:rsidP="00A75A00">
      <w:pPr>
        <w:pStyle w:val="berschriftarabischBegrndung"/>
      </w:pPr>
      <w:r>
        <w:t>Costuri de asigurare a conformității</w:t>
      </w:r>
    </w:p>
    <w:p w:rsidR="00A75A00" w:rsidRPr="00774080" w:rsidRDefault="00A75A00" w:rsidP="00275036">
      <w:pPr>
        <w:pStyle w:val="berschriftrmischBegrndung"/>
        <w:numPr>
          <w:ilvl w:val="0"/>
          <w:numId w:val="0"/>
        </w:numPr>
      </w:pPr>
      <w:r>
        <w:t>4,1. Costuri de asigurare a conformității pentru cetățeni</w:t>
      </w:r>
    </w:p>
    <w:p w:rsidR="00A75A00" w:rsidRPr="00774080" w:rsidRDefault="00A75A00" w:rsidP="00A75A00">
      <w:pPr>
        <w:pStyle w:val="Text"/>
      </w:pPr>
      <w:r>
        <w:t>Cetățenii nu suportă costuri de conformitate.</w:t>
      </w:r>
    </w:p>
    <w:p w:rsidR="00A75A00" w:rsidRPr="00774080" w:rsidRDefault="00A75A00" w:rsidP="00774080">
      <w:pPr>
        <w:pStyle w:val="Text"/>
        <w:keepNext/>
        <w:rPr>
          <w:b/>
        </w:rPr>
      </w:pPr>
      <w:r>
        <w:rPr>
          <w:b/>
        </w:rPr>
        <w:t xml:space="preserve">4,2. Costurile de asigurare a conformității pentru sectorul economic </w:t>
      </w:r>
    </w:p>
    <w:p w:rsidR="002B6ABF" w:rsidRPr="00774080" w:rsidRDefault="00D84EE7" w:rsidP="00606ED5">
      <w:pPr>
        <w:pStyle w:val="Text"/>
      </w:pPr>
      <w:r>
        <w:t>Proiectul de lege generează costuri de asigurare a conformității pentru sectorul economic. Nu se preconizează o modificare a costurilor de asigurare a conformității pentru cetățeni și administrație. Estimarea costurilor de asigurare a conformității se bazează pe calculele Oficiului Federal de Statistică. Informațiile privind numărul de cazuri utilizate și timpul necesar se bazează pe cercetări pe internet, pe date furnizate de Oficiul Federal de Statistică și pe interviuri telefonice.</w:t>
      </w:r>
    </w:p>
    <w:p w:rsidR="00D84EE7" w:rsidRPr="00774080" w:rsidRDefault="00D84EE7" w:rsidP="00606ED5">
      <w:pPr>
        <w:pStyle w:val="Text"/>
      </w:pPr>
      <w:r>
        <w:t>Datorită interzicerii uciderii puilor, proiectul de lege duce la costuri anuale de asigurare a conformității de aproximativ 147,5 milioane de euro.</w:t>
      </w:r>
    </w:p>
    <w:p w:rsidR="00BF62F0" w:rsidRPr="00774080" w:rsidRDefault="00BF62F0" w:rsidP="00BF62F0">
      <w:pPr>
        <w:pStyle w:val="Text"/>
      </w:pPr>
      <w:r>
        <w:t>Efectele asupra costurilor anuale de asigurare a conformității depind de procedura specifică aleasă de incubatoare ca alternativă la uciderea puilor. Utilizarea unei proceduri pentru determinarea sexului în ou ca serviciu, și anume printr-o procedură de licențiere, duce la creșterea costurilor pentru comerțul cu produse alimentare și pentru întreprinderile de prelucrare. Deoarece nu este încă posibil să se determine valoarea exactă a taxelor de licență, prețul suplimentar pe ou cu coajă estimat de unul dintre furnizorii procedurii anterioare</w:t>
      </w:r>
      <w:r w:rsidRPr="00774080">
        <w:rPr>
          <w:rStyle w:val="FootnoteReference"/>
        </w:rPr>
        <w:footnoteReference w:id="4"/>
      </w:r>
      <w:r w:rsidRPr="00774080">
        <w:rPr>
          <w:rStyle w:val="FootnoteReference"/>
        </w:rPr>
        <w:t>)</w:t>
      </w:r>
      <w:r>
        <w:rPr>
          <w:rStyle w:val="FootnoteReference"/>
        </w:rPr>
        <w:t>)</w:t>
      </w:r>
      <w:r>
        <w:t xml:space="preserve"> este utilizat ca valoare aproximativă. În acest sens, numărul de ouă produse prin plata taxelor de licență constituie numărul de cazuri. </w:t>
      </w:r>
    </w:p>
    <w:p w:rsidR="00CC02F5" w:rsidRPr="00774080" w:rsidRDefault="00BF62F0" w:rsidP="00CC02F5">
      <w:pPr>
        <w:pStyle w:val="Text"/>
      </w:pPr>
      <w:r>
        <w:lastRenderedPageBreak/>
        <w:t>Costurile suplimentare pe ou, care provin de la o întreprindere care folosește o metodă de determinare a sexului în oul de incubație, sunt estimate la o valoare cuprinsă între unu până și trei cenți pe ou cu coajă</w:t>
      </w:r>
      <w:r w:rsidR="00DF31C3" w:rsidRPr="00774080">
        <w:rPr>
          <w:rStyle w:val="FootnoteReference"/>
        </w:rPr>
        <w:footnoteReference w:id="5"/>
      </w:r>
      <w:r w:rsidR="00DF31C3" w:rsidRPr="00774080">
        <w:rPr>
          <w:rStyle w:val="FootnoteReference"/>
        </w:rPr>
        <w:t>)</w:t>
      </w:r>
      <w:r>
        <w:rPr>
          <w:rStyle w:val="FootnoteReference"/>
        </w:rPr>
        <w:t>)</w:t>
      </w:r>
      <w:r>
        <w:t>. În forma sa actuală, această procedură este orientată către comerțul cu amănuntul, deoarece taxele de licență sunt suportate de așa-numitele centre de ambalare. Costurile pentru logistică sunt deja incluse în calculul furnizorului de servicii.</w:t>
      </w:r>
    </w:p>
    <w:p w:rsidR="001E35CB" w:rsidRPr="00774080" w:rsidRDefault="00BF62F0" w:rsidP="00BF62F0">
      <w:pPr>
        <w:pStyle w:val="Text"/>
      </w:pPr>
      <w:r>
        <w:t>În 2019, în Germania au fost produse în total aproximativ 15 miliarde de ouă</w:t>
      </w:r>
      <w:r w:rsidR="00A436AD" w:rsidRPr="00774080">
        <w:rPr>
          <w:rStyle w:val="FootnoteReference"/>
        </w:rPr>
        <w:footnoteReference w:id="6"/>
      </w:r>
      <w:r w:rsidR="00A436AD" w:rsidRPr="00774080">
        <w:rPr>
          <w:rStyle w:val="FootnoteReference"/>
        </w:rPr>
        <w:t>)</w:t>
      </w:r>
      <w:r>
        <w:rPr>
          <w:rStyle w:val="FootnoteReference"/>
        </w:rPr>
        <w:t>)</w:t>
      </w:r>
      <w:r>
        <w:t>. Dintre acestea, un total de aproximativ 12 miliarde de ouă au fost produse pentru uz intern, minus volumul exporturilor</w:t>
      </w:r>
      <w:r w:rsidR="00A436AD" w:rsidRPr="00774080">
        <w:rPr>
          <w:rStyle w:val="FootnoteReference"/>
        </w:rPr>
        <w:footnoteReference w:id="7"/>
      </w:r>
      <w:r w:rsidR="00A436AD" w:rsidRPr="00774080">
        <w:rPr>
          <w:rStyle w:val="FootnoteReference"/>
        </w:rPr>
        <w:t>)</w:t>
      </w:r>
      <w:r>
        <w:rPr>
          <w:rStyle w:val="FootnoteReference"/>
        </w:rPr>
        <w:t>)</w:t>
      </w:r>
      <w:r>
        <w:t xml:space="preserve">. </w:t>
      </w:r>
    </w:p>
    <w:p w:rsidR="00CC02F5" w:rsidRPr="00774080" w:rsidRDefault="00CC02F5" w:rsidP="00CC02F5">
      <w:r>
        <w:t>Ar trebui să se țină seama în acest caz că procedura de determinare a sexului a fost efectuată pe aproximativ 3 milioane de ouă în 2019. În plus, în prezent sunt în creștere aproximativ 2,25 milioane de cocoși. Aceste 5,25 milioane ouă trebuie scăzute.</w:t>
      </w:r>
    </w:p>
    <w:p w:rsidR="00BF62F0" w:rsidRPr="00774080" w:rsidRDefault="00DF31C3" w:rsidP="00BF62F0">
      <w:pPr>
        <w:pStyle w:val="Text"/>
      </w:pPr>
      <w:r>
        <w:t>Astfel rămân aproximativ 12 miliarde de ouă despre care se poate presupune că vor fi vândute în comerț sau în industria alimentară. Dacă toate incubatoarele se transformă în conformitate cu procedura menționată anterior, se pot estima costuri anuale de asigurare a conformității datorate taxelor de licență cuprinse între 120 de milioane EUR (12 miliarde * 0,01 EUR) și 360 de milioane EUR (12 miliarde * 0,03 EUR). Valoarea medie, adică 0,02 EUR, este utilizată pentru estimarea prezentată mai sus.</w:t>
      </w:r>
    </w:p>
    <w:p w:rsidR="00BF62F0" w:rsidRPr="00774080" w:rsidRDefault="00BF62F0" w:rsidP="00BF62F0">
      <w:pPr>
        <w:pStyle w:val="Text"/>
      </w:pPr>
      <w:r>
        <w:t>Această estimare se bazează pe presupunerea că taxele de licență percepute de furnizor pot fi deduse integral din costurile suplimentare pentru fiecare ou, astfel cum se indică mai sus. În plus, sarcina suplimentară depinde de prețul procedurii de licențiere prevăzute.</w:t>
      </w:r>
    </w:p>
    <w:p w:rsidR="00CC02F5" w:rsidRPr="00774080" w:rsidRDefault="00CC02F5" w:rsidP="00CC02F5">
      <w:pPr>
        <w:rPr>
          <w:rStyle w:val="acopre"/>
        </w:rPr>
      </w:pPr>
      <w:r>
        <w:t xml:space="preserve">Pe de altă parte, se acordă o scutire anuală fermelor, în valoare de 92,4 milioane EUR (12 miliarde de ouă * 0,0077 EUR). Veniturile, inclusiv economiile dintr-o procedură de determinare a sexului, au fost calculate la 0,0077 EUR pentru fiecare ou de incubație </w:t>
      </w:r>
      <w:r w:rsidRPr="00774080">
        <w:rPr>
          <w:rStyle w:val="FootnoteReference"/>
        </w:rPr>
        <w:footnoteReference w:id="8"/>
      </w:r>
      <w:r w:rsidRPr="00774080">
        <w:rPr>
          <w:rStyle w:val="FootnoteReference"/>
        </w:rPr>
        <w:t>)</w:t>
      </w:r>
      <w:r>
        <w:rPr>
          <w:rStyle w:val="FootnoteReference"/>
        </w:rPr>
        <w:t>)</w:t>
      </w:r>
      <w:r>
        <w:t xml:space="preserve">. Aceasta include economii pentru personalul care sortează manual puii </w:t>
      </w:r>
      <w:r>
        <w:rPr>
          <w:rStyle w:val="acopre"/>
        </w:rPr>
        <w:t>imediat după eclozare și economii printr-o capacitate mai mică în perioada prealabilă incubării și o reducere a costurilor cu energia în perioada prealabilă eclozării.</w:t>
      </w:r>
    </w:p>
    <w:p w:rsidR="00CC02F5" w:rsidRPr="00774080" w:rsidRDefault="00CC02F5" w:rsidP="00CC02F5">
      <w:pPr>
        <w:rPr>
          <w:rFonts w:eastAsia="Times New Roman"/>
          <w:color w:val="000000"/>
        </w:rPr>
      </w:pPr>
      <w:r>
        <w:t xml:space="preserve">Pentru aproximativ 12 miliarde de ouă, costurile anuale de asigurare a conformității datorate taxelor de licență minus scutirea sunt cuprinse între </w:t>
      </w:r>
      <w:r>
        <w:rPr>
          <w:color w:val="000000"/>
        </w:rPr>
        <w:t xml:space="preserve">27,6 </w:t>
      </w:r>
      <w:r>
        <w:t xml:space="preserve">milioane EUR [12 miliarde* (0,01-0,0077 EUR)] și 267,5 </w:t>
      </w:r>
      <w:r>
        <w:rPr>
          <w:color w:val="000000"/>
        </w:rPr>
        <w:t>milioane</w:t>
      </w:r>
      <w:r>
        <w:t xml:space="preserve">EUR [12 miliarde * (0,03 -0,0077 EUR)]. Estimarea cu valoarea medie (0,02-0,0077 EUR) are ca rezultat costuri anuale de asigurare a conformității în valoare de </w:t>
      </w:r>
      <w:r>
        <w:rPr>
          <w:color w:val="000000"/>
        </w:rPr>
        <w:t>147,5 milioane EUR.</w:t>
      </w:r>
    </w:p>
    <w:p w:rsidR="00CC02F5" w:rsidRPr="00774080" w:rsidRDefault="00CC02F5" w:rsidP="00CC02F5">
      <w:pPr>
        <w:rPr>
          <w:rFonts w:eastAsia="Times New Roman"/>
        </w:rPr>
      </w:pPr>
      <w:r>
        <w:t>Întreprinderile care manipulează și prelucrează alimente de origine animală și le comercializează trebuie să fie aprobate de autoritatea competentă, cu câteva excepții definite. În prezent sunt înregistrate 2436 de stații de ambalare a ouălor și publicate în baza de date din Germania.</w:t>
      </w:r>
      <w:r w:rsidRPr="00774080">
        <w:rPr>
          <w:rStyle w:val="FootnoteReference"/>
        </w:rPr>
        <w:footnoteReference w:id="9"/>
      </w:r>
      <w:r w:rsidRPr="00774080">
        <w:rPr>
          <w:rStyle w:val="FootnoteReference"/>
          <w:vertAlign w:val="baseline"/>
        </w:rPr>
        <w:t>)</w:t>
      </w:r>
      <w:r>
        <w:rPr>
          <w:rStyle w:val="FootnoteReference"/>
          <w:vertAlign w:val="baseline"/>
        </w:rPr>
        <w:t>)</w:t>
      </w:r>
      <w:r>
        <w:t xml:space="preserve">. Prin urmare, costurile medii anuale suplimentare de asigurare a conformității pentru fiecare întreprindere sunt de aproximativ 60 600 EUR. </w:t>
      </w:r>
    </w:p>
    <w:p w:rsidR="00CC02F5" w:rsidRPr="00774080" w:rsidRDefault="00CC02F5" w:rsidP="00CC02F5">
      <w:r>
        <w:t xml:space="preserve">Deoarece costurile externe în curs sunt suportate pentru punerea în aplicare a regulamentului propus, examinarea adecvării economice și a caracterului rezonabil pentru un centru mediu de ambalare (adesea întreprinderi </w:t>
      </w:r>
      <w:r>
        <w:rPr>
          <w:rStyle w:val="highlight"/>
        </w:rPr>
        <w:t>mici</w:t>
      </w:r>
      <w:r>
        <w:t xml:space="preserve"> și mijlocii) prezintă o importanță deosebită. În această privință, trebuie subliniat totuși că creșterile rezonabile ale costurilor </w:t>
      </w:r>
      <w:r>
        <w:lastRenderedPageBreak/>
        <w:t xml:space="preserve">nu conduc la o lipsă de justificare economică a respectării regulamentului, deoarece costurile suportate în lanțul de producție sunt transferate consumatorului, indiferent de dimensiunea societății. Nu există nicio derogare pentru întreprinderile </w:t>
      </w:r>
      <w:r>
        <w:rPr>
          <w:rStyle w:val="highlight"/>
        </w:rPr>
        <w:t>mici</w:t>
      </w:r>
      <w:r>
        <w:t xml:space="preserve"> și mijlocii, deoarece scopul regulamentului de a pune capăt uciderii puilor de o zi poate fi atins numai prin includerea acestor întreprinderi.</w:t>
      </w:r>
    </w:p>
    <w:p w:rsidR="00CC02F5" w:rsidRPr="00774080" w:rsidRDefault="00CC02F5" w:rsidP="00CC02F5">
      <w:pPr>
        <w:pStyle w:val="Text"/>
      </w:pPr>
      <w:r>
        <w:t>În ceea ce privește regula „one in one out” a guvernului federal, costurile anuale de asigurare a conformității ale economiei din acest proiect de reglementare reprezintă componenta de „in” (intrare) de 147,5 milioane de euro. În situația actuală, doar o parte dintre costuri pot fi compensate de reglementările BMEL privind descărcarea de gestiune din această perioadă legislativă. Sunt examinate alte opțiuni de compensare.</w:t>
      </w:r>
    </w:p>
    <w:p w:rsidR="00CC02F5" w:rsidRPr="00774080" w:rsidRDefault="00CC02F5" w:rsidP="00774080">
      <w:pPr>
        <w:pStyle w:val="Text"/>
        <w:keepNext/>
        <w:rPr>
          <w:b/>
        </w:rPr>
      </w:pPr>
      <w:r>
        <w:rPr>
          <w:b/>
        </w:rPr>
        <w:t>4,3. Costuri administrative de asigurare a conformității</w:t>
      </w:r>
    </w:p>
    <w:p w:rsidR="00CC02F5" w:rsidRPr="00774080" w:rsidRDefault="00CC02F5" w:rsidP="00CC02F5">
      <w:r>
        <w:t xml:space="preserve">Nu se preconizează o modificare a costurilor administrative de asigurare a conformității. Incubatoarele fac obiectul unor controale periodice în conformitate cu articolul 9 din Regulamentul (CE) nr. 617/2008 din 27 iunie 2008 de stabilire a normelor de aplicare a Regulamentului (CE) nr. 1234/2007 în ceea ce privește standardele de comercializare pentru ouăle destinate incubării și puii de păsări de curte (JO L 168, 28.6.2008, p. 5). Controalele anuale specifice se bazează pe o analiză a riscurilor. În plus, controalele întreprinderii sunt deja efectuate în conformitate cu dispozițiile Legii privind bunăstarea animalelor, deoarece întreprinderile ucid puii masculi. Prin urmare, nu sunt de așteptat controale suplimentare în legătură cu punerea în aplicare a prezentei reglementări propuse. Efortul de control pentru a determina că o activitate nu mai este efectuată este evaluat ca fiind constant comparativ cu efortul curent. </w:t>
      </w:r>
    </w:p>
    <w:p w:rsidR="002B6ABF" w:rsidRPr="00774080" w:rsidRDefault="002B6ABF" w:rsidP="00606ED5">
      <w:pPr>
        <w:pStyle w:val="berschriftarabischBegrndung"/>
      </w:pPr>
      <w:r>
        <w:t>Costuri suplimentare</w:t>
      </w:r>
    </w:p>
    <w:p w:rsidR="00CC02F5" w:rsidRPr="00774080" w:rsidRDefault="00CC02F5" w:rsidP="00CC02F5">
      <w:pPr>
        <w:pStyle w:val="Text"/>
      </w:pPr>
      <w:r>
        <w:t>Se poate presupune că economia va transfera cel puțin o parte din costuri consumatorilor, astfel încât reglementările propuse să aibă un impact asupra prețurilor individuale de până la 10 cenți pentru fiecare pachet de 6 ouă.</w:t>
      </w:r>
    </w:p>
    <w:p w:rsidR="002B6ABF" w:rsidRPr="00774080" w:rsidRDefault="002B6ABF" w:rsidP="00606ED5">
      <w:pPr>
        <w:pStyle w:val="berschriftarabischBegrndung"/>
      </w:pPr>
      <w:r>
        <w:t>Alte efecte de natură legislativă</w:t>
      </w:r>
    </w:p>
    <w:p w:rsidR="002B6ABF" w:rsidRPr="00774080" w:rsidRDefault="00A436AD" w:rsidP="00606ED5">
      <w:pPr>
        <w:pStyle w:val="Text"/>
      </w:pPr>
      <w:r>
        <w:t xml:space="preserve">Nu se preconizează efecte semnificative în ceea ce privește egalitatea de gen, deoarece legea nu conține nicio reglementare care să influențeze situația specifică a vieții femeilor și bărbaților. </w:t>
      </w:r>
    </w:p>
    <w:p w:rsidR="002B6ABF" w:rsidRPr="00774080" w:rsidRDefault="002B6ABF" w:rsidP="00606ED5">
      <w:pPr>
        <w:pStyle w:val="berschriftrmischBegrndung"/>
      </w:pPr>
      <w:r>
        <w:t>Termen; evaluare</w:t>
      </w:r>
    </w:p>
    <w:p w:rsidR="002B6ABF" w:rsidRPr="00774080" w:rsidRDefault="00795460" w:rsidP="00606ED5">
      <w:pPr>
        <w:pStyle w:val="Text"/>
      </w:pPr>
      <w:r>
        <w:t>Nu se prevede o perioadă de limitare.</w:t>
      </w:r>
    </w:p>
    <w:p w:rsidR="00A436AD" w:rsidRPr="00774080" w:rsidRDefault="00A436AD" w:rsidP="00606ED5">
      <w:pPr>
        <w:pStyle w:val="Text"/>
      </w:pPr>
      <w:r>
        <w:t>Această lege urmează să fie evaluată până cel târziu la 1 ianuarie 2027. Scopul acestui lucru este de a verifica dacă obiectivul legii de a preveni uciderea puilor de pui a fost îndeplinit. Indicatorul pentru evaluare este detectarea încălcărilor reglementărilor în timpul controalelor efectuate de către landurile federale. Informațiile din statele federale ar trebui utilizate ca bază de date.</w:t>
      </w:r>
    </w:p>
    <w:p w:rsidR="00261248" w:rsidRPr="00774080" w:rsidRDefault="002B6ABF" w:rsidP="00774080">
      <w:pPr>
        <w:pStyle w:val="BegrndungBesondererTeil"/>
      </w:pPr>
      <w:r>
        <w:t>B. Secțiune specială</w:t>
      </w:r>
    </w:p>
    <w:p w:rsidR="00261248" w:rsidRPr="00774080" w:rsidRDefault="00261248" w:rsidP="00261248">
      <w:pPr>
        <w:pStyle w:val="VerweisBegrndung"/>
      </w:pPr>
      <w:r>
        <w:t xml:space="preserve">La </w:t>
      </w:r>
      <w:r>
        <w:rPr>
          <w:rStyle w:val="Binnenverweis"/>
        </w:rPr>
        <w:t>articolul 1</w:t>
      </w:r>
      <w:r>
        <w:t xml:space="preserve"> (Modificarea Legii privind bunăstarea animalelor)</w:t>
      </w:r>
    </w:p>
    <w:p w:rsidR="00261248" w:rsidRPr="00774080" w:rsidRDefault="00261248" w:rsidP="00261248">
      <w:pPr>
        <w:pStyle w:val="Text"/>
      </w:pPr>
      <w:r>
        <w:t xml:space="preserve">Articolul 4c prima teză prevede interzicerea uciderii puilor de găină. Această interdicție se impune în contextul hotărârilor Curții Administrative Federale, Az. 3 C 28.16 și Az. 3 C 29.16 și în ceea ce privește acordul relevant al coaliției de guvernământ în acordul de coaliție </w:t>
      </w:r>
      <w:r>
        <w:lastRenderedPageBreak/>
        <w:t>„pentru a pune capăt uciderii puilor de o zi", încorporat în lege. Este necesară o interdicție pentru a preveni în mod eficient uciderea puilor de găină și pentru a asigura respectarea în mod eficient. Interdicția va intra în vigoare la 1 ianuarie 2022.</w:t>
      </w:r>
    </w:p>
    <w:p w:rsidR="007A388E" w:rsidRPr="00774080" w:rsidRDefault="00FF67B0" w:rsidP="009A0CF8">
      <w:pPr>
        <w:pStyle w:val="PlainText"/>
      </w:pPr>
      <w:r>
        <w:rPr>
          <w:rFonts w:ascii="Arial" w:hAnsi="Arial"/>
        </w:rPr>
        <w:t>Interdicția include toți puii din liniile de reproducere care sunt crescuți pentru producția intensivă de ouă. Se referă, de asemenea, la animalele de reproducție și de prăsilă. Interdicția vizează uciderea femelelor și a masculilor. Uciderea sistematică a puilor masculi în incubatoare, precum și uciderea puilor masculi sau femele crescuți în ferme pentru reproducere, se încadrează în domeniul de aplicare al reglementării. Interdicția este extinsă la puii care sunt produși în scopuri de reproducere și înmulțire, deoarece în sistemul de producție al industriei de păsări de curte uciderea puilor masculi și femele are loc și în unitățile de reproducere și de înmulțire dacă puii de găină sau puii dintr-o anumită linie nu pot fi utilizați pentru reproducere. De asemenea, ar trebui să se prevină acest eveniment negativ care afectează bunăstarea animalelor în etapa de reproducere și de înmulțire.</w:t>
      </w:r>
    </w:p>
    <w:p w:rsidR="00261248" w:rsidRPr="00774080" w:rsidRDefault="00261248" w:rsidP="00261248">
      <w:pPr>
        <w:pStyle w:val="Text"/>
      </w:pPr>
      <w:r>
        <w:t xml:space="preserve">Interzicerea uciderii puilor nu încalcă drepturile fundamentale, în special dreptul fundamental la libertatea de alegere a ocupației, în conformitate cu articolul 12 din Constituție, operatorii de incubatoare și crescători. Funcționarea unui incubator sau a unei crescătorii este o activitate protejată de libertatea de alegere a ocupației; exercitarea profesiei poate fi totuși reglementată prin lege sau în temeiul unei legi [articolul 12 alineatul (1) a doua teză din Constituție]. Interzicerea uciderii puilor în acest proiect de lege nu constituie o ingerință nejustificată în libertatea operatorilor de incubatoare sau a crescătorilor de a-și exercita ocupația, deoarece desfășurarea activității, în special eclozarea ouălor, rămâne permisă. Crescătorul este liber să decidă în ceea ce privește incubarea în exploatație a ouălor provenite de la animale ouătoare, de carne sau de la linii utilizate în dublu scop. În plus, se poate presupune că, pe lângă utilizarea puilor cu scop dublu și creșterea și îngrășarea puilor masculi, metodele de determinare a sexului în ou vor putea fi puse în aplicare, ca alternative la uciderea puilor, până la 1 ianuarie 2022 și vor fi disponibile pe piață. </w:t>
      </w:r>
    </w:p>
    <w:p w:rsidR="00261248" w:rsidRPr="00774080" w:rsidRDefault="00261248" w:rsidP="00261248">
      <w:pPr>
        <w:pStyle w:val="Text"/>
      </w:pPr>
      <w:r>
        <w:t>Pentru perioada 2008-2020, guvernul federal a acordat aproximativ opt milioane de euro pentru promovarea tuturor alternativelor, inclusiv aproximativ șase milioane și jumătate de euro pentru dezvoltarea metodelor de determinare a sexului în ou.</w:t>
      </w:r>
    </w:p>
    <w:p w:rsidR="00261248" w:rsidRPr="00774080" w:rsidRDefault="00261248" w:rsidP="00261248">
      <w:pPr>
        <w:pStyle w:val="Text"/>
      </w:pPr>
      <w:r>
        <w:t>Finanțarea din partea guvernului federal a contribuit la dezvoltarea unor metode cu ajutorul cărora sexul puilor care se dezvoltă în ouă poate fi determinat cu un grad foarte ridicat de acuratețe. Diferite metode de determinare, bazate pe diferite principii tehnologice, permit stabilirea cu siguranță ridicată a sexului puiului. În plus față de abordările endocrinologice și spectroscopice, analiza genetică și determinarea sexului în funcție de culoarea embrionului au fost, de asemenea, stabilite ca metode.</w:t>
      </w:r>
    </w:p>
    <w:p w:rsidR="00261248" w:rsidRPr="00774080" w:rsidRDefault="00261248" w:rsidP="00261248">
      <w:pPr>
        <w:pStyle w:val="Text"/>
      </w:pPr>
      <w:r>
        <w:t xml:space="preserve">Toate aceste metode sunt practic adecvate pentru utilizarea pe scară largă în incubatoare din Germania și unele sunt deja utilizate în practică. În prezent, întreprinderile realizează în propriul lor interes o optimizare suplimentară a tehnologiilor corespunzătoare. </w:t>
      </w:r>
    </w:p>
    <w:p w:rsidR="000E691B" w:rsidRPr="00774080" w:rsidRDefault="007438BC" w:rsidP="00A1181A">
      <w:pPr>
        <w:pStyle w:val="Text"/>
      </w:pPr>
      <w:r>
        <w:t xml:space="preserve">De la data pronunțării hotărârilor Curții Administrative Federale menționate mai sus în iunie 2019, procedurile pentru determinarea sexului în ou au fost dezvoltate în continuare. </w:t>
      </w:r>
    </w:p>
    <w:p w:rsidR="000E691B" w:rsidRPr="00774080" w:rsidRDefault="00351C68" w:rsidP="000E691B">
      <w:pPr>
        <w:pStyle w:val="Text"/>
      </w:pPr>
      <w:r>
        <w:t xml:space="preserve">Procedurile de determinare a sexului pot fi, în principiu, aplicate în incubatoare sau determinarea sexului poate fi prestată sub formă de serviciu. Utilizarea unui serviciu este deosebit de potrivită pentru incubatoarele care introduc o serie de ouă pentru incubație pentru care instalarea tehnologiei de determinare a sexului este neprofitabilă din punct de vedere economic. Acest lucru asigură faptul că un proces de determinare a sexului poate fi efectuat în oul de incubare, indiferent de volumul de producție și de caracteristicile genetice. </w:t>
      </w:r>
    </w:p>
    <w:p w:rsidR="007C3950" w:rsidRPr="00774080" w:rsidRDefault="007C3950" w:rsidP="007C3950">
      <w:pPr>
        <w:pStyle w:val="Text"/>
      </w:pPr>
      <w:r>
        <w:t xml:space="preserve">Prin determinarea sexului puilor în curs de dezvoltare în timp ce aceștia sunt încă în ou, este posibil să se prevină dezvoltarea și eclozarea ulterioară a unui pui mascul. În acest </w:t>
      </w:r>
      <w:r>
        <w:lastRenderedPageBreak/>
        <w:t xml:space="preserve">scop, sunt necesare modificări ale proceselor de incubație. Spre deosebire de celelalte alternative, determinarea sexului nu necesită aproape nicio ajustare a etapelor de producție din amonte și din aval. Metodele de determinare a sexului contribuie la realizarea unor economii în incubatoare, care sunt cu atât mai mari cu cât are loc mai devreme determinarea sexului în ou. Sortarea ouălor din care ar ieși puii masculi eliberează capacitatea de reproducere. Datorită determinării sexului în ou, incubatoarele au nevoie doar de o treime din capacitatea lor, deoarece în procesele în care determinarea sexului este oferită sub forma unui serviciu, restul procesului de incubație se realizează în așa-numitele centre de determinare a sexului. În plus, nu există costuri pentru determinarea sexului puilor vii și a uciderii și reciclării acestora. </w:t>
      </w:r>
    </w:p>
    <w:p w:rsidR="000E691B" w:rsidRPr="00774080" w:rsidRDefault="000E691B" w:rsidP="000E691B">
      <w:pPr>
        <w:pStyle w:val="Text"/>
      </w:pPr>
      <w:r>
        <w:t>Interzicerea uciderii puilor nu aduce atingere controlului bolilor la animale și uciderii de urgență a animalelor bolnave sau rănite care au eclozat conform normelor privind bunăstarea animalelor. La fel, interdicția nu ar trebui să se aplice în cazul puilor care nu pot ecloza și al puilor mici. Termenul pui mici corespunde termenului de la articolul 1 punctul 1 litera (a) din Regulamentul (CE) nr. 543/2008 din 16 iunie 2008 al Comisiei de stabilire a normelor de aplicare a Regulamentului (CE) nr. 1234/2007 al Consiliului în ceea ce privește standardele de comercializare a cărnii de pasăre. În conformitate cu acesta, un pui mic este un animal cu o greutate a carcasei mai mică de 650 g (exprimată fără organe interne, cap și picioare) sau puii cu greutate între 650 g și 750 g pot fi numiți „pui mici” dacă vârsta la sacrificare nu depășește 28 de zile. Experimentele pe animale sunt, de asemenea, incluse în derogare, deoarece interdicția este îndreptată împotriva uciderii sistematice a puilor și embrionilor în producția de ouă, în timp ce experimentele orientate în scopuri științifice spre pui sau embrioni nu ar trebui incluse.</w:t>
      </w:r>
    </w:p>
    <w:p w:rsidR="00261248" w:rsidRPr="00774080" w:rsidRDefault="000E691B" w:rsidP="009C04C2">
      <w:pPr>
        <w:pStyle w:val="PlainText"/>
      </w:pPr>
      <w:r>
        <w:rPr>
          <w:rFonts w:ascii="Arial" w:hAnsi="Arial"/>
          <w:szCs w:val="22"/>
        </w:rPr>
        <w:t>În plus față de metodele de determinare a sexului în ou, alternativele pentru a evita sacrificarea sunt, de asemenea, reproducerea cocoșilor sau utilizarea găinilor cu dublu scop. în următorii ani, creșterea și utilizarea raselor cu scop dublu vor fi susținute și promovate în special de guvernul federal. Măsurile care sunt adecvate în acest scop vor fi discutate în cadrul discuțiilor din cadrul rețelei de competențe pentru creșterea animalelor înființată de Ministerul Federal al Alimentației și Agriculturii.</w:t>
      </w:r>
    </w:p>
    <w:p w:rsidR="009623BC" w:rsidRPr="00774080" w:rsidRDefault="009623BC" w:rsidP="009623BC">
      <w:pPr>
        <w:pStyle w:val="VerweisBegrndung"/>
      </w:pPr>
      <w:r>
        <w:t xml:space="preserve">La </w:t>
      </w:r>
      <w:r>
        <w:rPr>
          <w:rStyle w:val="Binnenverweis"/>
        </w:rPr>
        <w:t>articolul 2</w:t>
      </w:r>
      <w:r>
        <w:t xml:space="preserve"> (Modificări suplimentare ale Legii privind bunăstarea animalelor)</w:t>
      </w:r>
    </w:p>
    <w:p w:rsidR="00C47526" w:rsidRPr="00774080" w:rsidRDefault="00C47526" w:rsidP="00C47526">
      <w:pPr>
        <w:pStyle w:val="VerweisBegrndung"/>
      </w:pPr>
      <w:r>
        <w:t xml:space="preserve">La </w:t>
      </w:r>
      <w:r>
        <w:rPr>
          <w:rStyle w:val="Binnenverweis"/>
        </w:rPr>
        <w:t>punctul 1</w:t>
      </w:r>
    </w:p>
    <w:p w:rsidR="009623BC" w:rsidRPr="00774080" w:rsidRDefault="009623BC" w:rsidP="009623BC">
      <w:pPr>
        <w:pStyle w:val="VerweisBegrndung"/>
      </w:pPr>
      <w:r>
        <w:t xml:space="preserve">La </w:t>
      </w:r>
      <w:r>
        <w:rPr>
          <w:rStyle w:val="Binnenverweis"/>
        </w:rPr>
        <w:t>litera (a)</w:t>
      </w:r>
    </w:p>
    <w:p w:rsidR="009623BC" w:rsidRPr="00774080" w:rsidRDefault="00E20922" w:rsidP="002536AC">
      <w:pPr>
        <w:pStyle w:val="Text"/>
      </w:pPr>
      <w:r>
        <w:t>Regulamentul de interzicere a articolului 4c este extins prin descompunerea în alineate, motiv pentru care se adaugă o denumire a unui alineat în mod editorial.</w:t>
      </w:r>
    </w:p>
    <w:p w:rsidR="009623BC" w:rsidRPr="00774080" w:rsidRDefault="009623BC" w:rsidP="009623BC">
      <w:pPr>
        <w:pStyle w:val="VerweisBegrndung"/>
        <w:rPr>
          <w:rStyle w:val="Binnenverweis"/>
        </w:rPr>
      </w:pPr>
      <w:r>
        <w:t xml:space="preserve">La </w:t>
      </w:r>
      <w:r>
        <w:rPr>
          <w:rStyle w:val="Binnenverweis"/>
        </w:rPr>
        <w:t>litera (b)</w:t>
      </w:r>
    </w:p>
    <w:p w:rsidR="009623BC" w:rsidRPr="00774080" w:rsidRDefault="009623BC" w:rsidP="009623BC">
      <w:pPr>
        <w:pStyle w:val="Text"/>
      </w:pPr>
      <w:r>
        <w:t>În conformitate cu articolului 4c alineatul (2), se interzice începând cu a șaptea zi de incubație, în timpul sau după utilizarea procedurilor de determinare a sexului în ou să se intervină asupra unui ou sau să se întrerupă un proces de incubație care determină moartea embrionului de pui. Textul de la punctele 1 și 2 este formulat pentru a include uciderea deliberată sau neintenționată a embrionului de pui în timpul sau după utilizarea unei proceduri de determinare a sexului în ou. A șaptea zi este determinată ca fiind decisivă, deoarece din această zi dezvoltarea inițială a senzației de durere la embrionul de pui nu poate fi exclusă în conformitate cu stadiul actual al cunoștințelor.</w:t>
      </w:r>
    </w:p>
    <w:p w:rsidR="00BF203A" w:rsidRPr="00774080" w:rsidRDefault="0029532E" w:rsidP="003555E9">
      <w:pPr>
        <w:pStyle w:val="CommentText"/>
      </w:pPr>
      <w:r>
        <w:rPr>
          <w:sz w:val="22"/>
          <w:szCs w:val="22"/>
        </w:rPr>
        <w:t>Interzicerea, începând cu a șaptea zi de incubație, în timpul sau după utilizarea procedurilor de determinare a sexului în ou, de a interveni asupra unui ou de găină sau de a întrerupe un proces de incubație care determină moartea embrionului de pui, nu constituie o încălcare nejustificată a libertății de a exercita o ocupație a întreprinderilor care dezvoltă metode pentru determinarea sexului în ou. Exercitarea activității, în special îmbunătățirea procedurilor existente sau cercetarea și dezvoltarea procedurilor de determinare a sexului, care determină sexul înainte de a 7-a zi de incubație rămâne nemodificată.</w:t>
      </w:r>
    </w:p>
    <w:p w:rsidR="009623BC" w:rsidRPr="00774080" w:rsidRDefault="009623BC" w:rsidP="009623BC">
      <w:pPr>
        <w:pStyle w:val="Text"/>
      </w:pPr>
      <w:r>
        <w:lastRenderedPageBreak/>
        <w:t xml:space="preserve">Pentru embrionii de animale în care percepția durerii se dezvoltă continuu, adică pentru embrionii de pui în orice moment după a șasea zi de incubație, protecția obiectivului național de protecție a animalelor, în conformitate cu articolul 20a din Constituție, se aplică și înainte de eclozare sau naștere. Până la sfârșitul anului 2023, ar trebui să fie gata pentru punerea în aplicare metodele prin care sexul unui embrion de pui poate fi determinat înainte de a șaptea zi de incubație. Scopul în acest sens este de a preveni o perioadă de tranziție îndelungată care să creeze un stimulent pentru a investi mai întâi în tehnici de determinare a sexului care vor fi utilizate după a șaptea zi de incubație. </w:t>
      </w:r>
    </w:p>
    <w:p w:rsidR="009623BC" w:rsidRPr="00774080" w:rsidRDefault="009623BC" w:rsidP="009623BC">
      <w:pPr>
        <w:pStyle w:val="VerweisBegrndung"/>
      </w:pPr>
      <w:r>
        <w:t xml:space="preserve">La </w:t>
      </w:r>
      <w:r>
        <w:rPr>
          <w:rStyle w:val="Binnenverweis"/>
        </w:rPr>
        <w:t>punctul 2</w:t>
      </w:r>
    </w:p>
    <w:p w:rsidR="009623BC" w:rsidRPr="00774080" w:rsidRDefault="009623BC" w:rsidP="009623BC">
      <w:pPr>
        <w:pStyle w:val="Text"/>
      </w:pPr>
      <w:r>
        <w:t>Articolul 18 alineatul (1) punctul 6a reglementează o infracțiune administrativă pentru încălcarea interdicției de la articolul 4c alineatul (2).</w:t>
      </w:r>
    </w:p>
    <w:p w:rsidR="00261248" w:rsidRPr="00774080" w:rsidRDefault="00261248" w:rsidP="00261248">
      <w:pPr>
        <w:pStyle w:val="VerweisBegrndung"/>
      </w:pPr>
      <w:r>
        <w:t xml:space="preserve">La </w:t>
      </w:r>
      <w:r>
        <w:rPr>
          <w:rStyle w:val="Binnenverweis"/>
        </w:rPr>
        <w:t>articolul 3</w:t>
      </w:r>
      <w:r>
        <w:t xml:space="preserve"> (intrare în vigoare)</w:t>
      </w:r>
    </w:p>
    <w:p w:rsidR="00E20922" w:rsidRPr="00774080" w:rsidRDefault="000E691B" w:rsidP="002536AC">
      <w:r>
        <w:t xml:space="preserve">Articolul 3 prevede intrarea progresivă în vigoare a legii. </w:t>
      </w:r>
    </w:p>
    <w:p w:rsidR="00C47526" w:rsidRPr="00774080" w:rsidRDefault="00C47526" w:rsidP="00C47526">
      <w:pPr>
        <w:pStyle w:val="VerweisBegrndung"/>
      </w:pPr>
      <w:r>
        <w:t xml:space="preserve">La </w:t>
      </w:r>
      <w:r>
        <w:rPr>
          <w:rStyle w:val="Binnenverweis"/>
        </w:rPr>
        <w:t>alineatul (1)</w:t>
      </w:r>
    </w:p>
    <w:p w:rsidR="002536AC" w:rsidRPr="00774080" w:rsidRDefault="00E20922" w:rsidP="002536AC">
      <w:r>
        <w:t xml:space="preserve">Articolul 1 urmează să intre în vigoare la 1 ianuarie 2022. Pentru a reduce rapid numărul de pui uciși și având în vedere progresele tehnice deja înregistrate, se consideră adecvată acordarea unei perioade scurte până la aplicarea interdicției de ucidere a puilor. Stadiul actual al tehnologiei sugerează că alternativele pot fi stabilite până la sfârșitul anului 2021. </w:t>
      </w:r>
    </w:p>
    <w:p w:rsidR="002536AC" w:rsidRPr="00774080" w:rsidRDefault="002536AC" w:rsidP="002536AC">
      <w:r>
        <w:t>Modificarea necesară a modului de funcționare este justificată pentru întreprinderile implicate în perioada cuprinsă între notificare și intrarea în vigoare. Potrivit hotărârilor Curții Administrative Federale și ca urmare a dezvoltării unor metode alternative, practica anterioară de sacrificare a puilor nu mai poate fi continuată din motive de protecție a animalelor.</w:t>
      </w:r>
    </w:p>
    <w:p w:rsidR="00C47526" w:rsidRPr="00774080" w:rsidRDefault="00C47526" w:rsidP="00C47526">
      <w:pPr>
        <w:pStyle w:val="VerweisBegrndung"/>
      </w:pPr>
      <w:r>
        <w:t xml:space="preserve">La </w:t>
      </w:r>
      <w:r>
        <w:rPr>
          <w:rStyle w:val="Binnenverweis"/>
        </w:rPr>
        <w:t>alineatul (2)</w:t>
      </w:r>
    </w:p>
    <w:p w:rsidR="00E20922" w:rsidRPr="00774080" w:rsidRDefault="00E20922" w:rsidP="002536AC">
      <w:r>
        <w:t>Articolul 2 urmează să intre în vigoare la 1 ianuarie 2024.</w:t>
      </w:r>
    </w:p>
    <w:p w:rsidR="002B6ABF" w:rsidRPr="00774080" w:rsidRDefault="002536AC" w:rsidP="00C47526">
      <w:r>
        <w:t xml:space="preserve">Deoarece determinarea sexului în ou poate duce la uciderea ulterioară a embrionilor de pui identificați ca masculi, dispoziția de la articolul 4c (2) prevede că în viitor se pot utiliza numai acele metode care determină sexul embrionului de pui înainte de a șaptea zi de incubație. Această cerință nu este încă îndeplinită în prezent prin procedura de determinare a sexului, dar ar trebui să fie posibilă până la sfârșitul anului 2023. Prin urmare, articolul 4c (2) ar trebui să intre în vigoare numai la 1 ianuarie 2024. Metodele de determinare a sexului după a șasea zi de incubație sunt, așadar, permise doar ca tehnologii de corelare până la data menționată.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D61" w:rsidRDefault="00B52D61" w:rsidP="005D1540">
      <w:pPr>
        <w:spacing w:before="0" w:after="0"/>
      </w:pPr>
      <w:r>
        <w:separator/>
      </w:r>
    </w:p>
    <w:p w:rsidR="00B52D61" w:rsidRDefault="00B52D61"/>
    <w:p w:rsidR="00B52D61" w:rsidRDefault="00B52D61" w:rsidP="000D500B"/>
  </w:endnote>
  <w:endnote w:type="continuationSeparator" w:id="0">
    <w:p w:rsidR="00B52D61" w:rsidRDefault="00B52D61" w:rsidP="005D1540">
      <w:pPr>
        <w:spacing w:before="0" w:after="0"/>
      </w:pPr>
      <w:r>
        <w:continuationSeparator/>
      </w:r>
    </w:p>
    <w:p w:rsidR="00B52D61" w:rsidRDefault="00B52D61"/>
    <w:p w:rsidR="00B52D61" w:rsidRDefault="00B52D61" w:rsidP="000D500B"/>
  </w:endnote>
  <w:endnote w:type="continuationNotice" w:id="1">
    <w:p w:rsidR="00B52D61" w:rsidRDefault="00B52D61">
      <w:pPr>
        <w:spacing w:before="0" w:after="0"/>
      </w:pPr>
    </w:p>
    <w:p w:rsidR="00B52D61" w:rsidRDefault="00B52D61"/>
    <w:p w:rsidR="00B52D61" w:rsidRDefault="00B52D61"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D61" w:rsidRDefault="00B52D61" w:rsidP="005D1540">
      <w:pPr>
        <w:spacing w:before="0" w:after="0"/>
      </w:pPr>
      <w:r>
        <w:separator/>
      </w:r>
    </w:p>
  </w:footnote>
  <w:footnote w:type="continuationSeparator" w:id="0">
    <w:p w:rsidR="00B52D61" w:rsidRDefault="00B52D61" w:rsidP="005D1540">
      <w:pPr>
        <w:spacing w:before="0" w:after="0"/>
      </w:pPr>
      <w:r>
        <w:continuationSeparator/>
      </w:r>
    </w:p>
  </w:footnote>
  <w:footnote w:type="continuationNotice" w:id="1">
    <w:p w:rsidR="00B52D61" w:rsidRDefault="00B52D61">
      <w:pPr>
        <w:spacing w:before="0" w:after="0"/>
      </w:pPr>
    </w:p>
    <w:p w:rsidR="00B52D61" w:rsidRDefault="00B52D61"/>
    <w:p w:rsidR="00B52D61" w:rsidRDefault="00B52D61" w:rsidP="000D500B"/>
  </w:footnote>
  <w:footnote w:id="2">
    <w:p w:rsidR="00144702" w:rsidRPr="00DC4328" w:rsidRDefault="00144702" w:rsidP="00DC4328">
      <w:pPr>
        <w:pStyle w:val="FootnoteText"/>
        <w:rPr>
          <w:szCs w:val="18"/>
        </w:rPr>
      </w:pPr>
      <w:r>
        <w:rPr>
          <w:rStyle w:val="FootnoteReference"/>
          <w:szCs w:val="18"/>
        </w:rPr>
        <w:footnoteRef/>
      </w:r>
      <w:r>
        <w:rPr>
          <w:rStyle w:val="FootnoteReference"/>
          <w:szCs w:val="18"/>
          <w:vertAlign w:val="baseline"/>
        </w:rPr>
        <w:t>)</w:t>
      </w:r>
      <w:r>
        <w:tab/>
        <w:t>Notificat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 w:id="3">
    <w:p w:rsidR="00106CCC" w:rsidRPr="00DC4328" w:rsidRDefault="00106CCC" w:rsidP="00DC4328">
      <w:pPr>
        <w:pStyle w:val="NormalWeb"/>
        <w:spacing w:before="0" w:beforeAutospacing="0" w:after="0" w:afterAutospacing="0"/>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t>Bartels, Thomas / Wilk, Inga / Schrader, Lars: Dezvoltarea nocicepției și a durerii la embrionii de pui. [Observații prezentate de FLI]. Greifswald - Insel Riems 2020. Institutul Friedrich-Loeffler</w:t>
      </w:r>
      <w:r>
        <w:rPr>
          <w:rStyle w:val="oa-notelocationcorp-meta"/>
          <w:rFonts w:ascii="Arial" w:hAnsi="Arial"/>
          <w:sz w:val="18"/>
          <w:szCs w:val="18"/>
        </w:rPr>
        <w:t>, Institutul pentru bunăstarea animalelor și creșterea animalelor.</w:t>
      </w:r>
    </w:p>
  </w:footnote>
  <w:footnote w:id="4">
    <w:p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t>
      </w:r>
      <w:r>
        <w:rPr>
          <w:szCs w:val="18"/>
          <w:u w:val="single"/>
        </w:rPr>
        <w:t>:</w:t>
      </w:r>
      <w:r>
        <w:t>//www.seleggt.de/wp-content/uploads/2018/04/SELEGGT_FAQs_D.pdf.</w:t>
      </w:r>
    </w:p>
  </w:footnote>
  <w:footnote w:id="5">
    <w:p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Von der Crone, Caspar &amp; Gault, Matthias &amp; Mau, Markus &amp; Lang, Horst. (2020). Gazdaság &amp; Társadalom - Journal of Economy &amp; Society - 11. ÉVFOLYAM 2018. 3-4. „SZÁM Ausstieg aus dem Verfahren des Tötens männlicher Küken Umsetzung und Möglichkeiten, Kriterien und Standards für ökologische und konventionelle Aufzucht” (Retragerea SZÁM din procesul de ucidere a puilor masculi, punere în aplicare și posibilități, criterii și standarde pentru creșterea ecologică și convențională). 11. ÉVFOLYAM. 108. 10.21637/GT.2018.3-4.07.</w:t>
      </w:r>
    </w:p>
  </w:footnote>
  <w:footnote w:id="6">
    <w:p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https://www.bmel-statistik.de/fileadmin/daten/DFB-0100200-2019.pdf, S.3.</w:t>
      </w:r>
    </w:p>
  </w:footnote>
  <w:footnote w:id="7">
    <w:p w:rsidR="00B35BD4" w:rsidRPr="00DC4328" w:rsidRDefault="00B35BD4" w:rsidP="00DC4328">
      <w:pPr>
        <w:pStyle w:val="FootnoteText"/>
        <w:rPr>
          <w:szCs w:val="18"/>
        </w:rPr>
      </w:pPr>
      <w:r>
        <w:rPr>
          <w:rStyle w:val="FootnoteReference"/>
          <w:szCs w:val="18"/>
        </w:rPr>
        <w:footnoteRef/>
      </w:r>
      <w:r>
        <w:rPr>
          <w:rStyle w:val="FootnoteReference"/>
          <w:szCs w:val="18"/>
          <w:vertAlign w:val="baseline"/>
        </w:rPr>
        <w:t>)</w:t>
      </w:r>
      <w:r>
        <w:tab/>
        <w:t>https://www.bmel-statistik.de/fileadmin/daten/DFB-0100200-2019.pdf, S.3.</w:t>
      </w:r>
    </w:p>
  </w:footnote>
  <w:footnote w:id="8">
    <w:p w:rsidR="00CC02F5" w:rsidRPr="00DC4328" w:rsidRDefault="00CC02F5" w:rsidP="00DC4328">
      <w:pPr>
        <w:pStyle w:val="FootnoteText"/>
        <w:rPr>
          <w:szCs w:val="18"/>
        </w:rPr>
      </w:pPr>
      <w:r>
        <w:rPr>
          <w:rStyle w:val="FootnoteReference"/>
          <w:szCs w:val="18"/>
        </w:rPr>
        <w:footnoteRef/>
      </w:r>
      <w:r>
        <w:rPr>
          <w:rStyle w:val="FootnoteReference"/>
          <w:szCs w:val="18"/>
          <w:vertAlign w:val="baseline"/>
        </w:rPr>
        <w:t>)</w:t>
      </w:r>
      <w:r>
        <w:tab/>
        <w:t xml:space="preserve">Avizul Institutului Thünen 2017 (efecte asupra fermelor individuale ale unei metode spectroscopice pentru determinarea sexului ouălor de pui fertilizate). </w:t>
      </w:r>
    </w:p>
  </w:footnote>
  <w:footnote w:id="9">
    <w:p w:rsidR="00CC02F5" w:rsidRPr="00DC4328" w:rsidRDefault="00CC02F5" w:rsidP="00DC4328">
      <w:pPr>
        <w:pStyle w:val="PlainText"/>
        <w:ind w:left="720" w:hanging="720"/>
        <w:rPr>
          <w:rFonts w:ascii="Arial" w:hAnsi="Arial" w:cs="Arial"/>
          <w:sz w:val="18"/>
          <w:szCs w:val="18"/>
        </w:rPr>
      </w:pPr>
      <w:r>
        <w:rPr>
          <w:rStyle w:val="FootnoteReference"/>
          <w:rFonts w:ascii="Arial" w:hAnsi="Arial" w:cs="Arial"/>
          <w:sz w:val="18"/>
          <w:szCs w:val="18"/>
        </w:rPr>
        <w:footnoteRef/>
      </w:r>
      <w:r>
        <w:rPr>
          <w:rFonts w:ascii="Arial" w:hAnsi="Arial"/>
          <w:sz w:val="18"/>
          <w:szCs w:val="18"/>
        </w:rPr>
        <w:t>)</w:t>
      </w:r>
      <w:r>
        <w:rPr>
          <w:rFonts w:ascii="Arial" w:hAnsi="Arial"/>
          <w:sz w:val="18"/>
          <w:szCs w:val="18"/>
        </w:rPr>
        <w:tab/>
        <w:t>http://apps2.bvl.bund.de/bltu.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BD4" w:rsidRPr="00955160" w:rsidRDefault="00955160" w:rsidP="00955160">
    <w:pPr>
      <w:pStyle w:val="Header"/>
    </w:pPr>
    <w:r>
      <w:tab/>
      <w:t xml:space="preserve">- </w:t>
    </w:r>
    <w:r>
      <w:fldChar w:fldCharType="begin"/>
    </w:r>
    <w:r>
      <w:instrText xml:space="preserve"> PAGE  \* MERGEFORMAT </w:instrText>
    </w:r>
    <w:r>
      <w:fldChar w:fldCharType="separate"/>
    </w:r>
    <w:r w:rsidR="007965D0">
      <w:t>15</w:t>
    </w:r>
    <w:r>
      <w:fldChar w:fldCharType="end"/>
    </w:r>
    <w:r>
      <w:t xml:space="preserve"> -</w:t>
    </w:r>
    <w:r>
      <w:tab/>
    </w:r>
    <w:r>
      <w:rPr>
        <w:sz w:val="18"/>
      </w:rPr>
      <w:t>Stadiul de elaborare: 6 ianuarie 2021 ora 9.47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BD4" w:rsidRPr="00955160" w:rsidRDefault="00955160" w:rsidP="00DC4328">
    <w:pPr>
      <w:pStyle w:val="Header"/>
      <w:jc w:val="right"/>
    </w:pPr>
    <w:r>
      <w:rPr>
        <w:sz w:val="18"/>
      </w:rPr>
      <w:t>Stadiul de elaborare: 6 ianuarie 2021 ora 9.47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C8A6BDA"/>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D5E3C"/>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9396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22BE"/>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61"/>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10FBF"/>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97F2C-B146-4957-AA13-A9D8772E4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6179</Words>
  <Characters>35223</Characters>
  <Application>Microsoft Office Word</Application>
  <DocSecurity>0</DocSecurity>
  <Lines>293</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Liu, Lei</cp:lastModifiedBy>
  <cp:revision>7</cp:revision>
  <cp:lastPrinted>2021-01-05T15:59:00Z</cp:lastPrinted>
  <dcterms:created xsi:type="dcterms:W3CDTF">2021-01-12T20:09:00Z</dcterms:created>
  <dcterms:modified xsi:type="dcterms:W3CDTF">2021-01-26T13:10:00Z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