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Layout w:type="fixed"/>
        <w:tblLook w:val="06A0" w:firstRow="1" w:lastRow="0" w:firstColumn="1" w:lastColumn="0" w:noHBand="1" w:noVBand="1"/>
      </w:tblPr>
      <w:tblGrid>
        <w:gridCol w:w="4508"/>
        <w:gridCol w:w="4508"/>
      </w:tblGrid>
      <w:tr w:rsidR="008C6E77" w14:paraId="1428BB8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9CB92D2" w14:textId="77777777" w:rsidR="008C6E77" w:rsidRDefault="008C6E77" w:rsidP="00C22CBD">
            <w:pPr>
              <w:jc w:val="center"/>
              <w:rPr>
                <w:b/>
                <w:bCs/>
                <w:caps/>
                <w:sz w:val="20"/>
                <w:szCs w:val="20"/>
                <w:rFonts w:ascii="Times New Roman" w:eastAsia="Times New Roman" w:hAnsi="Times New Roman" w:cs="Times New Roman"/>
              </w:rPr>
            </w:pPr>
            <w:r>
              <w:rPr>
                <w:b/>
                <w:caps/>
                <w:sz w:val="20"/>
                <w:rFonts w:ascii="Times New Roman" w:hAnsi="Times New Roman"/>
              </w:rPr>
              <w:t xml:space="preserve">ENTWURF</w:t>
            </w:r>
          </w:p>
          <w:p w14:paraId="01CC42BB" w14:textId="77777777" w:rsidR="008C6E77" w:rsidRDefault="008C6E77" w:rsidP="00C22CBD">
            <w:pPr>
              <w:jc w:val="center"/>
              <w:rPr>
                <w:caps/>
                <w:sz w:val="20"/>
                <w:szCs w:val="20"/>
                <w:rFonts w:ascii="Times New Roman" w:eastAsia="Times New Roman" w:hAnsi="Times New Roman" w:cs="Times New Roman"/>
              </w:rPr>
            </w:pPr>
            <w:r>
              <w:rPr>
                <w:caps/>
                <w:sz w:val="20"/>
                <w:rFonts w:ascii="Times New Roman" w:hAnsi="Times New Roman"/>
              </w:rPr>
              <w:t xml:space="preserve"> </w:t>
            </w:r>
          </w:p>
        </w:tc>
      </w:tr>
      <w:tr w:rsidR="008C6E77" w14:paraId="3A5212D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AE06D9" w14:textId="77777777" w:rsidR="008C6E77" w:rsidRDefault="008C6E77" w:rsidP="00C22CBD">
            <w:pPr>
              <w:jc w:val="center"/>
              <w:rPr>
                <w:b/>
                <w:caps/>
                <w:sz w:val="24"/>
                <w:szCs w:val="24"/>
                <w:rFonts w:ascii="Times New Roman" w:eastAsia="Times New Roman" w:hAnsi="Times New Roman" w:cs="Times New Roman"/>
              </w:rPr>
            </w:pPr>
            <w:r>
              <w:rPr>
                <w:b/>
                <w:caps/>
                <w:sz w:val="24"/>
                <w:rFonts w:ascii="Times New Roman" w:hAnsi="Times New Roman"/>
              </w:rPr>
              <w:t xml:space="preserve">KÖNIGREICH Belgien</w:t>
            </w:r>
          </w:p>
          <w:p w14:paraId="2449B283" w14:textId="77777777" w:rsidR="008C6E77" w:rsidRDefault="008C6E77" w:rsidP="00C22CBD">
            <w:pPr>
              <w:jc w:val="center"/>
              <w:rPr>
                <w:b/>
                <w:caps/>
                <w:sz w:val="24"/>
                <w:szCs w:val="24"/>
                <w:rFonts w:ascii="Times New Roman" w:eastAsia="Times New Roman" w:hAnsi="Times New Roman" w:cs="Times New Roman"/>
              </w:rPr>
            </w:pPr>
            <w:r>
              <w:rPr>
                <w:b/>
                <w:caps/>
                <w:sz w:val="24"/>
                <w:rFonts w:ascii="Times New Roman" w:hAnsi="Times New Roman"/>
              </w:rPr>
              <w:t xml:space="preserve"> </w:t>
            </w:r>
          </w:p>
        </w:tc>
      </w:tr>
      <w:tr w:rsidR="008C6E77" w14:paraId="13665BD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A9DEB4" w14:textId="77777777" w:rsidR="008C6E77" w:rsidRDefault="008C6E77" w:rsidP="00C22CBD">
            <w:pPr>
              <w:spacing w:after="0"/>
              <w:jc w:val="center"/>
              <w:rPr>
                <w:b/>
                <w:caps/>
                <w:sz w:val="24"/>
                <w:szCs w:val="24"/>
                <w:rFonts w:ascii="Times New Roman" w:eastAsia="Times New Roman" w:hAnsi="Times New Roman" w:cs="Times New Roman"/>
              </w:rPr>
            </w:pPr>
            <w:r>
              <w:rPr>
                <w:b/>
                <w:caps/>
                <w:sz w:val="24"/>
                <w:rFonts w:ascii="Times New Roman" w:hAnsi="Times New Roman"/>
              </w:rPr>
              <w:t xml:space="preserve">FÖDERALER ÖFFENTLICHER DIENST</w:t>
            </w:r>
            <w:r>
              <w:rPr>
                <w:b/>
                <w:caps/>
                <w:sz w:val="24"/>
                <w:rFonts w:ascii="Times New Roman" w:hAnsi="Times New Roman"/>
              </w:rPr>
              <w:t xml:space="preserve"> </w:t>
            </w:r>
          </w:p>
          <w:p w14:paraId="76C23489" w14:textId="31B17081" w:rsidR="008C6E77" w:rsidRPr="00DE0EC9" w:rsidRDefault="008C6E77" w:rsidP="00B315F6">
            <w:pPr>
              <w:spacing w:after="0"/>
              <w:jc w:val="center"/>
              <w:rPr>
                <w:b/>
                <w:caps/>
                <w:sz w:val="24"/>
                <w:szCs w:val="24"/>
                <w:rFonts w:ascii="Times New Roman" w:eastAsia="Times New Roman" w:hAnsi="Times New Roman" w:cs="Times New Roman"/>
              </w:rPr>
            </w:pPr>
            <w:r>
              <w:rPr>
                <w:b/>
                <w:caps/>
                <w:sz w:val="24"/>
                <w:rFonts w:ascii="Times New Roman" w:hAnsi="Times New Roman"/>
              </w:rPr>
              <w:t xml:space="preserve">Öffentliche Gesundheit, Sicherheit der Lebensmittelkette und Umwelt</w:t>
            </w:r>
          </w:p>
        </w:tc>
      </w:tr>
      <w:tr w:rsidR="008C6E77" w:rsidRPr="00A05F87" w14:paraId="7D9A39E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8DEFCEF" w14:textId="77777777" w:rsidR="008C6E77" w:rsidRPr="00A05F87" w:rsidRDefault="008C6E77" w:rsidP="00C22CBD">
            <w:pPr>
              <w:pStyle w:val="Heading3"/>
              <w:spacing w:before="0"/>
              <w:jc w:val="both"/>
              <w:rPr>
                <w:b/>
                <w:bCs/>
                <w:color w:val="000000" w:themeColor="text1"/>
                <w:sz w:val="28"/>
                <w:szCs w:val="28"/>
                <w:rFonts w:ascii="Times New Roman" w:eastAsia="Times New Roman" w:hAnsi="Times New Roman" w:cs="Times New Roman"/>
              </w:rPr>
            </w:pPr>
            <w:r>
              <w:rPr>
                <w:b/>
                <w:color w:val="000000" w:themeColor="text1"/>
                <w:sz w:val="28"/>
                <w:rFonts w:ascii="Times New Roman" w:hAnsi="Times New Roman"/>
              </w:rPr>
              <w:t xml:space="preserve">Königlicher Erlass zur Begrenzung des Inverkehrbringens umweltschädlicher Einwegprodukte und zur Erhöhung des Recyclinganteils bestimmter Produkte</w:t>
            </w:r>
          </w:p>
        </w:tc>
      </w:tr>
      <w:tr w:rsidR="008C6E77" w:rsidRPr="00C45320" w14:paraId="6EEEC3B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0AB83DF"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PHILIPPE, König der Belgier,</w:t>
            </w:r>
          </w:p>
        </w:tc>
      </w:tr>
      <w:tr w:rsidR="008C6E77" w:rsidRPr="00C45320" w14:paraId="5CC3EC3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8D77582"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317D6DF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34AF591"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An alle, Anwesende und Kommende,</w:t>
            </w:r>
            <w:r>
              <w:rPr>
                <w:rFonts w:ascii="Times New Roman" w:hAnsi="Times New Roman"/>
              </w:rPr>
              <w:t xml:space="preserve"> </w:t>
            </w:r>
          </w:p>
          <w:p w14:paraId="4DBB9CDB"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Grüße.</w:t>
            </w:r>
            <w:r>
              <w:rPr>
                <w:rFonts w:ascii="Times New Roman" w:hAnsi="Times New Roman"/>
              </w:rPr>
              <w:t xml:space="preserve"> </w:t>
            </w:r>
          </w:p>
        </w:tc>
      </w:tr>
      <w:tr w:rsidR="008C6E77" w:rsidRPr="00C45320" w14:paraId="16A8FB0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3EFEECD"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14:paraId="70AFED0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BB3ED9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Unter Hinweis auf das Gesetz vom 21. Dezember 1998 über Produktnormen zur Förderung der nachhaltigen Erzeugung und des nachhaltigen Verbrauchs und des Schutzes der Umwelt und der Gesundheit, Artikel 5, § 1 Absätze 1, 3 und 4;</w:t>
            </w:r>
          </w:p>
        </w:tc>
      </w:tr>
      <w:tr w:rsidR="008C6E77" w:rsidRPr="00C45320" w14:paraId="3F775FC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8257146"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5C286CEB" w14:paraId="1F93669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1A2047F" w14:textId="77777777" w:rsidR="008C6E77" w:rsidRPr="5C286CEB" w:rsidRDefault="008C6E77" w:rsidP="00C22CBD">
            <w:pPr>
              <w:jc w:val="both"/>
              <w:rPr>
                <w:rFonts w:ascii="Times New Roman" w:eastAsia="Times New Roman" w:hAnsi="Times New Roman" w:cs="Times New Roman"/>
              </w:rPr>
            </w:pPr>
            <w:r>
              <w:rPr>
                <w:rFonts w:ascii="Times New Roman" w:hAnsi="Times New Roman"/>
              </w:rPr>
              <w:t xml:space="preserve">Unter Hinweis auf den Königlichen Erlass vom 9. September 2008 zur Festlegung von Produktnormen für die Bezeichnung kompostierbarer und biologisch abbaubarer Materialien;</w:t>
            </w:r>
          </w:p>
        </w:tc>
      </w:tr>
      <w:tr w:rsidR="008C6E77" w:rsidRPr="5C286CEB" w14:paraId="0F9273E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4D44CC7" w14:textId="77777777" w:rsidR="008C6E77" w:rsidRPr="5C286CEB" w:rsidRDefault="008C6E77" w:rsidP="00C22CBD">
            <w:pPr>
              <w:jc w:val="both"/>
              <w:rPr>
                <w:rFonts w:ascii="Times New Roman" w:eastAsia="Times New Roman" w:hAnsi="Times New Roman" w:cs="Times New Roman"/>
                <w:lang w:val="fr"/>
              </w:rPr>
            </w:pPr>
          </w:p>
        </w:tc>
      </w:tr>
      <w:tr w:rsidR="008C6E77" w:rsidRPr="00A05F87" w14:paraId="6CC6949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074C694" w14:textId="77777777" w:rsidR="008C6E77" w:rsidRDefault="008C6E77" w:rsidP="00C22CBD">
            <w:pPr>
              <w:pStyle w:val="Heading2"/>
              <w:jc w:val="both"/>
              <w:rPr>
                <w:color w:val="auto"/>
                <w:sz w:val="24"/>
                <w:szCs w:val="24"/>
                <w:rFonts w:ascii="Times New Roman" w:eastAsia="Times New Roman" w:hAnsi="Times New Roman" w:cs="Times New Roman"/>
              </w:rPr>
            </w:pPr>
            <w:r>
              <w:rPr>
                <w:color w:val="auto"/>
                <w:sz w:val="24"/>
                <w:rFonts w:ascii="Times New Roman" w:hAnsi="Times New Roman"/>
              </w:rPr>
              <w:t xml:space="preserve">Unter Hinweis auf den Königlichen Erlass vom 9. Dezember 2021 über Einwegprodukte und die Förderung wiederverwendbarer Produkte;</w:t>
            </w:r>
          </w:p>
          <w:p w14:paraId="1AF2B997" w14:textId="77777777" w:rsidR="008C6E77" w:rsidRPr="00A05F87" w:rsidRDefault="008C6E77" w:rsidP="00C22CBD">
            <w:pPr>
              <w:jc w:val="both"/>
              <w:rPr>
                <w:rFonts w:ascii="Times New Roman" w:eastAsia="Times New Roman" w:hAnsi="Times New Roman" w:cs="Times New Roman"/>
                <w:sz w:val="24"/>
                <w:szCs w:val="24"/>
                <w:lang w:val="fr"/>
              </w:rPr>
            </w:pPr>
          </w:p>
        </w:tc>
      </w:tr>
      <w:tr w:rsidR="008C6E77" w:rsidRPr="00A05F87" w14:paraId="0F80696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93E8BA8"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706F1D8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C583ED4"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die Entschließung zum Verbot von PFAS in Lebensmittelverpackungen, die vom Repräsentantenhaus am 7. Juli 2022 gebilligt wurden;</w:t>
            </w:r>
          </w:p>
        </w:tc>
      </w:tr>
      <w:tr w:rsidR="008C6E77" w:rsidRPr="00A05F87" w14:paraId="3ABEA28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1CC03E7"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2A35F03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E6E5815"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die schädlichen Auswirkungen des Vorhandenseins von PFAS auf die Umwelt und die in Belgien festgestellten hohen Konzentrationen dieser Stoffe;</w:t>
            </w:r>
          </w:p>
        </w:tc>
      </w:tr>
      <w:tr w:rsidR="008C6E77" w:rsidRPr="00A05F87" w14:paraId="03C152B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24CB4CF"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350304E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A8E6D47"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das Hauptziel des vom Ministerrat am 17. Dezember 2021 angenommenen föderalen Aktionsplans für die Kreislaufwirtschaft, das Inverkehrbringen kreislauforientierter Produkte und Dienstleistungen zu fördern, einschließlich der Maßnahmen 1 und 6 dieses Aktionsplans zur Änderung der Produktnormen zur Förderung der Wiederverwendung und des Recyclings und des Verbots bestimmter Einwegprodukte zur Verringerung der Umwelt- und Gesundheitsauswirkungen;</w:t>
            </w:r>
          </w:p>
        </w:tc>
      </w:tr>
      <w:tr w:rsidR="008C6E77" w:rsidRPr="00A05F87" w14:paraId="32A4E3F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FDED52C"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584D948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ACAFCB5"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die Maßnahme 6 des föderalen Aktionsplans für Meeresmüll 2022-2027 zur schrittweisen Einstellung der Verwendung von Einwegkunststoffen;</w:t>
            </w:r>
          </w:p>
        </w:tc>
      </w:tr>
      <w:tr w:rsidR="008C6E77" w:rsidRPr="00A05F87" w14:paraId="437DB93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346F04E"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454BF3D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36C3B3"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die Notwendigkeit, die Menge an nicht recycelten Verpackungsabfällen aus Kunststoff zu verringern, für die Belgien der Europäischen Kommission jährlich einen Beitrag von 800 EUR pro Tonne zahlt;</w:t>
            </w:r>
          </w:p>
          <w:p w14:paraId="54FE92A0"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77DEF6E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DD678A4"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2B688E1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FB204A2"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Unter Hinweis auf die Notwendigkeit, den Verbrauch von Einwegkunststoffprodukten gemäß Artikel 4 der Europäischen Richtlinie über die Verringerung der Auswirkungen bestimmter Kunststoffprodukte auf die Umwelt zu verringern;</w:t>
            </w:r>
          </w:p>
        </w:tc>
      </w:tr>
      <w:tr w:rsidR="008C6E77" w:rsidRPr="00A05F87" w14:paraId="1D92927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520275A"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63DEE1B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B09D937"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Angesichts der hohen Wahrscheinlichkeit, dass Einweg-Kunststoffverpackungen für den unmittelbaren Verbrauch entweder vor Ort oder zum Mitnehmen im Abfall enden;</w:t>
            </w:r>
          </w:p>
        </w:tc>
      </w:tr>
      <w:tr w:rsidR="008C6E77" w:rsidRPr="00A05F87" w14:paraId="5EAC4FF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8869919" w14:textId="77777777" w:rsidR="008C6E77" w:rsidRPr="00A05F87" w:rsidRDefault="008C6E77" w:rsidP="00C22CBD">
            <w:pPr>
              <w:jc w:val="both"/>
              <w:rPr>
                <w:rFonts w:ascii="Times New Roman" w:eastAsia="Times New Roman" w:hAnsi="Times New Roman" w:cs="Times New Roman"/>
                <w:lang w:val="fr-BE"/>
              </w:rPr>
            </w:pPr>
          </w:p>
        </w:tc>
      </w:tr>
      <w:tr w:rsidR="008C6E77" w:rsidRPr="00C45320" w14:paraId="38E2816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3838DC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Unter Hinweis auf die Beteiligung der Regionalregierungen an der Ausarbeitung dieses Erlasses vom ...;</w:t>
            </w:r>
          </w:p>
        </w:tc>
      </w:tr>
      <w:tr w:rsidR="008C6E77" w:rsidRPr="00C45320" w14:paraId="496A021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48B2727"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4AC24D5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2DF4763"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Nach Stellungnahme des Föderalen Rates für Nachhaltige Entwicklung Belgiens vom ...;</w:t>
            </w:r>
            <w:r>
              <w:rPr>
                <w:rFonts w:ascii="Times New Roman" w:hAnsi="Times New Roman"/>
              </w:rPr>
              <w:t xml:space="preserve">               </w:t>
            </w:r>
          </w:p>
        </w:tc>
      </w:tr>
      <w:tr w:rsidR="008C6E77" w:rsidRPr="00C45320" w14:paraId="49EE11F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B1D3103"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0055C65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D34DED7"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Unter Hinweis auf die am ... abgegebene Stellungnahme des Hohen Rates für Gesundheit;</w:t>
            </w:r>
          </w:p>
        </w:tc>
      </w:tr>
      <w:tr w:rsidR="008C6E77" w:rsidRPr="00C45320" w14:paraId="0E4D0EE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5A677C1"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055E272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D4118B8"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Unter Hinweis auf die am ... abgegebene Stellungnahme des Sonderausschusses für Verbrauch;</w:t>
            </w:r>
            <w:r>
              <w:rPr>
                <w:rFonts w:ascii="Times New Roman" w:hAnsi="Times New Roman"/>
              </w:rPr>
              <w:t xml:space="preserve">                                      </w:t>
            </w:r>
          </w:p>
        </w:tc>
      </w:tr>
      <w:tr w:rsidR="008C6E77" w:rsidRPr="00C45320" w14:paraId="0E7933A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810FAFB"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130E6DC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AC001B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Nach Stellungnahme des Zentralen Wirtschaftsrats vom ...;</w:t>
            </w:r>
            <w:r>
              <w:rPr>
                <w:rFonts w:ascii="Times New Roman" w:hAnsi="Times New Roman"/>
              </w:rPr>
              <w:t xml:space="preserve">                  </w:t>
            </w:r>
          </w:p>
        </w:tc>
      </w:tr>
      <w:tr w:rsidR="008C6E77" w:rsidRPr="00C45320" w14:paraId="106A927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B950EE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53041DC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3807B39"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Unter Berücksichtigung der Stellungnahme des Finanzinspektors, vom ...;</w:t>
            </w:r>
          </w:p>
        </w:tc>
      </w:tr>
      <w:tr w:rsidR="008C6E77" w:rsidRPr="00C45320" w14:paraId="5B98ECD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FF881D0"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6E18D98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4C1E91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In Anbetracht der Zustimmung des Staatssekretärs für den Haushalt vom ...;</w:t>
            </w:r>
            <w:r>
              <w:rPr>
                <w:rFonts w:ascii="Times New Roman" w:hAnsi="Times New Roman"/>
              </w:rPr>
              <w:t xml:space="preserve"> </w:t>
            </w:r>
          </w:p>
        </w:tc>
      </w:tr>
      <w:tr w:rsidR="008C6E77" w:rsidRPr="00C45320" w14:paraId="2CF1862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A5EABCC"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4BC293A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8B4663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Gestützt auf die Stellungnahme Nr. xx.xxx des Staatsrates, die am ... gemäß Artikel 84 § 1 Absatz 1 Nummer 2 der am 12. Januar 1973 konsolidierten Gesetze über den Staatsrat abgegeben wurde;</w:t>
            </w:r>
            <w:r>
              <w:rPr>
                <w:rFonts w:ascii="Times New Roman" w:hAnsi="Times New Roman"/>
              </w:rPr>
              <w:t xml:space="preserve"> </w:t>
            </w:r>
          </w:p>
        </w:tc>
      </w:tr>
      <w:tr w:rsidR="008C6E77" w:rsidRPr="00C45320" w14:paraId="7818AC7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2A7BD60"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5F5E172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59D51F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Auf Vorschlag der </w:t>
            </w:r>
            <w:bookmarkStart w:id="0" w:name="_Int_qcfwdMgY"/>
            <w:r>
              <w:rPr>
                <w:rFonts w:ascii="Times New Roman" w:hAnsi="Times New Roman"/>
              </w:rPr>
              <w:t xml:space="preserve">Ministerin für Umwelt</w:t>
            </w:r>
            <w:bookmarkEnd w:id="0"/>
            <w:r>
              <w:rPr>
                <w:rFonts w:ascii="Times New Roman" w:hAnsi="Times New Roman"/>
              </w:rPr>
              <w:t xml:space="preserve"> und nach Stellungnahme der Minister, die im Rat darüber beraten haben,</w:t>
            </w:r>
          </w:p>
        </w:tc>
      </w:tr>
      <w:tr w:rsidR="008C6E77" w:rsidRPr="00C45320" w14:paraId="5029228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7ABAD6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748ECEC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51DD55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haben wir beschlossen und erlassen hiermit:</w:t>
            </w:r>
          </w:p>
        </w:tc>
      </w:tr>
      <w:tr w:rsidR="008C6E77" w:rsidRPr="00C45320" w14:paraId="5CDE068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59EEC5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14:paraId="491510E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CADF822" w14:textId="6AD4FC24" w:rsidR="008C6E77" w:rsidRDefault="008C6E77" w:rsidP="00C22CBD">
            <w:pPr>
              <w:jc w:val="both"/>
              <w:rPr>
                <w:color w:val="000000" w:themeColor="text1"/>
                <w:rFonts w:ascii="Times New Roman" w:eastAsia="Times New Roman" w:hAnsi="Times New Roman" w:cs="Times New Roman"/>
              </w:rPr>
            </w:pPr>
            <w:r>
              <w:rPr>
                <w:b/>
                <w:rFonts w:ascii="Times New Roman" w:hAnsi="Times New Roman"/>
              </w:rPr>
              <w:t xml:space="preserve">Artikel 1.</w:t>
            </w:r>
            <w:r>
              <w:rPr>
                <w:rFonts w:ascii="Times New Roman" w:hAnsi="Times New Roman"/>
              </w:rPr>
              <w:t xml:space="preserve"> </w:t>
            </w:r>
            <w:r>
              <w:rPr>
                <w:rFonts w:ascii="Times New Roman" w:hAnsi="Times New Roman"/>
              </w:rPr>
              <w:t xml:space="preserve">Ziel dieses Erlasses ist es, das Inverkehrbringen umweltschädlicher Einwegprodukte zu verringern und </w:t>
            </w:r>
            <w:r>
              <w:rPr>
                <w:color w:val="000000" w:themeColor="text1"/>
                <w:rFonts w:ascii="Times New Roman" w:hAnsi="Times New Roman"/>
              </w:rPr>
              <w:t xml:space="preserve">den Recyclinganteil bestimmter Produkte zu erhöhen.</w:t>
            </w:r>
          </w:p>
        </w:tc>
      </w:tr>
      <w:tr w:rsidR="008C6E77" w:rsidRPr="00C45320" w14:paraId="142FF48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8377FD5"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127A94" w14:paraId="2D07282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EC3E8CF" w14:textId="77777777" w:rsidR="008C6E77" w:rsidRDefault="008C6E77" w:rsidP="00C22CBD">
            <w:pPr>
              <w:jc w:val="both"/>
              <w:rPr>
                <w:b/>
                <w:bCs/>
                <w:rFonts w:ascii="Times New Roman" w:eastAsia="Times New Roman" w:hAnsi="Times New Roman" w:cs="Times New Roman"/>
              </w:rPr>
            </w:pPr>
            <w:r>
              <w:rPr>
                <w:b/>
                <w:rFonts w:ascii="Times New Roman" w:hAnsi="Times New Roman"/>
              </w:rPr>
              <w:t xml:space="preserve">Artikel 2.</w:t>
            </w:r>
            <w:r>
              <w:rPr>
                <w:b/>
                <w:rFonts w:ascii="Times New Roman" w:hAnsi="Times New Roman"/>
              </w:rPr>
              <w:t xml:space="preserve"> </w:t>
            </w:r>
            <w:r>
              <w:rPr>
                <w:rFonts w:ascii="Times New Roman" w:hAnsi="Times New Roman"/>
              </w:rPr>
              <w:t xml:space="preserve">Für den Geltungsbereich dieses Erlasses gelten folgende Begriffsbestimmungen:</w:t>
            </w:r>
            <w:r>
              <w:rPr>
                <w:b/>
                <w:rFonts w:ascii="Times New Roman" w:hAnsi="Times New Roman"/>
              </w:rPr>
              <w:t xml:space="preserve"> </w:t>
            </w:r>
          </w:p>
          <w:p w14:paraId="0CC70EEA" w14:textId="77777777" w:rsidR="008C6E77" w:rsidRDefault="008C6E77" w:rsidP="00C22CBD">
            <w:pPr>
              <w:jc w:val="both"/>
              <w:rPr>
                <w:rFonts w:ascii="Times New Roman" w:eastAsia="Times New Roman" w:hAnsi="Times New Roman" w:cs="Times New Roman"/>
                <w:b/>
                <w:bCs/>
              </w:rPr>
            </w:pPr>
          </w:p>
          <w:p w14:paraId="4B93E5F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 ‚Kunststoff‘: ein Material, das aus einem Polymer im Sinne von Artikel 3 Nummer 5 der Verordnung (EG) Nr. 1907/2006 besteht, dem möglicherweise Zusatzstoffe oder andere Stoffe zugesetzt wurden und das als Hauptstrukturkomponente von Endprodukten fungieren kann, mit Ausnahme von nicht chemisch modifizierten natürlichen Polymeren;</w:t>
            </w:r>
          </w:p>
          <w:p w14:paraId="03E964F0" w14:textId="77777777" w:rsidR="008C6E77" w:rsidRDefault="008C6E77" w:rsidP="00C22CBD">
            <w:pPr>
              <w:jc w:val="both"/>
              <w:rPr>
                <w:rFonts w:ascii="Times New Roman" w:eastAsia="Times New Roman" w:hAnsi="Times New Roman" w:cs="Times New Roman"/>
              </w:rPr>
            </w:pPr>
          </w:p>
          <w:p w14:paraId="2BD1ED8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2) ‚Einweg-Kunststoffprodukt‘: ein Produkt, das ganz oder teilweise aus Kunststoff hergestellt wird und das nicht so konzipiert, hergestellt oder in Verkehr gebracht wird, dass es während seiner Lebensdauer mehrere Zyklen oder Kreisläufe zurücklegt, indem es an einen Hersteller zurückgegeben wird, um wiederaufgefüllt oder auf eine Weise wiederverwendet zu werden, die mit der Verwendung identisch ist, für die es konzipiert wurde;</w:t>
            </w:r>
          </w:p>
          <w:p w14:paraId="2F914F0C" w14:textId="77777777" w:rsidR="008C6E77" w:rsidRDefault="008C6E77" w:rsidP="00C22CBD">
            <w:pPr>
              <w:jc w:val="both"/>
              <w:rPr>
                <w:rFonts w:ascii="Times New Roman" w:eastAsia="Times New Roman" w:hAnsi="Times New Roman" w:cs="Times New Roman"/>
              </w:rPr>
            </w:pPr>
          </w:p>
          <w:p w14:paraId="74924963" w14:textId="78BADD5B" w:rsidR="008C6E77" w:rsidRDefault="008C6E77" w:rsidP="00C22CBD">
            <w:pPr>
              <w:jc w:val="both"/>
              <w:rPr>
                <w:rFonts w:ascii="Times New Roman" w:eastAsia="Times New Roman" w:hAnsi="Times New Roman" w:cs="Times New Roman"/>
              </w:rPr>
            </w:pPr>
            <w:r>
              <w:rPr>
                <w:rFonts w:ascii="Times New Roman" w:hAnsi="Times New Roman"/>
              </w:rPr>
              <w:t xml:space="preserve">3) ‚kompostierbar zu Hause‘: kompostierbar gemäß den Spezifikationen der Anhänge I und III des Königlichen Erlasses vom 9. September 2008 zur Festlegung von Produktnormen für die Bezeichnung kompostierbarer und biologisch abbaubarer Materialien</w:t>
            </w:r>
          </w:p>
          <w:p w14:paraId="2B16467D" w14:textId="77777777" w:rsidR="008C6E77" w:rsidRDefault="008C6E77" w:rsidP="00C22CBD">
            <w:pPr>
              <w:jc w:val="both"/>
              <w:rPr>
                <w:rFonts w:ascii="Times New Roman" w:eastAsia="Times New Roman" w:hAnsi="Times New Roman" w:cs="Times New Roman"/>
              </w:rPr>
            </w:pPr>
          </w:p>
          <w:p w14:paraId="109AF611" w14:textId="77777777" w:rsidR="008C6E77" w:rsidRPr="008C05D2" w:rsidRDefault="008C6E77" w:rsidP="00C22CBD">
            <w:pPr>
              <w:jc w:val="both"/>
              <w:rPr>
                <w:rFonts w:ascii="Times New Roman" w:eastAsia="Times New Roman" w:hAnsi="Times New Roman" w:cs="Times New Roman"/>
              </w:rPr>
            </w:pPr>
            <w:r>
              <w:rPr>
                <w:rFonts w:ascii="Times New Roman" w:hAnsi="Times New Roman"/>
              </w:rPr>
              <w:t xml:space="preserve">4) ‚Post-Verbraucher‘: von Haushalten oder gewerblichen, industriellen oder institutionellen Einrichtungen als Endnutzer des Produkts erzeugt werden und nicht mehr für den vorgesehenen Zweck verwendet werden können.</w:t>
            </w:r>
            <w:r>
              <w:rPr>
                <w:rFonts w:ascii="Times New Roman" w:hAnsi="Times New Roman"/>
              </w:rPr>
              <w:t xml:space="preserve"> </w:t>
            </w:r>
            <w:r>
              <w:rPr>
                <w:rFonts w:ascii="Times New Roman" w:hAnsi="Times New Roman"/>
              </w:rPr>
              <w:t xml:space="preserve">Dazu gehören auch Materialrücksendungen aus der Vertriebskette.</w:t>
            </w:r>
          </w:p>
          <w:p w14:paraId="23DE96AF" w14:textId="77777777" w:rsidR="008C6E77" w:rsidRDefault="008C6E77" w:rsidP="00C22CBD">
            <w:pPr>
              <w:jc w:val="both"/>
              <w:rPr>
                <w:rFonts w:ascii="Times New Roman" w:eastAsia="Times New Roman" w:hAnsi="Times New Roman" w:cs="Times New Roman"/>
              </w:rPr>
            </w:pPr>
          </w:p>
          <w:p w14:paraId="2D478D5E" w14:textId="77777777" w:rsidR="008C6E77" w:rsidRPr="00127A94" w:rsidRDefault="008C6E77" w:rsidP="00C22CBD">
            <w:pPr>
              <w:pStyle w:val="Heading2"/>
              <w:rPr>
                <w:color w:val="auto"/>
                <w:sz w:val="22"/>
                <w:szCs w:val="22"/>
                <w:rFonts w:ascii="Times New Roman" w:eastAsia="Times New Roman" w:hAnsi="Times New Roman" w:cs="Times New Roman"/>
              </w:rPr>
            </w:pPr>
            <w:r>
              <w:rPr>
                <w:color w:val="auto"/>
                <w:sz w:val="22"/>
                <w:rFonts w:ascii="Times New Roman" w:hAnsi="Times New Roman"/>
              </w:rPr>
              <w:t xml:space="preserve">5)</w:t>
            </w:r>
            <w:r>
              <w:rPr>
                <w:color w:val="auto"/>
                <w:sz w:val="22"/>
                <w:rFonts w:ascii="Times New Roman" w:hAnsi="Times New Roman"/>
              </w:rPr>
              <w:t xml:space="preserve"> </w:t>
            </w:r>
            <w:r>
              <w:rPr>
                <w:color w:val="auto"/>
                <w:sz w:val="22"/>
                <w:rFonts w:ascii="Times New Roman" w:hAnsi="Times New Roman"/>
              </w:rPr>
              <w:t xml:space="preserve">PFAS:</w:t>
            </w:r>
            <w:r>
              <w:rPr>
                <w:color w:val="auto"/>
                <w:sz w:val="22"/>
                <w:rFonts w:ascii="Times New Roman" w:hAnsi="Times New Roman"/>
              </w:rPr>
              <w:t xml:space="preserve"> </w:t>
            </w:r>
            <w:r>
              <w:rPr>
                <w:color w:val="auto"/>
                <w:sz w:val="22"/>
                <w:rFonts w:ascii="Times New Roman" w:hAnsi="Times New Roman"/>
              </w:rPr>
              <w:t xml:space="preserve">Perfluoralkyl- und Polyfluoralkyl-Substanzen</w:t>
            </w:r>
          </w:p>
        </w:tc>
      </w:tr>
      <w:tr w:rsidR="008C6E77" w:rsidRPr="00693D60" w14:paraId="4272F7B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69CA502" w14:textId="77777777" w:rsidR="008C6E77" w:rsidRPr="00693D60"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51E14F3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F963E4F"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3.</w:t>
            </w:r>
            <w:r>
              <w:rPr>
                <w:b/>
                <w:rFonts w:ascii="Times New Roman" w:hAnsi="Times New Roman"/>
              </w:rPr>
              <w:t xml:space="preserve"> </w:t>
            </w:r>
            <w:r>
              <w:rPr>
                <w:rFonts w:ascii="Times New Roman" w:hAnsi="Times New Roman"/>
              </w:rPr>
              <w:t xml:space="preserve">Es ist verboten, erstmals Einweg-Kunststoffbehälter zum Vertrieb von Lebensmitteln oder Getränken zum sofortigen Verzehr vor Ort oder zum Mitnehmen in Verkehr zu bringen, mit Ausnahme von Einweg-Kunststoffbehältern, die industriell vorgefüllt sind.</w:t>
            </w:r>
          </w:p>
        </w:tc>
      </w:tr>
      <w:tr w:rsidR="008C6E77" w:rsidRPr="00F129EC" w14:paraId="0060574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BA7D342" w14:textId="77777777" w:rsidR="008C6E77" w:rsidRPr="00F129EC"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3620D55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B002F02"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Artikel 4.</w:t>
            </w:r>
            <w:r>
              <w:rPr>
                <w:b/>
                <w:rFonts w:ascii="Times New Roman" w:hAnsi="Times New Roman"/>
              </w:rPr>
              <w:t xml:space="preserve"> </w:t>
            </w:r>
            <w:r>
              <w:rPr>
                <w:rFonts w:ascii="Times New Roman" w:hAnsi="Times New Roman"/>
              </w:rPr>
              <w:t xml:space="preserve">§ 1.</w:t>
            </w:r>
            <w:r>
              <w:rPr>
                <w:rFonts w:ascii="Times New Roman" w:hAnsi="Times New Roman"/>
              </w:rPr>
              <w:t xml:space="preserve"> </w:t>
            </w:r>
            <w:r>
              <w:rPr>
                <w:rFonts w:ascii="Times New Roman" w:hAnsi="Times New Roman"/>
              </w:rPr>
              <w:t xml:space="preserve">Es ist verboten, erstmals nicht kompostierbare Etiketten, die zum Ankleben an Obst und Gemüse bestimmt sind, in Verkehr zu bringen.</w:t>
            </w:r>
            <w:r>
              <w:rPr>
                <w:rFonts w:ascii="Times New Roman" w:hAnsi="Times New Roman"/>
              </w:rPr>
              <w:t xml:space="preserve"> </w:t>
            </w:r>
          </w:p>
          <w:p w14:paraId="211823C4" w14:textId="77777777" w:rsidR="008C6E77" w:rsidRPr="00F129EC" w:rsidRDefault="008C6E77" w:rsidP="00C22CBD">
            <w:pPr>
              <w:jc w:val="both"/>
              <w:rPr>
                <w:b/>
                <w:bCs/>
                <w:color w:val="00B0F0"/>
                <w:sz w:val="28"/>
                <w:szCs w:val="28"/>
                <w:rFonts w:ascii="Times New Roman" w:eastAsia="Times New Roman" w:hAnsi="Times New Roman" w:cs="Times New Roman"/>
              </w:rPr>
            </w:pPr>
            <w:r>
              <w:rPr>
                <w:rFonts w:ascii="Times New Roman" w:hAnsi="Times New Roman"/>
              </w:rPr>
              <w:t xml:space="preserve">§ 2.</w:t>
            </w:r>
            <w:r>
              <w:rPr>
                <w:rFonts w:ascii="Times New Roman" w:hAnsi="Times New Roman"/>
              </w:rPr>
              <w:t xml:space="preserve"> </w:t>
            </w:r>
            <w:r>
              <w:rPr>
                <w:rFonts w:ascii="Times New Roman" w:hAnsi="Times New Roman"/>
              </w:rPr>
              <w:t xml:space="preserve">Ab dem 1. Januar 2025 ist es verboten, Etiketten, die zu Hause nicht kompostierbar sind, die dazu bestimmt sind, an Obst und Gemüse geklebt zu werden, erstmals in Verkehr zu bringen.</w:t>
            </w:r>
          </w:p>
        </w:tc>
      </w:tr>
      <w:tr w:rsidR="008C6E77" w:rsidRPr="00F129EC" w14:paraId="0E6A723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4A5F9BC" w14:textId="77777777" w:rsidR="008C6E77" w:rsidRPr="00F129EC"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0FB9D95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4ACAEC7"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5.</w:t>
            </w:r>
            <w:r>
              <w:rPr>
                <w:b/>
                <w:rFonts w:ascii="Times New Roman" w:hAnsi="Times New Roman"/>
              </w:rPr>
              <w:t xml:space="preserve"> </w:t>
            </w:r>
            <w:r>
              <w:rPr>
                <w:rFonts w:ascii="Times New Roman" w:hAnsi="Times New Roman"/>
              </w:rPr>
              <w:t xml:space="preserve">Es ist verboten, erstmals Einweg-Kunststoffverpackungen in Verkehr zu bringen</w:t>
            </w:r>
            <w:r>
              <w:rPr>
                <w:rFonts w:ascii="Times New Roman" w:hAnsi="Times New Roman"/>
              </w:rPr>
              <w:t xml:space="preserve">, die zum Verpacken von unverarbeitetem frischem Obst und Gemüse bestimmt sind, mit Ausnahme von Obst und Gemüse, die in Partien von 1,5 kg oder mehr verpackt sind, sowie Obst und Gemüse, die ein klares Risiko einer Verschlechterung aufweisen, wenn sie in loser Schüttung gemäß Anhang 1 verkauft werden.</w:t>
            </w:r>
          </w:p>
        </w:tc>
      </w:tr>
      <w:tr w:rsidR="008C6E77" w:rsidRPr="00F129EC" w14:paraId="65E9CE5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7D4B327"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127A94" w14:paraId="0FE3EB7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59E8E8A"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Artikel 6.</w:t>
            </w:r>
            <w:r>
              <w:rPr>
                <w:b/>
                <w:rFonts w:ascii="Times New Roman" w:hAnsi="Times New Roman"/>
              </w:rPr>
              <w:t xml:space="preserve"> </w:t>
            </w:r>
            <w:r>
              <w:rPr>
                <w:rFonts w:ascii="Times New Roman" w:hAnsi="Times New Roman"/>
              </w:rPr>
              <w:t xml:space="preserve">§ 1.</w:t>
            </w:r>
            <w:r>
              <w:rPr>
                <w:rFonts w:ascii="Times New Roman" w:hAnsi="Times New Roman"/>
              </w:rPr>
              <w:t xml:space="preserve"> </w:t>
            </w:r>
            <w:r>
              <w:rPr>
                <w:rFonts w:ascii="Times New Roman" w:hAnsi="Times New Roman"/>
              </w:rPr>
              <w:t xml:space="preserve">Es ist verboten, Produkte, die in Anhang 2 aufgeführt sind, erstmals in Verkehr zu bringen, die nicht aus Post-Verbraucher-Kunststoff bestehen.</w:t>
            </w:r>
          </w:p>
          <w:p w14:paraId="3ECF2C4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Post-Verbraucher-Kunststoff in diesen Produkten ist in Anhang 2 festgelegt.</w:t>
            </w:r>
          </w:p>
          <w:p w14:paraId="2CE2B26E" w14:textId="77777777" w:rsidR="008C6E77" w:rsidRPr="00127A94" w:rsidRDefault="008C6E77" w:rsidP="00C22CBD">
            <w:pPr>
              <w:jc w:val="both"/>
              <w:rPr>
                <w:b/>
                <w:bCs/>
                <w:color w:val="00B0F0"/>
                <w:sz w:val="28"/>
                <w:szCs w:val="28"/>
                <w:rFonts w:ascii="Times New Roman" w:eastAsia="Times New Roman" w:hAnsi="Times New Roman" w:cs="Times New Roman"/>
              </w:rPr>
            </w:pPr>
            <w:r>
              <w:rPr>
                <w:rFonts w:ascii="Times New Roman" w:hAnsi="Times New Roman"/>
              </w:rPr>
              <w:t xml:space="preserve">§ 2.</w:t>
            </w:r>
            <w:r>
              <w:rPr>
                <w:rFonts w:ascii="Times New Roman" w:hAnsi="Times New Roman"/>
              </w:rPr>
              <w:t xml:space="preserve"> </w:t>
            </w:r>
            <w:r>
              <w:rPr>
                <w:rFonts w:ascii="Times New Roman" w:hAnsi="Times New Roman"/>
              </w:rPr>
              <w:t xml:space="preserve">Die für die Umwelt zuständige Ministerin legt die Modalitäten für die Durchführung von Absatz 1 durch einen im Ministerrat beratenen Erlass fest.</w:t>
            </w:r>
          </w:p>
        </w:tc>
      </w:tr>
      <w:tr w:rsidR="008C6E77" w:rsidRPr="00F129EC" w14:paraId="421BA57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5CE3031" w14:textId="77777777" w:rsidR="008C6E77" w:rsidRPr="00F129EC" w:rsidRDefault="008C6E77" w:rsidP="00C22CBD">
            <w:pPr>
              <w:jc w:val="both"/>
              <w:rPr>
                <w:rFonts w:ascii="Times New Roman" w:eastAsia="Times New Roman" w:hAnsi="Times New Roman" w:cs="Times New Roman"/>
                <w:b/>
                <w:bCs/>
                <w:color w:val="00B0F0"/>
                <w:sz w:val="28"/>
                <w:szCs w:val="28"/>
                <w:lang w:val="fr-BE"/>
              </w:rPr>
            </w:pPr>
          </w:p>
        </w:tc>
      </w:tr>
      <w:tr w:rsidR="008C6E77" w:rsidRPr="00F129EC" w14:paraId="693FA31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9A77BA8"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7.</w:t>
            </w:r>
            <w:r>
              <w:rPr>
                <w:b/>
                <w:rFonts w:ascii="Times New Roman" w:hAnsi="Times New Roman"/>
              </w:rPr>
              <w:t xml:space="preserve"> </w:t>
            </w:r>
            <w:r>
              <w:rPr>
                <w:rFonts w:ascii="Times New Roman" w:hAnsi="Times New Roman"/>
              </w:rPr>
              <w:t xml:space="preserve">Es ist verboten, die in Anhang 3 aufgeführten Einwegprodukte erstmals in Verkehr zu bringen.</w:t>
            </w:r>
          </w:p>
        </w:tc>
      </w:tr>
      <w:tr w:rsidR="008C6E77" w:rsidRPr="00F129EC" w14:paraId="6F77296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5F7E25"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4331593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7C5E10"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8.</w:t>
            </w:r>
            <w:r>
              <w:rPr>
                <w:b/>
                <w:rFonts w:ascii="Times New Roman" w:hAnsi="Times New Roman"/>
              </w:rPr>
              <w:t xml:space="preserve"> </w:t>
            </w:r>
            <w:r>
              <w:rPr>
                <w:rFonts w:ascii="Times New Roman" w:hAnsi="Times New Roman"/>
              </w:rPr>
              <w:t xml:space="preserve">Es ist verboten, erstmals Werbung oder nicht adressierte Drucksachen mit kunststoffhaltigen Verpackungen in Verkehr zu bringen.</w:t>
            </w:r>
          </w:p>
        </w:tc>
      </w:tr>
      <w:tr w:rsidR="008C6E77" w:rsidRPr="00F129EC" w14:paraId="2899FE2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7385ECF"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3FA2D5C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6B7AE34"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9.</w:t>
            </w:r>
            <w:r>
              <w:rPr>
                <w:b/>
                <w:rFonts w:ascii="Times New Roman" w:hAnsi="Times New Roman"/>
              </w:rPr>
              <w:t xml:space="preserve"> </w:t>
            </w:r>
            <w:r>
              <w:rPr>
                <w:color w:val="000000" w:themeColor="text1"/>
                <w:rFonts w:ascii="Times New Roman" w:hAnsi="Times New Roman"/>
              </w:rPr>
              <w:t xml:space="preserve">Es ist verboten, erstmals Einwegbecher aus Karton mit Kunststoffbeschichtung in Verkehr zu bringen.</w:t>
            </w:r>
          </w:p>
        </w:tc>
      </w:tr>
      <w:tr w:rsidR="008C6E77" w:rsidRPr="00F129EC" w14:paraId="728C0BE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4F05224"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21B2982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1B1EBE0" w14:textId="77777777" w:rsidR="008C6E77" w:rsidRPr="00F129EC" w:rsidRDefault="008C6E77" w:rsidP="00C22CBD">
            <w:pPr>
              <w:tabs>
                <w:tab w:val="center" w:pos="2146"/>
              </w:tabs>
              <w:jc w:val="both"/>
              <w:rPr>
                <w:b/>
                <w:bCs/>
                <w:color w:val="00B0F0"/>
                <w:sz w:val="28"/>
                <w:szCs w:val="28"/>
                <w:rFonts w:ascii="Times New Roman" w:eastAsia="Times New Roman" w:hAnsi="Times New Roman" w:cs="Times New Roman"/>
              </w:rPr>
            </w:pPr>
            <w:r>
              <w:rPr>
                <w:b/>
                <w:rFonts w:ascii="Times New Roman" w:hAnsi="Times New Roman"/>
              </w:rPr>
              <w:t xml:space="preserve">Artikel 10.</w:t>
            </w:r>
            <w:r>
              <w:rPr>
                <w:b/>
                <w:rFonts w:ascii="Times New Roman" w:hAnsi="Times New Roman"/>
              </w:rPr>
              <w:t xml:space="preserve"> </w:t>
            </w:r>
            <w:r>
              <w:rPr>
                <w:color w:val="000000" w:themeColor="text1"/>
                <w:rFonts w:ascii="Times New Roman" w:hAnsi="Times New Roman"/>
              </w:rPr>
              <w:t xml:space="preserve">Es ist verboten, Verpackungen, die PFAS enthalten, erstmals in Verkehr zu bringen.</w:t>
            </w:r>
          </w:p>
        </w:tc>
      </w:tr>
      <w:tr w:rsidR="008C6E77" w:rsidRPr="00F129EC" w14:paraId="7CCCB51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B84480B"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0FC6889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44C5786"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Artikel 11.</w:t>
            </w:r>
            <w:r>
              <w:rPr>
                <w:b/>
                <w:rFonts w:ascii="Times New Roman" w:hAnsi="Times New Roman"/>
              </w:rPr>
              <w:t xml:space="preserve"> </w:t>
            </w:r>
            <w:r>
              <w:rPr>
                <w:rFonts w:ascii="Times New Roman" w:hAnsi="Times New Roman"/>
              </w:rPr>
              <w:t xml:space="preserve">Dieser Erlass tritt am 1. Januar 2024 in Kraft.</w:t>
            </w:r>
          </w:p>
        </w:tc>
      </w:tr>
      <w:tr w:rsidR="008C6E77" w:rsidRPr="00F129EC" w14:paraId="542BC09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E74068A"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14:paraId="7E54FED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D8910C4" w14:textId="77777777" w:rsidR="008C6E77" w:rsidRDefault="008C6E77" w:rsidP="00C22CBD">
            <w:pPr>
              <w:jc w:val="both"/>
              <w:rPr>
                <w:rFonts w:ascii="Times New Roman" w:eastAsia="Times New Roman" w:hAnsi="Times New Roman" w:cs="Times New Roman"/>
              </w:rPr>
            </w:pPr>
            <w:r>
              <w:rPr>
                <w:b/>
                <w:rFonts w:ascii="Times New Roman" w:hAnsi="Times New Roman"/>
              </w:rPr>
              <w:t xml:space="preserve">Artikel 12.</w:t>
            </w:r>
            <w:r>
              <w:rPr>
                <w:b/>
                <w:rFonts w:ascii="Times New Roman" w:hAnsi="Times New Roman"/>
              </w:rPr>
              <w:t xml:space="preserve"> </w:t>
            </w:r>
            <w:r>
              <w:rPr>
                <w:rFonts w:ascii="Times New Roman" w:hAnsi="Times New Roman"/>
              </w:rPr>
              <w:t xml:space="preserve">Die </w:t>
            </w:r>
            <w:bookmarkStart w:id="1" w:name="_Int_WqCyXQfl"/>
            <w:r>
              <w:rPr>
                <w:rFonts w:ascii="Times New Roman" w:hAnsi="Times New Roman"/>
              </w:rPr>
              <w:t xml:space="preserve">für die</w:t>
            </w:r>
            <w:bookmarkEnd w:id="1"/>
            <w:r>
              <w:rPr>
                <w:rFonts w:ascii="Times New Roman" w:hAnsi="Times New Roman"/>
              </w:rPr>
              <w:t xml:space="preserve"> Umwelt zuständige Ministerin ist für die Umsetzung dieses Erlasses verantwortlich.</w:t>
            </w:r>
          </w:p>
        </w:tc>
      </w:tr>
      <w:tr w:rsidR="008C6E77" w:rsidRPr="00C45320" w14:paraId="2F12848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DC1CE42"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C45320" w14:paraId="005E874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47324FA"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C45320" w14:paraId="3A6F53E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5787D6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Brüssel, [Datum]</w:t>
            </w:r>
          </w:p>
        </w:tc>
      </w:tr>
      <w:tr w:rsidR="008C6E77" w14:paraId="253D5F8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BF370DB" w14:textId="77777777" w:rsidR="008C6E77" w:rsidRDefault="008C6E77" w:rsidP="00C22CBD">
            <w:pPr>
              <w:jc w:val="both"/>
              <w:rPr>
                <w:rFonts w:ascii="Times New Roman" w:eastAsia="Times New Roman" w:hAnsi="Times New Roman" w:cs="Times New Roman"/>
                <w:highlight w:val="yellow"/>
              </w:rPr>
            </w:pPr>
          </w:p>
        </w:tc>
      </w:tr>
      <w:tr w:rsidR="008C6E77" w:rsidRPr="00C45320" w14:paraId="3FB65DF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E86429D"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C45320" w14:paraId="53803C4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23EEFBE"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Durch den König:</w:t>
            </w:r>
          </w:p>
        </w:tc>
      </w:tr>
      <w:tr w:rsidR="008C6E77" w:rsidRPr="00C45320" w14:paraId="5E871DB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94DA49"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 </w:t>
            </w:r>
          </w:p>
        </w:tc>
      </w:tr>
      <w:tr w:rsidR="008C6E77" w:rsidRPr="00C45320" w14:paraId="09FED6E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0334585" w14:textId="77777777" w:rsidR="008C6E77" w:rsidRPr="008C6E77" w:rsidRDefault="008C6E77" w:rsidP="008C6E77">
            <w:pPr>
              <w:jc w:val="center"/>
              <w:rPr>
                <w:rFonts w:ascii="Times New Roman" w:eastAsia="Times New Roman" w:hAnsi="Times New Roman" w:cs="Times New Roman"/>
                <w:lang w:val="nl-BE"/>
              </w:rPr>
            </w:pPr>
          </w:p>
        </w:tc>
      </w:tr>
      <w:tr w:rsidR="008C6E77" w:rsidRPr="00C45320" w14:paraId="1AD5534D" w14:textId="77777777" w:rsidTr="00C22CBD">
        <w:tc>
          <w:tcPr>
            <w:tcW w:w="4508" w:type="dxa"/>
            <w:tcBorders>
              <w:top w:val="single" w:sz="8" w:space="0" w:color="auto"/>
              <w:left w:val="single" w:sz="8" w:space="0" w:color="auto"/>
              <w:bottom w:val="single" w:sz="8" w:space="0" w:color="auto"/>
              <w:right w:val="single" w:sz="8" w:space="0" w:color="auto"/>
            </w:tcBorders>
          </w:tcPr>
          <w:p w14:paraId="10876916" w14:textId="4D67E49E" w:rsidR="008C6E77" w:rsidRPr="00C45320" w:rsidRDefault="008C6E77" w:rsidP="00C22CBD">
            <w:pPr>
              <w:jc w:val="center"/>
              <w:rPr>
                <w:rFonts w:ascii="Times New Roman" w:eastAsia="Times New Roman" w:hAnsi="Times New Roman" w:cs="Times New Roman"/>
                <w:lang w:val="nl-BE"/>
              </w:rPr>
            </w:pPr>
          </w:p>
        </w:tc>
        <w:tc>
          <w:tcPr>
            <w:tcW w:w="4508" w:type="dxa"/>
            <w:tcBorders>
              <w:top w:val="nil"/>
              <w:left w:val="single" w:sz="8" w:space="0" w:color="auto"/>
              <w:bottom w:val="single" w:sz="8" w:space="0" w:color="auto"/>
              <w:right w:val="single" w:sz="8" w:space="0" w:color="auto"/>
            </w:tcBorders>
          </w:tcPr>
          <w:p w14:paraId="35D72C90"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Die Umweltministerin,</w:t>
            </w:r>
          </w:p>
        </w:tc>
      </w:tr>
      <w:tr w:rsidR="008C6E77" w:rsidRPr="00C45320" w14:paraId="01FFCCFE" w14:textId="77777777" w:rsidTr="00C22CBD">
        <w:tc>
          <w:tcPr>
            <w:tcW w:w="9016" w:type="dxa"/>
            <w:gridSpan w:val="2"/>
            <w:tcBorders>
              <w:top w:val="single" w:sz="8" w:space="0" w:color="auto"/>
              <w:left w:val="single" w:sz="8" w:space="0" w:color="auto"/>
              <w:bottom w:val="single" w:sz="8" w:space="0" w:color="auto"/>
              <w:right w:val="single" w:sz="8" w:space="0" w:color="auto"/>
            </w:tcBorders>
          </w:tcPr>
          <w:p w14:paraId="04E9734A"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AF887D9"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7B803884"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105120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3A9028CC"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4779E6B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2A93C54E"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205133D"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17BFACBB"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2F5243CD"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Z. KHATTABI</w:t>
            </w:r>
          </w:p>
        </w:tc>
      </w:tr>
    </w:tbl>
    <w:p w14:paraId="06CC15C9" w14:textId="2790F353" w:rsidR="00264309" w:rsidRDefault="00264309"/>
    <w:p w14:paraId="7ED378DC" w14:textId="11D09B97" w:rsidR="008C6E77" w:rsidRDefault="008C6E77"/>
    <w:tbl>
      <w:tblPr>
        <w:tblStyle w:val="TableGrid"/>
        <w:tblW w:w="9067" w:type="dxa"/>
        <w:tblLayout w:type="fixed"/>
        <w:tblLook w:val="06A0" w:firstRow="1" w:lastRow="0" w:firstColumn="1" w:lastColumn="0" w:noHBand="1" w:noVBand="1"/>
      </w:tblPr>
      <w:tblGrid>
        <w:gridCol w:w="9067"/>
      </w:tblGrid>
      <w:tr w:rsidR="008C6E77" w:rsidRPr="00127A94" w14:paraId="62D4FB3F" w14:textId="77777777" w:rsidTr="008C6E77">
        <w:tc>
          <w:tcPr>
            <w:tcW w:w="9067" w:type="dxa"/>
          </w:tcPr>
          <w:p w14:paraId="5CF29F45" w14:textId="77777777" w:rsidR="008C6E77" w:rsidRPr="00127A94"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Anhang 1:</w:t>
            </w:r>
            <w:r>
              <w:rPr>
                <w:b/>
                <w:rFonts w:ascii="Times New Roman" w:hAnsi="Times New Roman"/>
              </w:rPr>
              <w:t xml:space="preserve"> </w:t>
            </w:r>
            <w:r>
              <w:rPr>
                <w:b/>
                <w:rFonts w:ascii="Times New Roman" w:hAnsi="Times New Roman"/>
              </w:rPr>
              <w:t xml:space="preserve">Obst und Gemüse gemäß Artikel 5</w:t>
            </w:r>
          </w:p>
        </w:tc>
      </w:tr>
      <w:tr w:rsidR="008C6E77" w:rsidRPr="00664EB4" w14:paraId="7AFBE184" w14:textId="77777777" w:rsidTr="008C6E77">
        <w:tc>
          <w:tcPr>
            <w:tcW w:w="9067" w:type="dxa"/>
          </w:tcPr>
          <w:p w14:paraId="1FB79048"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Essbare Blumen</w:t>
            </w:r>
          </w:p>
          <w:p w14:paraId="6026DF5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Himbeeren</w:t>
            </w:r>
          </w:p>
          <w:p w14:paraId="4E51F30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Erdbeeren</w:t>
            </w:r>
          </w:p>
          <w:p w14:paraId="38E43944"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Heidelbeeren</w:t>
            </w:r>
          </w:p>
          <w:p w14:paraId="2675BF9E"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Brombeeren</w:t>
            </w:r>
          </w:p>
          <w:p w14:paraId="0E44E90B"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(6)</w:t>
            </w:r>
            <w:r>
              <w:rPr>
                <w:rFonts w:ascii="Times New Roman" w:hAnsi="Times New Roman"/>
              </w:rPr>
              <w:t xml:space="preserve"> </w:t>
            </w:r>
            <w:r>
              <w:rPr>
                <w:rFonts w:ascii="Times New Roman" w:hAnsi="Times New Roman"/>
              </w:rPr>
              <w:t xml:space="preserve">Rote Johannisbeeren</w:t>
            </w:r>
          </w:p>
          <w:p w14:paraId="04ACF9E8" w14:textId="77777777" w:rsidR="008C6E77" w:rsidRPr="00664EB4" w:rsidRDefault="008C6E77" w:rsidP="00C22CBD">
            <w:pPr>
              <w:rPr>
                <w:b/>
                <w:bCs/>
                <w:color w:val="00B0F0"/>
                <w:sz w:val="28"/>
                <w:szCs w:val="28"/>
                <w:rFonts w:ascii="Times New Roman" w:eastAsia="Times New Roman" w:hAnsi="Times New Roman" w:cs="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Schwarze Johannisbeeren</w:t>
            </w:r>
          </w:p>
        </w:tc>
      </w:tr>
      <w:tr w:rsidR="008C6E77" w:rsidRPr="00F129EC" w14:paraId="34E89F98" w14:textId="77777777" w:rsidTr="008C6E77">
        <w:tc>
          <w:tcPr>
            <w:tcW w:w="9067" w:type="dxa"/>
          </w:tcPr>
          <w:p w14:paraId="2C07738C" w14:textId="77777777" w:rsidR="008C6E77" w:rsidRPr="00F129EC"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Anhang 2:</w:t>
            </w:r>
            <w:r>
              <w:rPr>
                <w:rFonts w:ascii="Times New Roman" w:hAnsi="Times New Roman"/>
              </w:rPr>
              <w:t xml:space="preserve"> </w:t>
            </w:r>
            <w:r>
              <w:rPr>
                <w:b/>
                <w:rFonts w:ascii="Times New Roman" w:hAnsi="Times New Roman"/>
              </w:rPr>
              <w:t xml:space="preserve">Produkte gemäß Artikel 6</w:t>
            </w:r>
          </w:p>
        </w:tc>
      </w:tr>
      <w:tr w:rsidR="008C6E77" w:rsidRPr="00127A94" w14:paraId="375016E3" w14:textId="77777777" w:rsidTr="008C6E77">
        <w:tc>
          <w:tcPr>
            <w:tcW w:w="9067" w:type="dxa"/>
          </w:tcPr>
          <w:p w14:paraId="5B3F6CF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Schrumpfhülsen, auch Palettenhülsen oder Palettenabdeckungshülsen genannt;</w:t>
            </w:r>
            <w:r>
              <w:rPr>
                <w:rFonts w:ascii="Times New Roman" w:hAnsi="Times New Roman"/>
              </w:rPr>
              <w:t xml:space="preserve"> </w:t>
            </w:r>
            <w:r>
              <w:rPr>
                <w:rFonts w:ascii="Times New Roman" w:hAnsi="Times New Roman"/>
              </w:rPr>
              <w:t xml:space="preserve">Materialien, die aus einer Kunststofffolie bestehen, die auf einem Produkt oder einer Reihe von zu verpackenden Produkten aufgebracht wird.</w:t>
            </w:r>
            <w:r>
              <w:rPr>
                <w:rFonts w:ascii="Times New Roman" w:hAnsi="Times New Roman"/>
              </w:rPr>
              <w:t xml:space="preserve"> </w:t>
            </w:r>
            <w:r>
              <w:rPr>
                <w:rFonts w:ascii="Times New Roman" w:hAnsi="Times New Roman"/>
              </w:rPr>
              <w:t xml:space="preserve">Durch eine Wärmequelle schrumpft die Folie und passt sich sehr fest an das zu verpackende Material an.</w:t>
            </w:r>
          </w:p>
          <w:p w14:paraId="2B4475BC" w14:textId="77777777" w:rsidR="008C6E77" w:rsidRDefault="008C6E77" w:rsidP="00C22CBD">
            <w:pPr>
              <w:jc w:val="both"/>
              <w:rPr>
                <w:rFonts w:ascii="Times New Roman" w:eastAsia="Times New Roman" w:hAnsi="Times New Roman" w:cs="Times New Roman"/>
                <w:lang w:val="fr-BE"/>
              </w:rPr>
            </w:pPr>
          </w:p>
          <w:p w14:paraId="7C6568A3"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recyceltem Kunststoff beträgt:</w:t>
            </w:r>
            <w:r>
              <w:rPr>
                <w:rFonts w:ascii="Times New Roman" w:hAnsi="Times New Roman"/>
              </w:rPr>
              <w:t xml:space="preserve">  </w:t>
            </w:r>
          </w:p>
          <w:p w14:paraId="596C3005" w14:textId="74301901"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1.</w:t>
            </w:r>
            <w:r>
              <w:rPr>
                <w:rFonts w:ascii="Times New Roman" w:hAnsi="Times New Roman"/>
              </w:rPr>
              <w:t xml:space="preserve"> </w:t>
            </w:r>
            <w:r>
              <w:rPr>
                <w:rFonts w:ascii="Times New Roman" w:hAnsi="Times New Roman"/>
              </w:rPr>
              <w:t xml:space="preserve">25 % ab dem 1. Januar 2024, vollständig aus Post-Verbraucher-Kunststoff;</w:t>
            </w:r>
            <w:r>
              <w:rPr>
                <w:rFonts w:ascii="Times New Roman" w:hAnsi="Times New Roman"/>
              </w:rPr>
              <w:t xml:space="preserve"> </w:t>
            </w:r>
          </w:p>
          <w:p w14:paraId="267B24EE" w14:textId="743C3DD0"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w:t>
            </w:r>
            <w:r>
              <w:rPr>
                <w:rFonts w:ascii="Times New Roman" w:hAnsi="Times New Roman"/>
              </w:rPr>
              <w:t xml:space="preserve"> </w:t>
            </w:r>
            <w:r>
              <w:rPr>
                <w:rFonts w:ascii="Times New Roman" w:hAnsi="Times New Roman"/>
              </w:rPr>
              <w:t xml:space="preserve">50 % ab dem1. Januar 2026, vollständig aus Post-Verbraucher-Kunststoff.</w:t>
            </w:r>
          </w:p>
          <w:p w14:paraId="5D4494A1" w14:textId="77777777" w:rsidR="008C6E77" w:rsidRPr="00493A4E" w:rsidRDefault="008C6E77" w:rsidP="00C22CBD">
            <w:pPr>
              <w:jc w:val="both"/>
              <w:rPr>
                <w:rFonts w:ascii="Times New Roman" w:eastAsia="Times New Roman" w:hAnsi="Times New Roman" w:cs="Times New Roman"/>
                <w:lang w:val="fr-BE"/>
              </w:rPr>
            </w:pPr>
          </w:p>
          <w:p w14:paraId="2B06B9FC"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Fässer und Kompostbehälter aus Kunststoff, ausgenommen bewegliche Teile des Kompostbehälters oder der Komposttonne.</w:t>
            </w:r>
          </w:p>
          <w:p w14:paraId="3C19B5B0" w14:textId="77777777" w:rsidR="008C6E77" w:rsidRDefault="008C6E77" w:rsidP="00C22CBD">
            <w:pPr>
              <w:jc w:val="both"/>
              <w:rPr>
                <w:rFonts w:ascii="Times New Roman" w:eastAsia="Times New Roman" w:hAnsi="Times New Roman" w:cs="Times New Roman"/>
                <w:lang w:val="fr-BE"/>
              </w:rPr>
            </w:pPr>
          </w:p>
          <w:p w14:paraId="415C032B"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recyceltem Kunststoff beträgt:</w:t>
            </w:r>
            <w:r>
              <w:rPr>
                <w:rFonts w:ascii="Times New Roman" w:hAnsi="Times New Roman"/>
              </w:rPr>
              <w:t xml:space="preserve">  </w:t>
            </w:r>
          </w:p>
          <w:p w14:paraId="01F2677C"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80 % ab dem 1. Januar 2024, vollständig aus Post-Verbraucher-Kunststoff;</w:t>
            </w:r>
            <w:r>
              <w:rPr>
                <w:rFonts w:ascii="Times New Roman" w:hAnsi="Times New Roman"/>
              </w:rPr>
              <w:t xml:space="preserve"> </w:t>
            </w:r>
          </w:p>
          <w:p w14:paraId="4B78B1E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w:t>
            </w:r>
            <w:r>
              <w:rPr>
                <w:rFonts w:ascii="Times New Roman" w:hAnsi="Times New Roman"/>
              </w:rPr>
              <w:t xml:space="preserve"> </w:t>
            </w:r>
            <w:r>
              <w:rPr>
                <w:rFonts w:ascii="Times New Roman" w:hAnsi="Times New Roman"/>
              </w:rPr>
              <w:t xml:space="preserve">100 % ab dem 1. Januar 2026, vollständig aus Post-Verbraucher-Kunststoff.</w:t>
            </w:r>
          </w:p>
          <w:p w14:paraId="704CB032" w14:textId="77777777" w:rsidR="008C6E77" w:rsidRDefault="008C6E77" w:rsidP="00C22CBD">
            <w:pPr>
              <w:jc w:val="both"/>
              <w:rPr>
                <w:rFonts w:ascii="Times New Roman" w:eastAsia="Times New Roman" w:hAnsi="Times New Roman" w:cs="Times New Roman"/>
                <w:lang w:val="fr-BE"/>
              </w:rPr>
            </w:pPr>
          </w:p>
          <w:p w14:paraId="49106C7E"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Rollcontainer aus Kunststoff für Abfälle mit Ausnahme des Containerkörpers, Deckels, Fahrgestells und der Räder.</w:t>
            </w:r>
            <w:r>
              <w:rPr>
                <w:rFonts w:ascii="Times New Roman" w:hAnsi="Times New Roman"/>
              </w:rPr>
              <w:t xml:space="preserve">   </w:t>
            </w:r>
          </w:p>
          <w:p w14:paraId="161F0135" w14:textId="77777777" w:rsidR="008C6E77" w:rsidRDefault="008C6E77" w:rsidP="00C22CBD">
            <w:pPr>
              <w:jc w:val="both"/>
              <w:rPr>
                <w:rFonts w:ascii="Times New Roman" w:eastAsia="Times New Roman" w:hAnsi="Times New Roman" w:cs="Times New Roman"/>
                <w:lang w:val="fr-BE"/>
              </w:rPr>
            </w:pPr>
          </w:p>
          <w:p w14:paraId="3E7E0327"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recyceltem Kunststoff beträgt:</w:t>
            </w:r>
            <w:r>
              <w:rPr>
                <w:rFonts w:ascii="Times New Roman" w:hAnsi="Times New Roman"/>
              </w:rPr>
              <w:t xml:space="preserve">  </w:t>
            </w:r>
          </w:p>
          <w:p w14:paraId="034BD227"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50 % ab dem 1. Januar 2024, davon mindestens die Hälfte aus Post-Verbraucher-Kunststoff;</w:t>
            </w:r>
            <w:r>
              <w:rPr>
                <w:rFonts w:ascii="Times New Roman" w:hAnsi="Times New Roman"/>
              </w:rPr>
              <w:t xml:space="preserve"> </w:t>
            </w:r>
          </w:p>
          <w:p w14:paraId="0EC9D3A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w:t>
            </w:r>
            <w:r>
              <w:rPr>
                <w:rFonts w:ascii="Times New Roman" w:hAnsi="Times New Roman"/>
              </w:rPr>
              <w:t xml:space="preserve"> </w:t>
            </w:r>
            <w:r>
              <w:rPr>
                <w:rFonts w:ascii="Times New Roman" w:hAnsi="Times New Roman"/>
              </w:rPr>
              <w:t xml:space="preserve">80 % ab dem 1. Januar 2026, davon mindestens die Hälfte aus Post-Verbraucher-Kunststoff.</w:t>
            </w:r>
          </w:p>
          <w:p w14:paraId="6FC8501B" w14:textId="77777777" w:rsidR="008C6E77" w:rsidRDefault="008C6E77" w:rsidP="00C22CBD">
            <w:pPr>
              <w:jc w:val="both"/>
              <w:rPr>
                <w:rFonts w:ascii="Times New Roman" w:eastAsia="Times New Roman" w:hAnsi="Times New Roman" w:cs="Times New Roman"/>
                <w:lang w:val="fr-BE"/>
              </w:rPr>
            </w:pPr>
          </w:p>
          <w:p w14:paraId="72B6086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Baumschultöpfe, Gärtnereischalen und Pflanzenschalen aus Kunststoff für den Anbau und die Verpackung von Blumen und Pflanzen</w:t>
            </w:r>
          </w:p>
          <w:p w14:paraId="4C6C52B8" w14:textId="77777777" w:rsidR="008C6E77" w:rsidRDefault="008C6E77" w:rsidP="00C22CBD">
            <w:pPr>
              <w:jc w:val="both"/>
              <w:rPr>
                <w:rFonts w:ascii="Times New Roman" w:eastAsia="Times New Roman" w:hAnsi="Times New Roman" w:cs="Times New Roman"/>
                <w:lang w:val="fr-BE"/>
              </w:rPr>
            </w:pPr>
          </w:p>
          <w:p w14:paraId="72AE42D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recyceltem Kunststoff beträgt:</w:t>
            </w:r>
            <w:r>
              <w:rPr>
                <w:rFonts w:ascii="Times New Roman" w:hAnsi="Times New Roman"/>
              </w:rPr>
              <w:t xml:space="preserve">  </w:t>
            </w:r>
          </w:p>
          <w:p w14:paraId="2246544C" w14:textId="77777777" w:rsidR="008C6E77" w:rsidRDefault="008C6E77" w:rsidP="00C22CBD">
            <w:pPr>
              <w:jc w:val="both"/>
              <w:rPr>
                <w:rFonts w:ascii="Times New Roman" w:eastAsia="Times New Roman" w:hAnsi="Times New Roman" w:cs="Times New Roman"/>
                <w:lang w:val="fr-BE"/>
              </w:rPr>
            </w:pPr>
          </w:p>
          <w:p w14:paraId="7F1CB18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1.</w:t>
            </w:r>
            <w:r>
              <w:rPr>
                <w:rFonts w:ascii="Times New Roman" w:hAnsi="Times New Roman"/>
              </w:rPr>
              <w:t xml:space="preserve"> </w:t>
            </w:r>
            <w:r>
              <w:rPr>
                <w:rFonts w:ascii="Times New Roman" w:hAnsi="Times New Roman"/>
              </w:rPr>
              <w:t xml:space="preserve">80 % ab dem 1. Januar 2024, vollständig aus Post-Verbraucher-Kunststoff;</w:t>
            </w:r>
            <w:r>
              <w:rPr>
                <w:rFonts w:ascii="Times New Roman" w:hAnsi="Times New Roman"/>
              </w:rPr>
              <w:t xml:space="preserve"> </w:t>
            </w:r>
          </w:p>
          <w:p w14:paraId="0AD4C5D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w:t>
            </w:r>
            <w:r>
              <w:rPr>
                <w:rFonts w:ascii="Times New Roman" w:hAnsi="Times New Roman"/>
              </w:rPr>
              <w:t xml:space="preserve"> </w:t>
            </w:r>
            <w:r>
              <w:rPr>
                <w:rFonts w:ascii="Times New Roman" w:hAnsi="Times New Roman"/>
              </w:rPr>
              <w:t xml:space="preserve">100 % ab dem 1. Januar 2026, vollständig aus Post-Verbraucher-Kunststoff.</w:t>
            </w:r>
          </w:p>
          <w:p w14:paraId="1FB7A680" w14:textId="77777777" w:rsidR="008C6E77" w:rsidRDefault="008C6E77" w:rsidP="00C22CBD">
            <w:pPr>
              <w:jc w:val="both"/>
              <w:rPr>
                <w:rFonts w:ascii="Times New Roman" w:eastAsia="Times New Roman" w:hAnsi="Times New Roman" w:cs="Times New Roman"/>
                <w:lang w:val="fr-BE"/>
              </w:rPr>
            </w:pPr>
          </w:p>
          <w:p w14:paraId="637B2F9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Stadtmöbel mit Kunststoffteilen, bei denen die Kunststoffteile nicht aus recyceltem Kunststoff hergestellt wurden, mit Ausnahme von Kunststoff-Montageelementen, die dazu bestimmt sind, die verschiedenen Teile des Möbels zu einer einzigen Struktureinheit zu verbinden</w:t>
            </w:r>
            <w:r>
              <w:rPr>
                <w:rFonts w:ascii="Times New Roman" w:hAnsi="Times New Roman"/>
              </w:rPr>
              <w:t xml:space="preserve"> </w:t>
            </w:r>
          </w:p>
          <w:p w14:paraId="07DDFC24" w14:textId="77777777" w:rsidR="008C6E77" w:rsidRDefault="008C6E77" w:rsidP="00C22CBD">
            <w:pPr>
              <w:jc w:val="both"/>
              <w:rPr>
                <w:rFonts w:ascii="Times New Roman" w:eastAsia="Times New Roman" w:hAnsi="Times New Roman" w:cs="Times New Roman"/>
                <w:lang w:val="fr-BE"/>
              </w:rPr>
            </w:pPr>
          </w:p>
          <w:p w14:paraId="6A1EB8B5"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Der Mindestanteil an recyceltem Kunststoff beträgt:</w:t>
            </w:r>
          </w:p>
          <w:p w14:paraId="37A0EA78"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80 % ab dem 1. Januar 2024, vollständig aus Post-Verbraucher-Kunststoffen;</w:t>
            </w:r>
            <w:r>
              <w:rPr>
                <w:rFonts w:ascii="Times New Roman" w:hAnsi="Times New Roman"/>
              </w:rPr>
              <w:t xml:space="preserve"> </w:t>
            </w:r>
          </w:p>
          <w:p w14:paraId="334FDAF5"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w:t>
            </w:r>
            <w:r>
              <w:rPr>
                <w:rFonts w:ascii="Times New Roman" w:hAnsi="Times New Roman"/>
              </w:rPr>
              <w:t xml:space="preserve"> </w:t>
            </w:r>
            <w:r>
              <w:rPr>
                <w:rFonts w:ascii="Times New Roman" w:hAnsi="Times New Roman"/>
              </w:rPr>
              <w:t xml:space="preserve">100 % ab dem 1. Januar 2026, vollständig aus Post-Verbraucher-Kunststoffen.</w:t>
            </w:r>
          </w:p>
          <w:p w14:paraId="198FA8EC" w14:textId="77777777" w:rsidR="008C6E77" w:rsidRPr="00127A94" w:rsidRDefault="008C6E77" w:rsidP="00C22CBD">
            <w:pPr>
              <w:jc w:val="both"/>
              <w:rPr>
                <w:rFonts w:ascii="Times New Roman" w:eastAsia="Times New Roman" w:hAnsi="Times New Roman" w:cs="Times New Roman"/>
                <w:b/>
                <w:bCs/>
                <w:color w:val="00B0F0"/>
                <w:sz w:val="28"/>
                <w:szCs w:val="28"/>
                <w:lang w:val="fr-BE"/>
              </w:rPr>
            </w:pPr>
          </w:p>
        </w:tc>
      </w:tr>
      <w:tr w:rsidR="008C6E77" w:rsidRPr="00127A94" w14:paraId="691863A9" w14:textId="77777777" w:rsidTr="008C6E77">
        <w:tc>
          <w:tcPr>
            <w:tcW w:w="9067" w:type="dxa"/>
          </w:tcPr>
          <w:p w14:paraId="168AE24D" w14:textId="77777777" w:rsidR="008C6E77" w:rsidRPr="00127A94"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Anhang</w:t>
            </w:r>
            <w:r>
              <w:rPr>
                <w:rFonts w:ascii="Times New Roman" w:hAnsi="Times New Roman"/>
              </w:rPr>
              <w:t xml:space="preserve"> </w:t>
            </w:r>
            <w:r>
              <w:rPr>
                <w:b/>
                <w:rFonts w:ascii="Times New Roman" w:hAnsi="Times New Roman"/>
              </w:rPr>
              <w:t xml:space="preserve">3:</w:t>
            </w:r>
            <w:r>
              <w:rPr>
                <w:b/>
                <w:rFonts w:ascii="Times New Roman" w:hAnsi="Times New Roman"/>
              </w:rPr>
              <w:t xml:space="preserve"> </w:t>
            </w:r>
            <w:r>
              <w:rPr>
                <w:b/>
                <w:rFonts w:ascii="Times New Roman" w:hAnsi="Times New Roman"/>
              </w:rPr>
              <w:t xml:space="preserve">Einwegprodukte gemäß Artikel 7</w:t>
            </w:r>
          </w:p>
        </w:tc>
      </w:tr>
      <w:tr w:rsidR="008C6E77" w:rsidRPr="00664EB4" w14:paraId="4853300F" w14:textId="77777777" w:rsidTr="008C6E77">
        <w:tc>
          <w:tcPr>
            <w:tcW w:w="9067" w:type="dxa"/>
          </w:tcPr>
          <w:p w14:paraId="67B4335E" w14:textId="77777777" w:rsidR="008C6E77" w:rsidRDefault="008C6E77" w:rsidP="00C22CBD">
            <w:pPr>
              <w:rPr>
                <w:strike/>
                <w:color w:val="000000" w:themeColor="text1"/>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color w:val="000000" w:themeColor="text1"/>
                <w:rFonts w:ascii="Times New Roman" w:hAnsi="Times New Roman"/>
              </w:rPr>
              <w:t xml:space="preserve">Kunststoff-Konfetti</w:t>
            </w:r>
          </w:p>
          <w:p w14:paraId="07238959" w14:textId="77777777" w:rsidR="008C6E77" w:rsidRPr="00C45320" w:rsidRDefault="008C6E77" w:rsidP="00C22CBD">
            <w:pPr>
              <w:rPr>
                <w:strike/>
                <w:color w:val="000000" w:themeColor="text1"/>
                <w:rFonts w:ascii="Times New Roman" w:eastAsia="Times New Roman" w:hAnsi="Times New Roman" w:cs="Times New Roman"/>
              </w:rPr>
            </w:pPr>
            <w:r>
              <w:rPr>
                <w:color w:val="000000" w:themeColor="text1"/>
                <w:rFonts w:ascii="Times New Roman" w:hAnsi="Times New Roman"/>
              </w:rPr>
              <w:t xml:space="preserve">(2)</w:t>
            </w:r>
            <w:r>
              <w:rPr>
                <w:color w:val="000000" w:themeColor="text1"/>
                <w:rFonts w:ascii="Times New Roman" w:hAnsi="Times New Roman"/>
              </w:rPr>
              <w:t xml:space="preserve"> </w:t>
            </w:r>
            <w:r>
              <w:rPr>
                <w:color w:val="000000" w:themeColor="text1"/>
                <w:rFonts w:ascii="Times New Roman" w:hAnsi="Times New Roman"/>
              </w:rPr>
              <w:t xml:space="preserve">Kunststoff-Glitter</w:t>
            </w:r>
          </w:p>
          <w:p w14:paraId="7958D9E5" w14:textId="77777777" w:rsidR="008C6E77" w:rsidRPr="00C45320" w:rsidRDefault="008C6E77" w:rsidP="00C22CBD">
            <w:pPr>
              <w:spacing w:line="254" w:lineRule="auto"/>
              <w:jc w:val="both"/>
              <w:rPr>
                <w:rFonts w:ascii="Times New Roman" w:eastAsia="Times New Roman" w:hAnsi="Times New Roman" w:cs="Times New Roman"/>
              </w:rPr>
            </w:pPr>
            <w:r>
              <w:rPr>
                <w:color w:val="000000" w:themeColor="text1"/>
                <w:rFonts w:ascii="Times New Roman" w:hAnsi="Times New Roman"/>
              </w:rPr>
              <w:t xml:space="preserve">(3)</w:t>
            </w:r>
            <w:r>
              <w:rPr>
                <w:color w:val="000000" w:themeColor="text1"/>
                <w:rFonts w:ascii="Times New Roman" w:hAnsi="Times New Roman"/>
              </w:rPr>
              <w:t xml:space="preserve"> </w:t>
            </w:r>
            <w:r>
              <w:rPr>
                <w:color w:val="000000" w:themeColor="text1"/>
                <w:rFonts w:ascii="Times New Roman" w:hAnsi="Times New Roman"/>
              </w:rPr>
              <w:t xml:space="preserve">Kunststoffstäbchen, ausgenommen für medizinische Zwecke</w:t>
            </w:r>
          </w:p>
          <w:p w14:paraId="60AC19BB" w14:textId="77777777" w:rsidR="008C6E77" w:rsidRPr="00C45320" w:rsidRDefault="008C6E77" w:rsidP="00C22CBD">
            <w:pPr>
              <w:spacing w:line="254" w:lineRule="auto"/>
              <w:jc w:val="both"/>
              <w:rPr>
                <w:strike/>
                <w:color w:val="000000" w:themeColor="text1"/>
                <w:rFonts w:ascii="Times New Roman" w:eastAsia="Times New Roman" w:hAnsi="Times New Roman" w:cs="Times New Roman"/>
              </w:rPr>
            </w:pPr>
            <w:r>
              <w:rPr>
                <w:color w:val="000000" w:themeColor="text1"/>
                <w:rFonts w:ascii="Times New Roman" w:hAnsi="Times New Roman"/>
              </w:rPr>
              <w:t xml:space="preserve">(4)</w:t>
            </w:r>
            <w:r>
              <w:rPr>
                <w:color w:val="000000" w:themeColor="text1"/>
                <w:rFonts w:ascii="Times New Roman" w:hAnsi="Times New Roman"/>
              </w:rPr>
              <w:t xml:space="preserve"> </w:t>
            </w:r>
            <w:r>
              <w:rPr>
                <w:color w:val="000000" w:themeColor="text1"/>
                <w:rFonts w:ascii="Times New Roman" w:hAnsi="Times New Roman"/>
              </w:rPr>
              <w:t xml:space="preserve">Kunststoffspieße</w:t>
            </w:r>
          </w:p>
          <w:p w14:paraId="4563F85F" w14:textId="77777777" w:rsidR="008C6E77" w:rsidRDefault="008C6E77" w:rsidP="00C22CBD">
            <w:pPr>
              <w:spacing w:line="254" w:lineRule="auto"/>
              <w:jc w:val="both"/>
              <w:rPr>
                <w:color w:val="000000" w:themeColor="text1"/>
                <w:rFonts w:ascii="Times New Roman" w:eastAsia="Times New Roman" w:hAnsi="Times New Roman" w:cs="Times New Roman"/>
              </w:rPr>
            </w:pPr>
            <w:r>
              <w:rPr>
                <w:color w:val="000000" w:themeColor="text1"/>
                <w:rFonts w:ascii="Times New Roman" w:hAnsi="Times New Roman"/>
              </w:rPr>
              <w:t xml:space="preserve">(5)</w:t>
            </w:r>
            <w:r>
              <w:rPr>
                <w:color w:val="000000" w:themeColor="text1"/>
                <w:rFonts w:ascii="Times New Roman" w:hAnsi="Times New Roman"/>
              </w:rPr>
              <w:t xml:space="preserve"> </w:t>
            </w:r>
            <w:r>
              <w:rPr>
                <w:color w:val="000000" w:themeColor="text1"/>
                <w:rFonts w:ascii="Times New Roman" w:hAnsi="Times New Roman"/>
              </w:rPr>
              <w:t xml:space="preserve">Kaffee-, Tee- und Kräuterteebeutel aus Kunststoff</w:t>
            </w:r>
          </w:p>
          <w:p w14:paraId="273C1B65" w14:textId="77777777" w:rsidR="008C6E77" w:rsidRPr="00813BF7" w:rsidRDefault="008C6E77" w:rsidP="00C22CBD">
            <w:pPr>
              <w:spacing w:line="254" w:lineRule="auto"/>
              <w:jc w:val="both"/>
              <w:rPr>
                <w:color w:val="000000" w:themeColor="text1"/>
                <w:rFonts w:ascii="Times New Roman" w:eastAsia="Times New Roman" w:hAnsi="Times New Roman" w:cs="Times New Roman"/>
              </w:rPr>
            </w:pPr>
            <w:r>
              <w:rPr>
                <w:color w:val="000000" w:themeColor="text1"/>
                <w:rFonts w:ascii="Times New Roman" w:hAnsi="Times New Roman"/>
              </w:rPr>
              <w:t xml:space="preserve">(6)</w:t>
            </w:r>
            <w:r>
              <w:rPr>
                <w:color w:val="000000" w:themeColor="text1"/>
                <w:rFonts w:ascii="Times New Roman" w:hAnsi="Times New Roman"/>
              </w:rPr>
              <w:t xml:space="preserve"> </w:t>
            </w:r>
            <w:r>
              <w:rPr>
                <w:color w:val="000000" w:themeColor="text1"/>
                <w:rFonts w:ascii="Times New Roman" w:hAnsi="Times New Roman"/>
              </w:rPr>
              <w:t xml:space="preserve">Einweg-Kaffeekapseln, die Kunststoff oder Aluminium enthalten</w:t>
            </w:r>
            <w:r>
              <w:rPr>
                <w:color w:val="000000" w:themeColor="text1"/>
                <w:rFonts w:ascii="Times New Roman" w:hAnsi="Times New Roman"/>
              </w:rPr>
              <w:t xml:space="preserve"> </w:t>
            </w:r>
          </w:p>
          <w:p w14:paraId="47F3C516" w14:textId="77777777" w:rsidR="008C6E77" w:rsidRDefault="008C6E77" w:rsidP="00C22CBD">
            <w:pPr>
              <w:spacing w:line="254" w:lineRule="auto"/>
              <w:jc w:val="both"/>
              <w:rPr>
                <w:rFonts w:ascii="Times New Roman" w:eastAsia="Times New Roman" w:hAnsi="Times New Roman" w:cs="Times New Roman"/>
              </w:rPr>
            </w:pPr>
            <w:r>
              <w:rPr>
                <w:color w:val="000000" w:themeColor="text1"/>
                <w:rFonts w:ascii="Times New Roman" w:hAnsi="Times New Roman"/>
              </w:rPr>
              <w:t xml:space="preserve">(7)</w:t>
            </w:r>
            <w:r>
              <w:rPr>
                <w:color w:val="000000" w:themeColor="text1"/>
                <w:rFonts w:ascii="Times New Roman" w:hAnsi="Times New Roman"/>
              </w:rPr>
              <w:t xml:space="preserve"> </w:t>
            </w:r>
            <w:r>
              <w:rPr>
                <w:color w:val="000000" w:themeColor="text1"/>
                <w:rFonts w:ascii="Times New Roman" w:hAnsi="Times New Roman"/>
              </w:rPr>
              <w:t xml:space="preserve">B</w:t>
            </w:r>
            <w:r>
              <w:rPr>
                <w:rFonts w:ascii="Times New Roman" w:hAnsi="Times New Roman"/>
              </w:rPr>
              <w:t xml:space="preserve">esteck und Teller, die nicht zu Hause kompostierbar sind</w:t>
            </w:r>
          </w:p>
          <w:p w14:paraId="6DDCBD33" w14:textId="77777777" w:rsidR="008C6E77" w:rsidRPr="00664EB4" w:rsidRDefault="008C6E77" w:rsidP="00C22CBD">
            <w:pPr>
              <w:spacing w:line="254" w:lineRule="auto"/>
              <w:jc w:val="both"/>
              <w:rPr>
                <w:b/>
                <w:bCs/>
                <w:color w:val="00B0F0"/>
                <w:sz w:val="28"/>
                <w:szCs w:val="28"/>
                <w:rFonts w:ascii="Times New Roman" w:eastAsia="Times New Roman" w:hAnsi="Times New Roman" w:cs="Times New Roman"/>
              </w:rPr>
            </w:pPr>
            <w:r>
              <w:rPr>
                <w:rFonts w:ascii="Times New Roman" w:hAnsi="Times New Roman"/>
              </w:rPr>
              <w:t xml:space="preserve">(8)</w:t>
            </w:r>
            <w:r>
              <w:rPr>
                <w:rFonts w:ascii="Times New Roman" w:hAnsi="Times New Roman"/>
              </w:rPr>
              <w:t xml:space="preserve"> </w:t>
            </w:r>
            <w:r>
              <w:rPr>
                <w:rFonts w:ascii="Times New Roman" w:hAnsi="Times New Roman"/>
              </w:rPr>
              <w:t xml:space="preserve">Laminierte Werbekarten</w:t>
            </w:r>
          </w:p>
        </w:tc>
      </w:tr>
    </w:tbl>
    <w:p w14:paraId="0AEDB983" w14:textId="77777777" w:rsidR="008C6E77" w:rsidRDefault="008C6E77"/>
    <w:sectPr w:rsidR="008C6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77"/>
    <w:rsid w:val="00264309"/>
    <w:rsid w:val="008C6E77"/>
    <w:rsid w:val="009F4D8A"/>
    <w:rsid w:val="00B315F6"/>
    <w:rsid w:val="00DE0E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65BA"/>
  <w15:chartTrackingRefBased/>
  <w15:docId w15:val="{6FDA31FC-9284-4058-8818-621CE8A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77"/>
    <w:rPr>
      <w:lang w:val="de-DE"/>
    </w:rPr>
  </w:style>
  <w:style w:type="paragraph" w:styleId="Heading2">
    <w:name w:val="heading 2"/>
    <w:basedOn w:val="Normal"/>
    <w:next w:val="Normal"/>
    <w:link w:val="Heading2Char"/>
    <w:uiPriority w:val="9"/>
    <w:unhideWhenUsed/>
    <w:qFormat/>
    <w:rsid w:val="008C6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E77"/>
    <w:rPr>
      <w:rFonts w:asciiTheme="majorHAnsi" w:eastAsiaTheme="majorEastAsia" w:hAnsiTheme="majorHAnsi" w:cstheme="majorBidi"/>
      <w:color w:val="2F5496" w:themeColor="accent1" w:themeShade="BF"/>
      <w:sz w:val="26"/>
      <w:szCs w:val="26"/>
      <w:lang w:val="de-DE"/>
    </w:rPr>
  </w:style>
  <w:style w:type="character" w:customStyle="1" w:styleId="Heading3Char">
    <w:name w:val="Heading 3 Char"/>
    <w:basedOn w:val="DefaultParagraphFont"/>
    <w:link w:val="Heading3"/>
    <w:uiPriority w:val="9"/>
    <w:rsid w:val="008C6E77"/>
    <w:rPr>
      <w:rFonts w:asciiTheme="majorHAnsi" w:eastAsiaTheme="majorEastAsia" w:hAnsiTheme="majorHAnsi" w:cstheme="majorBidi"/>
      <w:color w:val="1F3763" w:themeColor="accent1" w:themeShade="7F"/>
      <w:sz w:val="24"/>
      <w:szCs w:val="24"/>
      <w:lang w:val="de-DE"/>
    </w:rPr>
  </w:style>
  <w:style w:type="table" w:styleId="TableGrid">
    <w:name w:val="Table Grid"/>
    <w:basedOn w:val="TableNormal"/>
    <w:uiPriority w:val="59"/>
    <w:rsid w:val="008C6E77"/>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
  <dc:description/>
  <cp:lastModifiedBy>Dimitris Dimitriadis</cp:lastModifiedBy>
  <cp:revision>4</cp:revision>
  <dcterms:created xsi:type="dcterms:W3CDTF">2022-11-28T16:09:00Z</dcterms:created>
  <dcterms:modified xsi:type="dcterms:W3CDTF">2022-11-29T10:23:00Z</dcterms:modified>
</cp:coreProperties>
</file>