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14B6" w14:textId="63C93123" w:rsidR="005074AB" w:rsidRPr="00EA32C0" w:rsidRDefault="005074AB" w:rsidP="00EA32C0">
      <w:pPr>
        <w:jc w:val="both"/>
        <w:rPr>
          <w:rFonts w:cstheme="minorHAnsi"/>
          <w:b/>
        </w:rPr>
      </w:pPr>
      <w:r>
        <w:rPr>
          <w:b/>
        </w:rPr>
        <w:tab/>
      </w:r>
      <w:r>
        <w:rPr>
          <w:b/>
        </w:rPr>
        <w:tab/>
        <w:t>d. Karališkojo dekreto, kuriuo iš dalies keičiamas Techninis statybos kodeksas, patvirtintas kovo 17 d. Karališkuoju dekretu Nr. 314/2006, projektas</w:t>
      </w:r>
    </w:p>
    <w:p w14:paraId="42548872" w14:textId="172DDCC5" w:rsidR="005074AB" w:rsidRPr="003934E5" w:rsidRDefault="005074AB" w:rsidP="005074AB">
      <w:pPr>
        <w:jc w:val="both"/>
        <w:rPr>
          <w:rFonts w:cstheme="minorHAnsi"/>
        </w:rPr>
      </w:pPr>
      <w:r>
        <w:t>Lapkričio 5 d. Įstatyme Nr. 38/1999 dėl statybos nuostatų Techninis statybos kodeksas (CTE) apibrėžiamas kaip reglamentavimo sistema, kuria nustatomi pagrindiniai pastatų ir jų įrenginių kokybės reikalavimai ir suteikiama galimybė laikytis 3 straipsnyje nustatytų pagrindinių reikalavimų. Šiame įstatyme numatytas Techninis statybos kodeksas (CTE) buvo patvirtintas kovo 17 d. Karališkuoju dekretu Nr. 314/2006. Pagrindiniuose dokumentuose, sudarančiuose CTE II dalį, nustatyti ir, kai tinkama, kiekybiškai išreikšti pagrindiniai I dalyje nustatyti reikalavimai, numatant tikslinius veiklos rezultatų lygius, ribines vertes ar kitus parametrus. Visų pirma, DB-HE pagrindiniame dokumente „Energijos taupymas“ nurodomi ir kiekybiškai įvertinami energijos vartojimo efektyvumo reikalavimai, kuriuos turi atitikti naujai pastatyti pastatai, taip pat intervencija į esamus pastatus.</w:t>
      </w:r>
    </w:p>
    <w:p w14:paraId="400360D8" w14:textId="77777777" w:rsidR="005074AB" w:rsidRPr="003934E5" w:rsidRDefault="005074AB" w:rsidP="005074AB">
      <w:pPr>
        <w:jc w:val="both"/>
        <w:rPr>
          <w:rFonts w:cstheme="minorHAnsi"/>
        </w:rPr>
      </w:pPr>
      <w:r>
        <w:t>2018 m. gegužės 30 d. priimta Europos Parlamento ir Tarybos direktyva (ES) 2018/844, kuria iš dalies keičiama Direktyva 2010/31/ES dėl pastatų energinio naudingumo ir Direktyva 2012/27/ES dėl energijos vartojimo efektyvumo.</w:t>
      </w:r>
    </w:p>
    <w:p w14:paraId="0B5B2276" w14:textId="142A5C6B" w:rsidR="005A6E61" w:rsidRPr="003934E5" w:rsidRDefault="005074AB" w:rsidP="005A6E61">
      <w:pPr>
        <w:jc w:val="both"/>
        <w:rPr>
          <w:rFonts w:cstheme="minorHAnsi"/>
        </w:rPr>
      </w:pPr>
      <w:r>
        <w:t>Šia direktyva nustatomos būtiniausios infrastruktūros, reikalingos pažangiam elektromobilių įkrovimui pastatuose esančiose automobilių stovėjimo aikštelėse, sukūrimo sąlygos. Taigi, tiek statybos, tiek judumo sektoriai turi būti strateginės sritys, kuriose būtų galima mažinti bendrą ekonomikos priklausomybę nuo iškastinio kuro, taikant reglamentavimo sistemą, kuria siekiama šiuose sektoriuose skatinti naujoves, tvarumą ir energijos vartojimo efektyvumą.</w:t>
      </w:r>
    </w:p>
    <w:p w14:paraId="4245C855" w14:textId="1828DE90" w:rsidR="005A6E61" w:rsidRPr="003934E5" w:rsidRDefault="005A6E61" w:rsidP="005A6E61">
      <w:pPr>
        <w:jc w:val="both"/>
        <w:rPr>
          <w:rFonts w:cstheme="minorHAnsi"/>
        </w:rPr>
      </w:pPr>
      <w:r>
        <w:t>Savo ruožtu, elektromobilių pažangiojo įkrovimo infrastruktūros plėtra prisidės prie energijos valdymo ir lankstumo, atsinaujinančiosios energijos naudojimo ir oro kokybės gerinimo, o jos energinis naudingumas bus optimizuotas, nes pastatai taps labiau skaitmeniniai ir į šią sritį bus įtrauktos naujos technologijos.</w:t>
      </w:r>
    </w:p>
    <w:p w14:paraId="45A016F5" w14:textId="74A214E6" w:rsidR="005A6E61" w:rsidRPr="003934E5" w:rsidRDefault="005A6E61" w:rsidP="005A6E61">
      <w:pPr>
        <w:jc w:val="both"/>
        <w:rPr>
          <w:rFonts w:cstheme="minorHAnsi"/>
        </w:rPr>
      </w:pPr>
      <w:r>
        <w:t xml:space="preserve">Savo ruožtu, 2021–2030 m. integruotame nacionaliniame energetikos ir klimato srities veiksmų plane (PNIEC), kurį Ispanija pateikė Europos Komisijai, numatyta skatinti elektromobilumą kaip priemonę energijos suvartojimui ir transporto priemonių išmetamų teršalų kiekiui mažinti, pritaikant ir įtraukiant Europos Sąjungos teisės aktus, kuriais sudaromos sąlygos diegti elektromobilių įkrovimo infrastruktūrą atsižvelgiant į transporto priemonių parko elektrifikavimo plėtrą, taip pat taikant kitus skatinimo ir paramos mechanizmus. </w:t>
      </w:r>
    </w:p>
    <w:p w14:paraId="3BF925DC" w14:textId="3FA9F544" w:rsidR="00A75681" w:rsidRPr="000E4F56" w:rsidRDefault="00C33374" w:rsidP="00A75681">
      <w:pPr>
        <w:jc w:val="both"/>
        <w:rPr>
          <w:rFonts w:cstheme="minorHAnsi"/>
        </w:rPr>
      </w:pPr>
      <w:r>
        <w:t>Siekiant įgyvendinti šiuos tikslus ir iš dalies perkelti direktyvą į nacionalinę teisę, šiuo Karališkuoju dekretu į Techninį statybos kodeksą įtraukiamas naujas pagrindinis energijos taupymo reikalavimas, susijęs su būtiniausiais asignavimais elektromobilių įkrovimo infrastruktūrai, kuris yra rengiamas pagrindinio dokumento dėl energijos taupymo naujame HE 6 skirsnyje „Būtiniausi elektromobilių įkrovimo infrastruktūros įrenginiai“. Siekiant užtikrinti įkrovimo punktų prieinamumo prieinamose stovėjimo vietose sąlygas, iš dalies keičiamas pagrindinis dokumentas DB-SUA „Naudojimo sauga ir prieinamumas“.</w:t>
      </w:r>
    </w:p>
    <w:p w14:paraId="7140FEE8" w14:textId="77777777" w:rsidR="00A75681" w:rsidRPr="000E4F56" w:rsidRDefault="00A75681" w:rsidP="00A75681">
      <w:pPr>
        <w:jc w:val="both"/>
      </w:pPr>
    </w:p>
    <w:p w14:paraId="3F754C26" w14:textId="778AE3BE" w:rsidR="00A75681" w:rsidRPr="000E4F56" w:rsidRDefault="00A75681" w:rsidP="00A75681">
      <w:pPr>
        <w:jc w:val="both"/>
        <w:rPr>
          <w:rFonts w:cstheme="minorHAnsi"/>
        </w:rPr>
      </w:pPr>
      <w:r>
        <w:t xml:space="preserve">Savo ruožtu, laikantis gegužės 20 d. Įstatymo Nr. 7/2021 dėl klimato kaitos ir energetikos pertvarkos nuostatų, kovo 17 d. Karališkojo dekreto Nr. 314/2006, kuriuo patvirtinamas Techninis statybos kodeksas, vienintele papildoma nuostata nustatomi šie reikalavimai, susiję su </w:t>
      </w:r>
      <w:r>
        <w:lastRenderedPageBreak/>
        <w:t xml:space="preserve">būtiniausiomis nuostatomis dėl elektromobilių įkrovimo infrastruktūros esamuose ne privačiuose gyvenamuosiuose būstuose, kuriuose yra daugiau kaip dvidešimt automobilių stovėjimo vietų, viduje arba tam skirtoje lauko erdvėje, ir kurie nėra įtraukti į pagrindinio dokumento dėl energijos taupymo HE6 skirsnio taikymo sritį. Gegužės 20 d. Įstatymu Nr. 7/2021 dėl klimato kaitos ir energetikos pertvarkos nustatytas įpareigojimas užtikrinti, kad ši Techniniame statybos kodekse apibrėžta nuostata įsigaliotų iki 2023 m. sausio 1 d. </w:t>
      </w:r>
    </w:p>
    <w:p w14:paraId="1192FDEB" w14:textId="77777777" w:rsidR="005074AB" w:rsidRPr="009064BC" w:rsidRDefault="005074AB" w:rsidP="005074AB">
      <w:pPr>
        <w:jc w:val="both"/>
        <w:rPr>
          <w:rFonts w:cstheme="minorHAnsi"/>
        </w:rPr>
      </w:pPr>
      <w:r>
        <w:t>Galiausiai, siekiant užbaigti elektromobilių įkrovimo infrastruktūros reglamentavimą, iš dalies keičiama Žemos įtampos elektrotechnikos reglamento, patvirtinto gruodžio 12 d. Karališkuoju dekretu Nr. 1053/2014, papildoma techninė instrukcija (ITC) BT-52 ir iš dalies keičiamos kitos papildomos techninės instrukcijos.</w:t>
      </w:r>
    </w:p>
    <w:p w14:paraId="53205125" w14:textId="62D4F2A6" w:rsidR="005A6E61" w:rsidRPr="009064BC" w:rsidRDefault="005074AB" w:rsidP="005A6E61">
      <w:pPr>
        <w:jc w:val="both"/>
        <w:rPr>
          <w:rFonts w:cstheme="minorHAnsi"/>
        </w:rPr>
      </w:pPr>
      <w:r>
        <w:t xml:space="preserve">Be to, PNIEC, kaip priemonėje, kuria siekiama skatinti atsinaujinančiąją energiją, didinti gamybos sektorių konkurencingumą ir skatinti vartotojus aktyviau dalyvauti energijos valdyme, numatyta plėtoti pasigamintos energijos vartojimą naudojant atsinaujinančiąją energiją ir paskirstytą gamybą gyvenamosiose ir verslo zonose. </w:t>
      </w:r>
    </w:p>
    <w:p w14:paraId="4F23D1D3" w14:textId="56BE7436" w:rsidR="005074AB" w:rsidRPr="009064BC" w:rsidRDefault="005A6E61" w:rsidP="005074AB">
      <w:pPr>
        <w:jc w:val="both"/>
        <w:rPr>
          <w:rFonts w:cstheme="minorHAnsi"/>
        </w:rPr>
      </w:pPr>
      <w:r>
        <w:t xml:space="preserve">Šiuo atžvilgiu balandžio 5 d. Karališkuoju dekretu Nr. 244/2019, kuriuo reglamentuojamos pasigamintos elektros energijos vartojimo administracinės, techninės ir ekonominės sąlygos, be kita ko, leista kolektyviai vartoti pasigamintą elektros energiją ir kartu sumažintos savo pasigamintos elektros energijos vartojimo įgyvendinimo administracinės procedūros. Todėl manoma, kad dabartinė teisinė sistema leidžia išplėsti pagrindinio reikalavimo HE 5, susijusio su mažiausia elektros energijos gamyba, taikymo sritį, t. y. jį taikyti privatiems gyvenamiesiems būstams ir sumažinti pastatų statinio ploto ribą visais tikslais, kuriems šis reikalavimas taikomas. </w:t>
      </w:r>
    </w:p>
    <w:p w14:paraId="2C3560FF" w14:textId="60FA6548" w:rsidR="005074AB" w:rsidRDefault="005074AB" w:rsidP="005074AB">
      <w:pPr>
        <w:jc w:val="both"/>
        <w:rPr>
          <w:rFonts w:cstheme="minorHAnsi"/>
        </w:rPr>
      </w:pPr>
      <w:r>
        <w:t>Be to, gruodžio 20 d. Karališkajame dekrete Nr. 732/2019, kuriuo iš dalies keičiamas kovo 17 d. Karališkuoju dekretu Nr. 314/2006 patvirtintas Techninis statybos kodeksas, paskelbtas 2019 m. gruodžio 27 d. BOE Nr. 311, pastebėjus klaidų ir spaudos klaidų, atliekami atitinkami pataisymai. Savo ruožtu, siekiant patikslinti pagrindinio dokumento DB-HE dėl „Energijos taupymo“ taikymo būdą po to, kai jis buvo atnaujintas minėtuoju Karališkuoju dekretu Nr. 732/2019, manoma, kad būtina pakeisti kai kurių HE 1 skirsnio dėl energijos paklausos kontrolės sąlygų ir A priedo dėl minėto pagrindinio dokumento terminų formuluotę.</w:t>
      </w:r>
    </w:p>
    <w:p w14:paraId="010C68C8" w14:textId="6D1CCB96" w:rsidR="00E26B23" w:rsidRDefault="00E26B23" w:rsidP="00B65F28">
      <w:pPr>
        <w:jc w:val="both"/>
        <w:rPr>
          <w:rFonts w:cstheme="minorHAnsi"/>
          <w:bCs/>
        </w:rPr>
      </w:pPr>
      <w:r>
        <w:t xml:space="preserve">Techninio kodekso pakeitimas, susijęs su pagrindinio dokumento dėl energijos taupymo naujo skirsnio HE 6 „Būtiniausios nuostatos dėl elektromobilių įkrovimo infrastruktūros“ įtraukimu, taip pat gruodžio 12 d. Karališkojo dekreto Nr. 1053/2014 pakeitimas, kuriuo patvirtinama nauja papildoma techninė instrukcija BT 52, įtraukta į pirmąją baigiamąją nuostatą, bei kovo 17 d. Karališkojo dekreto Nr. 314/2006, kuriuo patvirtinamas Techninis statybos kodeksas, vienintelė papildoma nuostata yra teisinių reformų, numatytų Ekonomikos gaivinimo, pertvarkos ir atsparumo didinimo plane (PRTR), dalis. Konkrečiai PRTR 1 dalyje „Tvaraus, saugaus ir susieto reagavimo į judumo sukrėtimus planas miesto ir didmiesčių aplinkoje“ pritariama šiam Karališkajam dekretui, kuriuo įgyvendinamos minėtos teisinės reformos pagal C1.R1 reformą, pavadintą „Įkrovimo infrastruktūros diegimo ir elektromobilių skatinimo planas“.  C1.R1 reforma sukurta kaip įstatymų, reglamentavimo ir strateginė sistema, kuria siekiama palengvinti įkrovimo infrastruktūros diegimą, kad būtų skatinamas elektromobilių naudojimas Ispanijoje, ir turi du etapus. Pirmasis iš jų sudarytas vasario 19 d. Įsakymu TMA/178/2020, kuriuo iš dalies keičiamas 1997 m. gruodžio 16 d. įsakymas, kuriuo reglamentuojamos prieigos prie valstybinių kelių, privažiavimo kelių ir infrastruktūros objektų statybos, ir birželio 23 d. Karališkuoju dekretu </w:t>
      </w:r>
      <w:r>
        <w:lastRenderedPageBreak/>
        <w:t xml:space="preserve">Nr. 23/2020, kuriuo patvirtinamos energetikos ir kitų sričių priemonės, kuriomis siekiama atgaivinti ekonomiką. C1.R1 reformos antrasis etapas apima šio Karališkojo dekreto, kuriuo iš dalies keičiamas Techninis statybos kodeksas, ir gruodžio 12 d. Karališkojo dekreto Nr. 1053/2014, kuriuo patvirtinama nauja papildoma techninė instrukcija (ITC) BT 52, patvirtinimą.  Reforma C1.R1. yra susijusi su investicijomis C1.I2 „Įkrovimo punktų įrengimo, elektra varomų ir transporto priemonių su kuro elementais įsigijimo ir naujovių elektromobilumo, įkrovimo ir ekologiško vandenilio srityse skatinimo planas“. Šios investicijos apima paramą įkrovimo stotelių įrengimui, kaip nurodyta balandžio 13 d. Karališkajame dekrete Nr. 266/2021, kuriuo patvirtinamas tiesioginis pagalbos teikimas autonominėms bendruomenėms ir Seutos bei Melilijos miestams įgyvendinant su elektriniu judumu susijusias skatinimo programas (MOVES III) pagal PRTR. </w:t>
      </w:r>
    </w:p>
    <w:p w14:paraId="65C24996" w14:textId="1073EF13" w:rsidR="003F7C25" w:rsidRPr="001C78CB" w:rsidRDefault="003F7C25" w:rsidP="005074AB">
      <w:pPr>
        <w:jc w:val="both"/>
        <w:rPr>
          <w:rFonts w:cstheme="minorHAnsi"/>
          <w:bCs/>
          <w:i/>
          <w:iCs/>
        </w:rPr>
      </w:pPr>
      <w:r>
        <w:t xml:space="preserve">Šiame Karališkajame dekrete laikomasi principo „Nedaryti reikšmingos žalos“ (DNSH) ir klimato bei skaitmeninio ženklinimo sąlygų, laikantis PRTR nuostatų, 2021 m. vasario 12 d. Europos Parlamento ir Tarybos reglamento (ES) 2021/241, kuriuo nustatomas atsparumo ir atkūrimo mechanizmas, ir jį įgyvendinančių teisės aktų, visų pirma Komisijos techninių gairių komunikato dėl reikšmingos žalos nedarymo principo taikymo pagal Atsparumo ir atkūrimo mechanizmo reglamentą, taip pat Tarybos įgyvendinimo sprendimo dėl Ispanijos ekonomikos gaivinimo, pertvarkos ir atsparumo didinimo plano vertinimo patvirtinimo reikalavimų. Tai apima atitiktį konkrečioms sąlygoms, nustatytoms 1 komponente, taip pat 1 reformoje, kurioje šis Karališkasis dekretas suformuluotas, tiek atsižvelgiant į DNSH principą, tiek į klimato ir skaitmeninį ženklinimą, visų pirma toms, kurios išdėstytos PRTR komponento dokumento 3, 6 ir 8 skirsniuose. PRTR investicijomis C1.I2, susijusiomis su C1.R1 reforma, taip pat laikomasi principo, kad nedaroma reikšminga žala aplinkai, ir klimato bei skaitmeninio ženklinimo sąlygų. </w:t>
      </w:r>
    </w:p>
    <w:p w14:paraId="16D6EC35" w14:textId="6F02251C" w:rsidR="005074AB" w:rsidRPr="009064BC" w:rsidRDefault="005074AB" w:rsidP="005074AB">
      <w:pPr>
        <w:ind w:left="13"/>
        <w:jc w:val="both"/>
        <w:rPr>
          <w:rFonts w:cstheme="minorHAnsi"/>
        </w:rPr>
      </w:pPr>
      <w:r>
        <w:t>Šis Karališkasis dekretas atitinka būtinumo, veiksmingumo, proporcingumo, teisinio tikrumo, skaidrumo ir efektyvumo principus, nustatytus spalio 1 d. Įstatymo Nr. 39/2015 dėl bendros viešojo administravimo institucijų administracinės procedūros 129 straipsnyje. Atsižvelgiant į būtinumo ir veiksmingumo principus, įstatymas atitinka įpareigojimą perkelti Europos direktyvas į nacionalinę teisę ir atitinka bendrojo intereso tikslus, pavyzdžiui, pastatų infrastruktūros pritaikymą tvariam judumui ir atsinaujinančiosios energijos naudojimui skatinti. Tai padės užtikrinti visuomenės gerovę ir apsaugoti aplinką. Šis Karališkasis dekretas taip pat atitinka proporcingumo principą, nes jame numatytos būtinos ir pakankamos priemonės direktyvoje numatytiems teisiniams įgaliojimams įgyvendinti, tačiau nereikalaujama naujovių, kurios gali būti nereikalingos arba viršijančios teisinius reikalavimus, taip pat juo neribojamos piliečių teisės. Šis reglamentas atitinka teisinio tikrumo principą, nes jis buvo parengtas 1997 m. lapkričio 27 d. Vyriausybės įstatyme Nr. 50/1997 nustatyta tvarka ir remiantis skaidrumo principu, nes jame aiškiai nurodomas jo tikslas, o viešai prieinamame aiškinamajame memorandume išsamiai paaiškinamas turinys. Galiausiai jis taip pat atitinka efektyvumo principą, nes juo neužkraunama jokia administracinė našta.</w:t>
      </w:r>
    </w:p>
    <w:p w14:paraId="4E30715D" w14:textId="77777777" w:rsidR="005074AB" w:rsidRPr="009064BC" w:rsidRDefault="005074AB" w:rsidP="005074AB">
      <w:pPr>
        <w:jc w:val="both"/>
        <w:rPr>
          <w:rFonts w:cstheme="minorHAnsi"/>
        </w:rPr>
      </w:pPr>
      <w:r>
        <w:t>Šiai bendrajai nuostatai buvo taikoma informavimo apie techninius reglamentus ir informacinės visuomenės paslaugų taisykles tvarka, numatyta 2015 m. rugsėjo 9 d. Europos Parlamento ir Tarybos direktyvoje (ES) 2015/1535 ir 1999 m. liepos 31 d. Karališkajame dekrete Nr. 1337/1999.</w:t>
      </w:r>
    </w:p>
    <w:p w14:paraId="533AAB8D" w14:textId="741A459B" w:rsidR="003C546E" w:rsidRDefault="003C546E" w:rsidP="003C546E">
      <w:pPr>
        <w:jc w:val="both"/>
        <w:rPr>
          <w:rFonts w:cstheme="minorHAnsi"/>
        </w:rPr>
      </w:pPr>
      <w:r>
        <w:lastRenderedPageBreak/>
        <w:t>Todėl transporto, judumo ir miestų darbotvarkės ministrės ir Vyriausybės ministro pirmininko trečiosios pavaduotojos bei ekologinės pertvarkos ir demografinių problemų ministrės siūlymu, pritarus Valstybės tarybai ir po svarstymų Ministrų Tarybos posėdyje,</w:t>
      </w:r>
    </w:p>
    <w:p w14:paraId="72CBBED7" w14:textId="7C56F995" w:rsidR="003C546E" w:rsidRPr="009064BC" w:rsidRDefault="003C546E" w:rsidP="005074AB">
      <w:pPr>
        <w:jc w:val="both"/>
        <w:rPr>
          <w:rFonts w:cstheme="minorHAnsi"/>
        </w:rPr>
      </w:pPr>
    </w:p>
    <w:p w14:paraId="02FFC445" w14:textId="386EF3CB" w:rsidR="005074AB" w:rsidRPr="009F5D1D" w:rsidRDefault="005074AB" w:rsidP="005074AB">
      <w:pPr>
        <w:jc w:val="center"/>
        <w:rPr>
          <w:rFonts w:cstheme="minorHAnsi"/>
          <w:spacing w:val="30"/>
        </w:rPr>
      </w:pPr>
      <w:r>
        <w:t>NUTARIAMA:</w:t>
      </w:r>
    </w:p>
    <w:p w14:paraId="29194849" w14:textId="17EA67F9" w:rsidR="005074AB" w:rsidRPr="0033081E" w:rsidRDefault="002A5A94" w:rsidP="005074AB">
      <w:pPr>
        <w:jc w:val="both"/>
        <w:rPr>
          <w:rFonts w:cstheme="minorHAnsi"/>
          <w:bCs/>
          <w:i/>
          <w:iCs/>
        </w:rPr>
      </w:pPr>
      <w:r>
        <w:t xml:space="preserve">Vienintelis straipsnis. </w:t>
      </w:r>
      <w:r>
        <w:rPr>
          <w:i/>
        </w:rPr>
        <w:t>Techninio statybos kodekso (CTE), patvirtinto 2006 m. kovo 17 d. Karališkuoju dekretu Nr. 314/2006, pakeitimas.</w:t>
      </w:r>
    </w:p>
    <w:p w14:paraId="49F6DB5C" w14:textId="77777777" w:rsidR="005074AB" w:rsidRPr="009064BC" w:rsidRDefault="005074AB" w:rsidP="005074AB">
      <w:pPr>
        <w:jc w:val="both"/>
        <w:rPr>
          <w:rFonts w:cstheme="minorHAnsi"/>
        </w:rPr>
      </w:pPr>
      <w:r>
        <w:t>2006 m. kovo 17 d. Karališkasis dekretas Nr. 314/2006 dėl Techninio statybos kodekso patvirtinimo iš dalies keičiamas taip:</w:t>
      </w:r>
    </w:p>
    <w:p w14:paraId="1E4A23CD" w14:textId="3CA20F16" w:rsidR="005074AB" w:rsidRPr="009064BC" w:rsidRDefault="005074AB" w:rsidP="005074AB">
      <w:pPr>
        <w:ind w:left="567" w:hanging="567"/>
        <w:jc w:val="both"/>
        <w:rPr>
          <w:rFonts w:cstheme="minorHAnsi"/>
        </w:rPr>
      </w:pPr>
      <w:r>
        <w:t>Pirma dalis. Techninio statybos kodekso I dalis iš dalies keičiama taip:</w:t>
      </w:r>
    </w:p>
    <w:p w14:paraId="7B36765A" w14:textId="6C7BF234" w:rsidR="006B44D8" w:rsidRPr="009064BC" w:rsidRDefault="006B44D8" w:rsidP="0033081E">
      <w:pPr>
        <w:ind w:left="142" w:hanging="142"/>
        <w:jc w:val="both"/>
        <w:rPr>
          <w:rFonts w:cstheme="minorHAnsi"/>
        </w:rPr>
      </w:pPr>
      <w:r>
        <w:t>– Turinyje pavadinimas „15.6. Pagrindinis reikalavimas HE5: Mažiausia elektros energijos gamyba“ išdėstomas taip:</w:t>
      </w:r>
    </w:p>
    <w:p w14:paraId="750B02FB" w14:textId="5E773080" w:rsidR="006B44D8" w:rsidRPr="009064BC" w:rsidRDefault="006B44D8" w:rsidP="00F11565">
      <w:pPr>
        <w:ind w:left="426"/>
        <w:jc w:val="both"/>
        <w:rPr>
          <w:rFonts w:cstheme="minorHAnsi"/>
        </w:rPr>
      </w:pPr>
      <w:r>
        <w:t>„15.6. Pagrindinis HE 5 reikalavimas: HE5 skirsnis. Mažiausia elektros energijos gamyba iš atsinaujinančiųjų išteklių.“</w:t>
      </w:r>
    </w:p>
    <w:p w14:paraId="0B75EAC4" w14:textId="77777777" w:rsidR="006B44D8" w:rsidRPr="009064BC" w:rsidRDefault="006B44D8" w:rsidP="006B44D8">
      <w:pPr>
        <w:numPr>
          <w:ilvl w:val="0"/>
          <w:numId w:val="9"/>
        </w:numPr>
        <w:ind w:left="142" w:hanging="142"/>
        <w:jc w:val="both"/>
        <w:rPr>
          <w:rFonts w:cstheme="minorHAnsi"/>
        </w:rPr>
      </w:pPr>
      <w:r>
        <w:t>Rodyklėje į 15 straipsnio nuorodą įtraukiamas papildomas punktas, kurio tekstas yra toks:</w:t>
      </w:r>
    </w:p>
    <w:p w14:paraId="1C1AB680" w14:textId="1D8C7D23" w:rsidR="006B44D8" w:rsidRPr="009064BC" w:rsidRDefault="007E461E" w:rsidP="00F11565">
      <w:pPr>
        <w:ind w:left="426"/>
        <w:jc w:val="both"/>
        <w:rPr>
          <w:rFonts w:cstheme="minorHAnsi"/>
        </w:rPr>
      </w:pPr>
      <w:r>
        <w:t>„15.7. Pagrindinis HE6 reikalavimas: Būtiniausi elektromobilių įkrovimo infrastruktūros įrenginiai.</w:t>
      </w:r>
    </w:p>
    <w:p w14:paraId="03B3513D" w14:textId="1133ED17" w:rsidR="001E31F3" w:rsidRPr="002C30D6" w:rsidRDefault="005074AB" w:rsidP="005074AB">
      <w:pPr>
        <w:numPr>
          <w:ilvl w:val="0"/>
          <w:numId w:val="9"/>
        </w:numPr>
        <w:ind w:left="142" w:hanging="142"/>
        <w:jc w:val="both"/>
        <w:rPr>
          <w:rFonts w:cstheme="minorHAnsi"/>
        </w:rPr>
      </w:pPr>
      <w:r>
        <w:t>3 skyriaus 15 straipsnio 6 punktas iš dalies keičiamas taip:</w:t>
      </w:r>
    </w:p>
    <w:p w14:paraId="1E36A006" w14:textId="3C6E29CB" w:rsidR="001E31F3" w:rsidRPr="009064BC" w:rsidRDefault="00F11565" w:rsidP="00F11565">
      <w:pPr>
        <w:pStyle w:val="ListParagraph"/>
        <w:ind w:left="426"/>
        <w:jc w:val="both"/>
        <w:rPr>
          <w:rFonts w:cstheme="minorHAnsi"/>
        </w:rPr>
      </w:pPr>
      <w:r>
        <w:t>„15.6. Pagrindinis HE 5 reikalavimas: Mažiausia elektros energijos gamyba iš atsinaujinančiųjų išteklių.</w:t>
      </w:r>
    </w:p>
    <w:p w14:paraId="4799EB9C" w14:textId="22AE3D4A" w:rsidR="001E31F3" w:rsidRPr="009064BC" w:rsidRDefault="001B0467" w:rsidP="00F11565">
      <w:pPr>
        <w:ind w:left="426"/>
        <w:jc w:val="both"/>
        <w:rPr>
          <w:rFonts w:cstheme="minorHAnsi"/>
        </w:rPr>
      </w:pPr>
      <w:r>
        <w:t>Pastatuose turi būti elektros energijos gamybos iš atsinaujinančiųjų išteklių sistemos, skirtos savo reikmėms arba elektros energijos tinklui tiekti.“</w:t>
      </w:r>
    </w:p>
    <w:p w14:paraId="799517C6" w14:textId="6A449415" w:rsidR="005074AB" w:rsidRPr="009064BC" w:rsidRDefault="001E31F3" w:rsidP="005074AB">
      <w:pPr>
        <w:numPr>
          <w:ilvl w:val="0"/>
          <w:numId w:val="9"/>
        </w:numPr>
        <w:ind w:left="142" w:hanging="142"/>
        <w:jc w:val="both"/>
        <w:rPr>
          <w:rFonts w:cstheme="minorHAnsi"/>
        </w:rPr>
      </w:pPr>
      <w:r>
        <w:t>15 straipsnio pabaigoje įterpiama:</w:t>
      </w:r>
    </w:p>
    <w:p w14:paraId="67BDEE2E" w14:textId="77777777" w:rsidR="005074AB" w:rsidRPr="009064BC" w:rsidRDefault="005074AB" w:rsidP="00F11565">
      <w:pPr>
        <w:ind w:left="426"/>
        <w:jc w:val="both"/>
        <w:rPr>
          <w:rFonts w:cstheme="minorHAnsi"/>
        </w:rPr>
      </w:pPr>
      <w:r>
        <w:t>„15.7. Pagrindinis HE 6 reikalavimas: Būtiniausi elektromobilių įkrovimo infrastruktūros įrenginiai.</w:t>
      </w:r>
    </w:p>
    <w:p w14:paraId="7C67403C" w14:textId="535BDE0B" w:rsidR="005074AB" w:rsidRDefault="005074AB" w:rsidP="00F11565">
      <w:pPr>
        <w:ind w:left="426"/>
        <w:jc w:val="both"/>
        <w:rPr>
          <w:rFonts w:cstheme="minorHAnsi"/>
        </w:rPr>
      </w:pPr>
      <w:r>
        <w:t>Pastatuose turi būti būtiniausia infrastruktūra, leidžianti įkrauti elektromobilius.“</w:t>
      </w:r>
    </w:p>
    <w:p w14:paraId="6F674517" w14:textId="77777777" w:rsidR="002A5A94" w:rsidRPr="000E4F56" w:rsidRDefault="002A5A94" w:rsidP="002A5A94">
      <w:pPr>
        <w:pStyle w:val="ListParagraph"/>
        <w:numPr>
          <w:ilvl w:val="0"/>
          <w:numId w:val="9"/>
        </w:numPr>
        <w:ind w:left="142" w:hanging="142"/>
        <w:jc w:val="both"/>
        <w:rPr>
          <w:rFonts w:cstheme="minorHAnsi"/>
        </w:rPr>
      </w:pPr>
      <w:r>
        <w:t>Įterpiama ši papildoma nuostata:</w:t>
      </w:r>
    </w:p>
    <w:p w14:paraId="2417D1DC" w14:textId="3DAEE52F" w:rsidR="002A5A94" w:rsidRPr="0033081E" w:rsidRDefault="002A5A94" w:rsidP="002A5A94">
      <w:pPr>
        <w:ind w:left="426"/>
        <w:jc w:val="both"/>
        <w:rPr>
          <w:rFonts w:cstheme="minorHAnsi"/>
          <w:bCs/>
          <w:i/>
          <w:iCs/>
        </w:rPr>
      </w:pPr>
      <w:r>
        <w:t xml:space="preserve">„Vienintelė papildoma nuostata. </w:t>
      </w:r>
      <w:r>
        <w:rPr>
          <w:i/>
        </w:rPr>
        <w:t>Būtiniausi elektromobilių įkrovimo infrastruktūros įrenginiai pastatuose, išskyrus privačius gyvenamuosius pastatus, kuriuose yra daugiau kaip dvidešimt automobilių stovėjimo vietų.</w:t>
      </w:r>
    </w:p>
    <w:p w14:paraId="71CE31DD" w14:textId="72E1754E" w:rsidR="0067270E" w:rsidRPr="008F4D49" w:rsidRDefault="0067270E" w:rsidP="0067270E">
      <w:pPr>
        <w:ind w:left="426"/>
        <w:jc w:val="both"/>
      </w:pPr>
      <w:r>
        <w:t>Pagal gegužės 20 d. Įstatymo Nr. 7/2021 dėl klimato kaitos ir energetikos pertvarkos nuostatas iki 2023 m. sausio 1 d. visuose pastatuose, išskyrus privačius gyvenamuosius būstus, kuriuose yra daugiau kaip dvidešimt automobilių stovėjimo vietų, tiek viduje, tiek nustatytoje lauko erdvėje, turi būti bent šie elektromobilių įkrovimo infrastruktūros įrenginiai:</w:t>
      </w:r>
    </w:p>
    <w:p w14:paraId="2339A7CE" w14:textId="2F683544" w:rsidR="0067270E" w:rsidRPr="00DC3EE9" w:rsidRDefault="0067270E" w:rsidP="00675D0E">
      <w:pPr>
        <w:ind w:left="426"/>
        <w:jc w:val="both"/>
        <w:rPr>
          <w:rFonts w:cstheme="minorHAnsi"/>
        </w:rPr>
      </w:pPr>
      <w:r>
        <w:lastRenderedPageBreak/>
        <w:t>– paprastai įrengiama po vieną įkrovimo stotelę kiekvienoms 40 transporto priemonių stovėjimo vietų arba lygiaverčiam objektui, kuriame yra ne daugiau kaip 1 000 vietų, ir po vieną papildomą įkrovimo stotelę kiekvienoms papildomoms 100 vietų arba lygiaverčiam objektui. Kitu atveju prašoma išduoti savivaldybės licenciją ar leidimą atlikti darbus, būtinus šiai įkrovimo infrastruktūrai vykdyti, arba, jei pastato savininkui taikomas lapkričio 8 d. Viešojo sektoriaus sutarčių įstatymas Nr. 9/2017, kuriuo į Ispanijos teisę perkeliamos 2014 m. vasario 26 d. Europos Parlamento ir Tarybos direktyvos 2014/23/ES ir 2014/24/ES, inicijuojamas konkursas dėl minėtų darbų atlikimo arba dėl jam apibrėžti būtino projekto ar techninio dokumento parengimo, paskelbiant apie tai atitinkamoje sutarčių platformoje</w:t>
      </w:r>
      <w:bookmarkStart w:id="0" w:name="_Hlk74840570"/>
      <w:r>
        <w:t>. Darbai, kurie buvo oficialiai atlikti pateikus prašymą išduoti savivaldybės leidimą ar įgaliojimą, turi būti pradėti per ilgiausią leidimo galiojimo laikotarpį pagal atitinkamus teisės aktus, o jei tai neįmanoma – per šešis mėnesius nuo leidimo išdavimo dienos. Darbai, kurie buvo oficialiai atlikti konkurso dėl darbų atlikimo arba konkurso dėl projekto arba juos apibrėžiančio techninio dokumento parengimo pradžioje, turi būti pradėti per leidimo, savivaldybės įgaliojimo ar lygiaverčio leidimo ilgiausią galiojimo laikotarpį arba, jei tokio nėra, per šešis mėnesius nuo jų suteikimo dienos.</w:t>
      </w:r>
    </w:p>
    <w:bookmarkEnd w:id="0"/>
    <w:p w14:paraId="58AB7358" w14:textId="65977551" w:rsidR="00F90C96" w:rsidRPr="008F4D49" w:rsidRDefault="0067270E" w:rsidP="00EA32C0">
      <w:pPr>
        <w:ind w:left="426"/>
        <w:jc w:val="both"/>
        <w:rPr>
          <w:rFonts w:cstheme="minorHAnsi"/>
        </w:rPr>
      </w:pPr>
      <w:r>
        <w:t>– valstybės bendrajai administracijai arba su ja susijusioms ar jai pavaldžioms viešosioms įstaigoms priklausančiuose pastatuose įrengiama po vieną įkrovimo stotelę kiekvienoms 20 automobilių stovėjimo vietų arba lygiaverčiam objektui, kuriame yra iki 500 vietų, ir po vieną papildomą įkrovimo stotelę kiekvienoms papildomoms 100 vietų arba lygiaverčiam objektui; arba pirkimo procedūra dėl darbų atlikimo ar projekto arba techninio dokumento, būtino darbams apibrėžti, parengimo paskelbiama atitinkamoje viešųjų pirkimų platformoje. Darbai, kurie buvo oficialiai atlikti konkurso dėl darbų atlikimo arba konkurso dėl projekto arba juos apibrėžiančio techninio dokumento parengimo pradžioje, turi būti pradėti per leidimo, savivaldybės įgaliojimo ar lygiaverčio leidimo ilgiausią galiojimo laikotarpį arba, jei tokio nėra, per šešis mėnesius nuo jų suteikimo dienos.</w:t>
      </w:r>
    </w:p>
    <w:p w14:paraId="354182C6" w14:textId="54A09FDC" w:rsidR="002A5A94" w:rsidRPr="00BA4C0D" w:rsidRDefault="002A5A94" w:rsidP="00210EA2">
      <w:pPr>
        <w:ind w:left="426"/>
        <w:jc w:val="both"/>
      </w:pPr>
      <w:r>
        <w:t>Oficialiai saugomiems pastatams šie įpareigojimai netaikomi dėl to, kad jie yra deklaruotos aplinkos dalis, arba dėl jų ypatingos architektūrinės ar istorinės vertės, jeigu šio reikalavimo laikymasis galėtų nepagrįstai pakeisti jų pobūdį ar išvaizdą, o nepakeičiamus elementus nustato oficiali apsaugos institucija.</w:t>
      </w:r>
    </w:p>
    <w:p w14:paraId="0662362C" w14:textId="0FC45639" w:rsidR="002A5A94" w:rsidRPr="0062182D" w:rsidRDefault="002A5A94" w:rsidP="0062182D">
      <w:pPr>
        <w:pStyle w:val="ListParagraph"/>
        <w:ind w:left="426"/>
        <w:jc w:val="both"/>
        <w:rPr>
          <w:rFonts w:cstheme="minorHAnsi"/>
        </w:rPr>
      </w:pPr>
      <w:r>
        <w:t>Ši elektromobilių įkrovimo infrastruktūra atitiks rugpjūčio 2 d. Karališkojo dekreto Nr. 842/2002, kuriuo patvirtinamas Žemos įtampos elektrotechnikos reglamentas ir jo papildoma techninė instrukcija (ITC) BT 52 „Specialios paskirties įrenginiai. Elektromobilių įkrovimo infrastruktūra“, nuostatas, taip pat 4 skirsnio „Reikalavimo pagrindimas“ ir pagrindinio dokumento DB-HE „Energijos taupymas“ HE 6 skirsnio „Būtiniausi elektromobilių įkrovimo infrastruktūros įrenginiai“ 5 skirsnio „Statyba, priežiūra ir remontas“ nuostatas.“</w:t>
      </w:r>
    </w:p>
    <w:p w14:paraId="0769E30E" w14:textId="6A51451B" w:rsidR="0033081E" w:rsidRPr="008F4D49" w:rsidRDefault="005074AB" w:rsidP="00D47CC2">
      <w:pPr>
        <w:jc w:val="both"/>
        <w:rPr>
          <w:rFonts w:cstheme="minorHAnsi"/>
        </w:rPr>
      </w:pPr>
      <w:r>
        <w:t xml:space="preserve">Antra dalis. Iš dalies keičiamas į Techninio statybos kodekso II dalį įtrauktas pagrindinis dokumentas DB-HE „Energijos taupymas“, į kurį įtrauktas HE 6 skirsnis „Būtiniausi elektromobilių įkrovimo infrastruktūros įrenginiai“, kuris įtrauktas į šio Karališkojo dekreto I priedą. </w:t>
      </w:r>
    </w:p>
    <w:p w14:paraId="5DC46FAC" w14:textId="4A465EFF" w:rsidR="005074AB" w:rsidRPr="008F4D49" w:rsidRDefault="005074AB" w:rsidP="005074AB">
      <w:pPr>
        <w:spacing w:after="162"/>
        <w:ind w:left="13"/>
        <w:jc w:val="both"/>
        <w:rPr>
          <w:rFonts w:cstheme="minorHAnsi"/>
        </w:rPr>
      </w:pPr>
      <w:r>
        <w:t>Taip pat padaryti šie pagrindinio dokumento DB-HE pakeitimai:</w:t>
      </w:r>
    </w:p>
    <w:p w14:paraId="53FD09BA" w14:textId="1FBEE4B0" w:rsidR="005074AB" w:rsidRPr="009064BC" w:rsidRDefault="005074AB" w:rsidP="006424FF">
      <w:pPr>
        <w:numPr>
          <w:ilvl w:val="0"/>
          <w:numId w:val="13"/>
        </w:numPr>
        <w:spacing w:after="162"/>
        <w:ind w:left="720" w:hanging="295"/>
        <w:jc w:val="both"/>
        <w:rPr>
          <w:rFonts w:cstheme="minorHAnsi"/>
        </w:rPr>
      </w:pPr>
      <w:r>
        <w:lastRenderedPageBreak/>
        <w:t>„Įvado“ skirsnio „I dalykas“ pirmoje pastraipoje sakinyje „Šio DB skirsniai atitinka pagrindinius HE 0–HE 5 reikalavimus“ vietoj žodžių „HE 5“ turėtų būti įrašyta „HE 6“.</w:t>
      </w:r>
    </w:p>
    <w:p w14:paraId="7957EC48" w14:textId="441BEE49" w:rsidR="006F5E38" w:rsidRPr="009064BC" w:rsidRDefault="006F5E38" w:rsidP="006424FF">
      <w:pPr>
        <w:numPr>
          <w:ilvl w:val="0"/>
          <w:numId w:val="13"/>
        </w:numPr>
        <w:spacing w:after="162"/>
        <w:ind w:left="720" w:hanging="295"/>
        <w:jc w:val="both"/>
        <w:rPr>
          <w:rFonts w:cstheme="minorHAnsi"/>
        </w:rPr>
      </w:pPr>
      <w:r>
        <w:t>„Įvado“ I skirsnyje „Dalykas“ iš dalies keičiama nuoroda į CTE I dalies 15.6 straipsnį, kuri išdėstoma taip:</w:t>
      </w:r>
    </w:p>
    <w:p w14:paraId="5F1636DD" w14:textId="77777777" w:rsidR="006F5E38" w:rsidRPr="009064BC" w:rsidRDefault="006F5E38" w:rsidP="009064BC">
      <w:pPr>
        <w:pStyle w:val="ListParagraph"/>
        <w:ind w:left="709"/>
        <w:contextualSpacing w:val="0"/>
        <w:jc w:val="both"/>
        <w:rPr>
          <w:rFonts w:cstheme="minorHAnsi"/>
        </w:rPr>
      </w:pPr>
      <w:r>
        <w:t>„15.6. Pagrindinis HE 5 reikalavimas: Mažiausia elektros energijos gamyba iš atsinaujinančiųjų išteklių.</w:t>
      </w:r>
    </w:p>
    <w:p w14:paraId="6BB983CA" w14:textId="72439AD8" w:rsidR="006F5E38" w:rsidRPr="009064BC" w:rsidRDefault="006F5E38" w:rsidP="009064BC">
      <w:pPr>
        <w:pStyle w:val="ListParagraph"/>
        <w:spacing w:after="162"/>
        <w:ind w:left="709"/>
        <w:contextualSpacing w:val="0"/>
        <w:jc w:val="both"/>
        <w:rPr>
          <w:rFonts w:cstheme="minorHAnsi"/>
        </w:rPr>
      </w:pPr>
      <w:r>
        <w:t>Pastatuose turi būti elektros energijos gamybos iš atsinaujinančiųjų išteklių sistemos, skirtos savo reikmėms arba elektros energijos tinklui tiekti.“</w:t>
      </w:r>
    </w:p>
    <w:p w14:paraId="2D6B0228" w14:textId="7AFD12CA" w:rsidR="005074AB" w:rsidRPr="009064BC" w:rsidRDefault="005074AB" w:rsidP="006424FF">
      <w:pPr>
        <w:numPr>
          <w:ilvl w:val="0"/>
          <w:numId w:val="13"/>
        </w:numPr>
        <w:spacing w:after="162"/>
        <w:ind w:left="720" w:hanging="295"/>
        <w:jc w:val="both"/>
        <w:rPr>
          <w:rFonts w:cstheme="minorHAnsi"/>
        </w:rPr>
      </w:pPr>
      <w:r>
        <w:t>Įvado I skirsnyje „Dalykas“ į CTE I dalies 15 straipsnio nuorodą CTE pabaigoje įrašomas papildomas punktas, kurio tekstas yra toks:</w:t>
      </w:r>
    </w:p>
    <w:p w14:paraId="7D3E8D59" w14:textId="77777777" w:rsidR="005074AB" w:rsidRPr="009064BC" w:rsidRDefault="005074AB" w:rsidP="006424FF">
      <w:pPr>
        <w:ind w:left="709"/>
        <w:jc w:val="both"/>
        <w:rPr>
          <w:rFonts w:cstheme="minorHAnsi"/>
        </w:rPr>
      </w:pPr>
      <w:r>
        <w:t>„15.7. Pagrindinis HE 6 reikalavimas: Būtiniausi elektromobilių įkrovimo infrastruktūros įrenginiai.</w:t>
      </w:r>
    </w:p>
    <w:p w14:paraId="63C180D9" w14:textId="77777777" w:rsidR="005074AB" w:rsidRPr="009064BC" w:rsidRDefault="005074AB" w:rsidP="006424FF">
      <w:pPr>
        <w:ind w:left="709"/>
        <w:jc w:val="both"/>
        <w:rPr>
          <w:rFonts w:cstheme="minorHAnsi"/>
        </w:rPr>
      </w:pPr>
      <w:r>
        <w:t>Pastatuose turi būti būtiniausia infrastruktūra, leidžianti įkrauti elektromobilius.“</w:t>
      </w:r>
    </w:p>
    <w:p w14:paraId="2CCB9F35" w14:textId="1C8D3E4F" w:rsidR="001B0467" w:rsidRPr="009064BC" w:rsidRDefault="001B0467" w:rsidP="006424FF">
      <w:pPr>
        <w:numPr>
          <w:ilvl w:val="0"/>
          <w:numId w:val="13"/>
        </w:numPr>
        <w:ind w:left="720" w:hanging="294"/>
        <w:jc w:val="both"/>
        <w:rPr>
          <w:rFonts w:cstheme="minorHAnsi"/>
        </w:rPr>
      </w:pPr>
      <w:r>
        <w:t>Turinyje HE 5 skirsnio pavadinimas iš dalies keičiamas taip:</w:t>
      </w:r>
    </w:p>
    <w:p w14:paraId="7DC0F11B" w14:textId="4E9858DC" w:rsidR="001B0467" w:rsidRPr="009064BC" w:rsidRDefault="001B0467" w:rsidP="001B0467">
      <w:pPr>
        <w:pStyle w:val="ListParagraph"/>
        <w:ind w:left="709"/>
        <w:jc w:val="both"/>
        <w:rPr>
          <w:rFonts w:cstheme="minorHAnsi"/>
        </w:rPr>
      </w:pPr>
      <w:r>
        <w:t>„5 skirsnis. Mažiausia elektros energijos gamyba iš atsinaujinančiųjų išteklių.“</w:t>
      </w:r>
    </w:p>
    <w:p w14:paraId="1178E5DE" w14:textId="4953BECD" w:rsidR="005074AB" w:rsidRPr="009064BC" w:rsidRDefault="005074AB" w:rsidP="006424FF">
      <w:pPr>
        <w:numPr>
          <w:ilvl w:val="0"/>
          <w:numId w:val="13"/>
        </w:numPr>
        <w:ind w:left="720" w:hanging="294"/>
        <w:jc w:val="both"/>
        <w:rPr>
          <w:rFonts w:cstheme="minorHAnsi"/>
        </w:rPr>
      </w:pPr>
      <w:r>
        <w:t>Rodyklėje į 15 straipsnio nuorodą įtraukiamas papildomas punktas, kurio tekstas yra toks:</w:t>
      </w:r>
    </w:p>
    <w:p w14:paraId="661731BD" w14:textId="50DD66A3" w:rsidR="005074AB" w:rsidRPr="009064BC" w:rsidRDefault="00982E58" w:rsidP="00982E58">
      <w:pPr>
        <w:tabs>
          <w:tab w:val="left" w:pos="7938"/>
        </w:tabs>
        <w:ind w:left="1134" w:hanging="425"/>
        <w:contextualSpacing/>
        <w:jc w:val="both"/>
        <w:rPr>
          <w:rFonts w:cstheme="minorHAnsi"/>
        </w:rPr>
      </w:pPr>
      <w:r>
        <w:t>„HE 6 skirsnis. Būtiniausi elektromobilių įkrovimo infrastruktūros įrenginiai……………………………………………………………………………………..……………..</w:t>
      </w:r>
      <w:r>
        <w:tab/>
        <w:t>33</w:t>
      </w:r>
    </w:p>
    <w:p w14:paraId="22DC136D" w14:textId="3F812976" w:rsidR="005074AB" w:rsidRPr="009064BC" w:rsidRDefault="005074AB" w:rsidP="00982E58">
      <w:pPr>
        <w:numPr>
          <w:ilvl w:val="0"/>
          <w:numId w:val="10"/>
        </w:numPr>
        <w:tabs>
          <w:tab w:val="left" w:pos="7938"/>
        </w:tabs>
        <w:ind w:left="1134" w:hanging="425"/>
        <w:contextualSpacing/>
        <w:jc w:val="both"/>
        <w:rPr>
          <w:rFonts w:cstheme="minorHAnsi"/>
        </w:rPr>
      </w:pPr>
      <w:r>
        <w:t>Taikymo sritis........................................................................................</w:t>
      </w:r>
      <w:r>
        <w:tab/>
        <w:t>33</w:t>
      </w:r>
    </w:p>
    <w:p w14:paraId="6FE2086C" w14:textId="5F45FF18" w:rsidR="005074AB" w:rsidRPr="009064BC" w:rsidRDefault="005074AB" w:rsidP="00982E58">
      <w:pPr>
        <w:numPr>
          <w:ilvl w:val="0"/>
          <w:numId w:val="10"/>
        </w:numPr>
        <w:tabs>
          <w:tab w:val="left" w:pos="7938"/>
        </w:tabs>
        <w:ind w:left="1134" w:hanging="425"/>
        <w:contextualSpacing/>
        <w:jc w:val="both"/>
        <w:rPr>
          <w:rFonts w:cstheme="minorHAnsi"/>
        </w:rPr>
      </w:pPr>
      <w:r>
        <w:t>Reikalavimo aprašymas……………………………………………………………………</w:t>
      </w:r>
      <w:r>
        <w:tab/>
        <w:t>34</w:t>
      </w:r>
    </w:p>
    <w:p w14:paraId="4D6A108B" w14:textId="22D311C5" w:rsidR="005074AB" w:rsidRPr="009064BC" w:rsidRDefault="005074AB" w:rsidP="00982E58">
      <w:pPr>
        <w:numPr>
          <w:ilvl w:val="0"/>
          <w:numId w:val="10"/>
        </w:numPr>
        <w:tabs>
          <w:tab w:val="left" w:pos="7938"/>
        </w:tabs>
        <w:ind w:left="1134" w:hanging="425"/>
        <w:contextualSpacing/>
        <w:jc w:val="both"/>
        <w:rPr>
          <w:rFonts w:cstheme="minorHAnsi"/>
        </w:rPr>
      </w:pPr>
      <w:r>
        <w:t>Reikalavimo kiekybinis įvertinimas………………………………………………………………..34</w:t>
      </w:r>
    </w:p>
    <w:p w14:paraId="79098154" w14:textId="4DBE57AC" w:rsidR="005074AB" w:rsidRPr="009064BC" w:rsidRDefault="005074AB" w:rsidP="00982E58">
      <w:pPr>
        <w:numPr>
          <w:ilvl w:val="0"/>
          <w:numId w:val="10"/>
        </w:numPr>
        <w:tabs>
          <w:tab w:val="left" w:pos="7938"/>
        </w:tabs>
        <w:ind w:left="1134" w:hanging="425"/>
        <w:contextualSpacing/>
        <w:jc w:val="both"/>
        <w:rPr>
          <w:rFonts w:cstheme="minorHAnsi"/>
        </w:rPr>
      </w:pPr>
      <w:r>
        <w:t>Reikalavimo pagrindimas……………………………………………………………………</w:t>
      </w:r>
      <w:r>
        <w:tab/>
        <w:t>34</w:t>
      </w:r>
    </w:p>
    <w:p w14:paraId="7CB375BD" w14:textId="6AAED9BE" w:rsidR="005074AB" w:rsidRPr="009064BC" w:rsidRDefault="005074AB" w:rsidP="00982E58">
      <w:pPr>
        <w:numPr>
          <w:ilvl w:val="0"/>
          <w:numId w:val="10"/>
        </w:numPr>
        <w:tabs>
          <w:tab w:val="left" w:pos="7938"/>
        </w:tabs>
        <w:ind w:left="1134" w:hanging="425"/>
        <w:contextualSpacing/>
        <w:jc w:val="both"/>
        <w:rPr>
          <w:rFonts w:cstheme="minorHAnsi"/>
        </w:rPr>
      </w:pPr>
      <w:r>
        <w:t>Statyba, priežiūra ir remontas....................................................................</w:t>
      </w:r>
      <w:r w:rsidR="00574DB4">
        <w:rPr>
          <w:lang w:val="el-GR"/>
        </w:rPr>
        <w:t>.....</w:t>
      </w:r>
      <w:r>
        <w:t>..35</w:t>
      </w:r>
    </w:p>
    <w:p w14:paraId="0BB8C82D" w14:textId="09943AE3" w:rsidR="005074AB" w:rsidRPr="009064BC" w:rsidRDefault="006424FF" w:rsidP="00982E58">
      <w:pPr>
        <w:tabs>
          <w:tab w:val="left" w:pos="7938"/>
        </w:tabs>
        <w:ind w:left="1843" w:hanging="425"/>
        <w:contextualSpacing/>
        <w:jc w:val="both"/>
        <w:rPr>
          <w:rFonts w:cstheme="minorHAnsi"/>
        </w:rPr>
      </w:pPr>
      <w:r>
        <w:t>5.1.</w:t>
      </w:r>
      <w:r>
        <w:tab/>
        <w:t>Vykdymas……………………………………………………………………………………….</w:t>
      </w:r>
      <w:r>
        <w:tab/>
        <w:t>35</w:t>
      </w:r>
    </w:p>
    <w:p w14:paraId="4AE42B35" w14:textId="0F1D2EFE" w:rsidR="005074AB" w:rsidRPr="009064BC" w:rsidRDefault="005074AB" w:rsidP="00982E58">
      <w:pPr>
        <w:tabs>
          <w:tab w:val="left" w:pos="7938"/>
        </w:tabs>
        <w:ind w:left="1843" w:hanging="425"/>
        <w:contextualSpacing/>
        <w:jc w:val="both"/>
        <w:rPr>
          <w:rFonts w:cstheme="minorHAnsi"/>
        </w:rPr>
      </w:pPr>
      <w:r>
        <w:t>5.2.</w:t>
      </w:r>
      <w:r>
        <w:tab/>
        <w:t>Darbų vykdymo stebėjimas.....................................................................35</w:t>
      </w:r>
    </w:p>
    <w:p w14:paraId="2E5A6752" w14:textId="07B9D94A" w:rsidR="005074AB" w:rsidRPr="009064BC" w:rsidRDefault="005074AB" w:rsidP="00982E58">
      <w:pPr>
        <w:tabs>
          <w:tab w:val="left" w:pos="7938"/>
        </w:tabs>
        <w:ind w:left="1843" w:hanging="436"/>
        <w:contextualSpacing/>
        <w:jc w:val="both"/>
        <w:rPr>
          <w:rFonts w:cstheme="minorHAnsi"/>
        </w:rPr>
      </w:pPr>
      <w:r>
        <w:t>5.3.</w:t>
      </w:r>
      <w:r>
        <w:tab/>
        <w:t>Atlikto darbo patikrinimas...........................................................</w:t>
      </w:r>
      <w:r w:rsidR="00574DB4">
        <w:rPr>
          <w:lang w:val="el-GR"/>
        </w:rPr>
        <w:t>.............</w:t>
      </w:r>
      <w:r>
        <w:t>35</w:t>
      </w:r>
    </w:p>
    <w:p w14:paraId="5D3A912D" w14:textId="53B53B9D" w:rsidR="005074AB" w:rsidRPr="009064BC" w:rsidRDefault="005074AB" w:rsidP="00982E58">
      <w:pPr>
        <w:tabs>
          <w:tab w:val="left" w:pos="7938"/>
        </w:tabs>
        <w:ind w:left="1843" w:hanging="425"/>
        <w:contextualSpacing/>
        <w:jc w:val="both"/>
        <w:rPr>
          <w:rFonts w:cstheme="minorHAnsi"/>
        </w:rPr>
      </w:pPr>
      <w:r>
        <w:t>5.4.</w:t>
      </w:r>
      <w:r>
        <w:tab/>
        <w:t>Pastato priežiūra ir remontas......................................................</w:t>
      </w:r>
      <w:r w:rsidR="00574DB4">
        <w:rPr>
          <w:lang w:val="el-GR"/>
        </w:rPr>
        <w:t>............</w:t>
      </w:r>
      <w:r>
        <w:t>35“</w:t>
      </w:r>
    </w:p>
    <w:p w14:paraId="2AE043C4" w14:textId="77777777" w:rsidR="005074AB" w:rsidRPr="009064BC" w:rsidRDefault="005074AB" w:rsidP="005074AB">
      <w:pPr>
        <w:ind w:left="1418"/>
        <w:contextualSpacing/>
        <w:jc w:val="both"/>
        <w:rPr>
          <w:rFonts w:cstheme="minorHAnsi"/>
        </w:rPr>
      </w:pPr>
    </w:p>
    <w:p w14:paraId="3A1C5505" w14:textId="4B9D9EA3" w:rsidR="0026457E" w:rsidRDefault="0026457E" w:rsidP="0026457E">
      <w:pPr>
        <w:numPr>
          <w:ilvl w:val="0"/>
          <w:numId w:val="13"/>
        </w:numPr>
        <w:ind w:left="720" w:hanging="295"/>
        <w:jc w:val="both"/>
        <w:rPr>
          <w:rFonts w:cstheme="minorHAnsi"/>
        </w:rPr>
      </w:pPr>
      <w:r>
        <w:t>HE 0 skirsnio „Energijos suvartojimo ribos“ 4.1 skyriaus „Skaičiavimo tvarka“ 9 dalyje žodžiai „Pripažintas dokumentas“ pakeičiami žodžiais „Pripažintas pastatų energijos sertifikavimo dokumentas“.</w:t>
      </w:r>
    </w:p>
    <w:p w14:paraId="3222E360" w14:textId="2F90CB7E" w:rsidR="0067340E" w:rsidRPr="0067340E" w:rsidRDefault="006C16B4" w:rsidP="0026457E">
      <w:pPr>
        <w:numPr>
          <w:ilvl w:val="0"/>
          <w:numId w:val="13"/>
        </w:numPr>
        <w:ind w:left="720" w:hanging="295"/>
        <w:jc w:val="both"/>
        <w:rPr>
          <w:rFonts w:cstheme="minorHAnsi"/>
        </w:rPr>
      </w:pPr>
      <w:r>
        <w:t>HE 0 skirsnio „Energijos suvartojimo ribos“ 4.1 skyriaus „Skaičiavimo tvarka“ 9 dalis tampa 11 dalimi ir įterpiamos šios pastraipos:</w:t>
      </w:r>
    </w:p>
    <w:p w14:paraId="3392DEB4" w14:textId="73112890" w:rsidR="0067340E" w:rsidRDefault="0067340E" w:rsidP="0067340E">
      <w:pPr>
        <w:ind w:left="1134" w:hanging="425"/>
        <w:contextualSpacing/>
        <w:jc w:val="both"/>
        <w:rPr>
          <w:rFonts w:cstheme="minorHAnsi"/>
        </w:rPr>
      </w:pPr>
      <w:r>
        <w:t>„9.</w:t>
      </w:r>
      <w:r>
        <w:tab/>
        <w:t>Energijos balansas, reikalingas šio BD reikalavimams patikrinti, apskaičiuojamas pagal UNE-EN ISO 52000–1:2019: Bendras pastatų energinio naudingumo vertinimas. 1 dalis. Bendroji sistema ir procedūros, taikant eksporto veiksnį K</w:t>
      </w:r>
      <w:r>
        <w:rPr>
          <w:vertAlign w:val="subscript"/>
        </w:rPr>
        <w:t>exp</w:t>
      </w:r>
      <w:r>
        <w:t xml:space="preserve"> = 0.“</w:t>
      </w:r>
    </w:p>
    <w:p w14:paraId="744E1B50" w14:textId="4419E002" w:rsidR="00B233D0" w:rsidRDefault="00B233D0" w:rsidP="0026457E">
      <w:pPr>
        <w:ind w:left="1134" w:hanging="425"/>
        <w:jc w:val="both"/>
        <w:rPr>
          <w:rFonts w:cstheme="minorHAnsi"/>
        </w:rPr>
      </w:pPr>
      <w:r>
        <w:lastRenderedPageBreak/>
        <w:t>„10.</w:t>
      </w:r>
      <w:r>
        <w:tab/>
        <w:t>Skirstant įvairias paslaugas, vietoje pagamintos elektros energijos paskirstymas kiekvienu laiko intervalu apskaičiuojamas proporcingai elektros energijos suvartojimui (šildymas, vėsinimas, vėdinimas, ACS ir tretinis naudojimas, be to, apšvietimas).“</w:t>
      </w:r>
    </w:p>
    <w:p w14:paraId="78947690" w14:textId="66930B3C" w:rsidR="005074AB" w:rsidRPr="009064BC" w:rsidRDefault="005074AB" w:rsidP="0026457E">
      <w:pPr>
        <w:numPr>
          <w:ilvl w:val="0"/>
          <w:numId w:val="13"/>
        </w:numPr>
        <w:ind w:left="720" w:hanging="294"/>
        <w:jc w:val="both"/>
        <w:rPr>
          <w:rFonts w:cstheme="minorHAnsi"/>
        </w:rPr>
      </w:pPr>
      <w:r>
        <w:t>HE 1 skirsnio „Energijos poreikio kontrolės sąlygos“ 3.1.1 skyriuje „Pastato apvalkalo pralaidumas“ įterpiama ši pastraipa:</w:t>
      </w:r>
    </w:p>
    <w:p w14:paraId="729573A3" w14:textId="05413AE2" w:rsidR="005074AB" w:rsidRPr="009064BC" w:rsidRDefault="005074AB" w:rsidP="006424FF">
      <w:pPr>
        <w:ind w:left="1134" w:hanging="425"/>
        <w:jc w:val="both"/>
        <w:rPr>
          <w:rFonts w:cstheme="minorHAnsi"/>
        </w:rPr>
      </w:pPr>
      <w:r>
        <w:t>„6.</w:t>
      </w:r>
      <w:r>
        <w:tab/>
        <w:t>Kita vertus, pastatams arba, dalinio įsikišimo į esamus pastatus atveju, pastatų dalims, kurioms taikomos intervencinės priemonės ir kurių šildymo ir vėsinimo poreikis abiem atvejais yra mažesnis nei 15 kWh/m</w:t>
      </w:r>
      <w:r>
        <w:rPr>
          <w:vertAlign w:val="superscript"/>
        </w:rPr>
        <w:t>2</w:t>
      </w:r>
      <w:r>
        <w:t xml:space="preserve">, gali būti netaikomi reikalavimai, susiję su </w:t>
      </w:r>
      <w:r>
        <w:rPr>
          <w:i/>
          <w:iCs/>
        </w:rPr>
        <w:t>bendru šilumos perdavimo koeficientu per pastato apvalkalą (K)</w:t>
      </w:r>
      <w:r>
        <w:t>.“</w:t>
      </w:r>
    </w:p>
    <w:p w14:paraId="49941342" w14:textId="77777777" w:rsidR="00802B87" w:rsidRDefault="005074AB" w:rsidP="00802B87">
      <w:pPr>
        <w:numPr>
          <w:ilvl w:val="0"/>
          <w:numId w:val="13"/>
        </w:numPr>
        <w:ind w:left="709" w:hanging="283"/>
        <w:contextualSpacing/>
        <w:jc w:val="both"/>
        <w:rPr>
          <w:rFonts w:cstheme="minorHAnsi"/>
        </w:rPr>
      </w:pPr>
      <w:r>
        <w:t>HE 1 skirsnio „Energijos poreikio kontrolės sąlygos“ 3.1.3 skyriuje „Pastato apvalkalo pralaidumas orui“ įterpiama ši nauja 3 dalis:</w:t>
      </w:r>
    </w:p>
    <w:p w14:paraId="1D58DEB1" w14:textId="0D8F3294" w:rsidR="005074AB" w:rsidRPr="00802B87" w:rsidRDefault="005074AB" w:rsidP="00802B87">
      <w:pPr>
        <w:ind w:left="709"/>
        <w:contextualSpacing/>
        <w:jc w:val="both"/>
        <w:rPr>
          <w:rFonts w:cstheme="minorHAnsi"/>
        </w:rPr>
      </w:pPr>
      <w:r>
        <w:t xml:space="preserve">„Pakeitimų atveju 3.1.3.a-HE1 lentelė taikoma tik tiems </w:t>
      </w:r>
      <w:r>
        <w:rPr>
          <w:i/>
          <w:iCs/>
        </w:rPr>
        <w:t>pastato apvalkalo</w:t>
      </w:r>
      <w:r>
        <w:t xml:space="preserve"> elementams, kurie yra pakeisti, įtraukti arba iš esmės modifikuoti;“</w:t>
      </w:r>
    </w:p>
    <w:p w14:paraId="7563FEDE" w14:textId="74826D79" w:rsidR="005074AB" w:rsidRDefault="005074AB" w:rsidP="00836E07">
      <w:pPr>
        <w:ind w:left="709"/>
        <w:jc w:val="both"/>
        <w:rPr>
          <w:rFonts w:cstheme="minorHAnsi"/>
        </w:rPr>
      </w:pPr>
      <w:r>
        <w:t>3.1.3 skyriaus „Pastato apvalkalo pralaidumas orui“ dabartinių 3 ir 4 dalių numeracija atitinkamai pakeičiama į 4 ir 5 dalis.</w:t>
      </w:r>
    </w:p>
    <w:p w14:paraId="50F02663" w14:textId="6089A86E" w:rsidR="00E57D62" w:rsidRDefault="00E57D62" w:rsidP="0085697E">
      <w:pPr>
        <w:pStyle w:val="ListParagraph"/>
        <w:numPr>
          <w:ilvl w:val="0"/>
          <w:numId w:val="20"/>
        </w:numPr>
        <w:spacing w:line="257" w:lineRule="auto"/>
        <w:ind w:left="709" w:hanging="283"/>
        <w:contextualSpacing w:val="0"/>
        <w:jc w:val="both"/>
        <w:rPr>
          <w:rFonts w:cstheme="minorHAnsi"/>
        </w:rPr>
      </w:pPr>
      <w:r>
        <w:t>HE 3 skirsnyje „Apšvietimo įrangos sąlygos“ 3.1-HE3 lentelėje „Įrengimo efektyvumo ribinė vertė“ (VEEI</w:t>
      </w:r>
      <w:r>
        <w:rPr>
          <w:vertAlign w:val="subscript"/>
        </w:rPr>
        <w:t>lim</w:t>
      </w:r>
      <w:r>
        <w:t xml:space="preserve">) žodžiai „Parduotuvės ir mažos parduotuvės“ pakeičiami žodžiais „Parduotuvės ir mažos parduotuvės </w:t>
      </w:r>
      <w:r>
        <w:rPr>
          <w:rFonts w:ascii="Calibri" w:hAnsi="Calibri"/>
          <w:vertAlign w:val="subscript"/>
        </w:rPr>
        <w:t>(10)</w:t>
      </w:r>
      <w:r>
        <w:t>“ ir pridedama ši išnaša:</w:t>
      </w:r>
    </w:p>
    <w:p w14:paraId="149506FB" w14:textId="5E891A3B" w:rsidR="00C40409" w:rsidRDefault="00E57D62" w:rsidP="00C40409">
      <w:pPr>
        <w:pStyle w:val="ListParagraph"/>
        <w:spacing w:line="257" w:lineRule="auto"/>
        <w:ind w:left="709"/>
        <w:contextualSpacing w:val="0"/>
        <w:jc w:val="both"/>
        <w:rPr>
          <w:rFonts w:eastAsia="Arial" w:cstheme="minorHAnsi"/>
          <w:kern w:val="2"/>
          <w:szCs w:val="24"/>
        </w:rPr>
      </w:pPr>
      <w:r>
        <w:t>„</w:t>
      </w:r>
      <w:r>
        <w:rPr>
          <w:vertAlign w:val="superscript"/>
        </w:rPr>
        <w:t>(10)</w:t>
      </w:r>
      <w:r>
        <w:t xml:space="preserve"> Terminas „parduotuvė“ reiškia ir mažas nepriklausomas parduotuves, ir komercinio naudojimo dalį, kuri nėra paprastai naudojama prekybos centruose.“</w:t>
      </w:r>
    </w:p>
    <w:p w14:paraId="00451B2B" w14:textId="20875D3F" w:rsidR="00C40409" w:rsidRDefault="00C40409" w:rsidP="00154A68">
      <w:pPr>
        <w:pStyle w:val="ListParagraph"/>
        <w:numPr>
          <w:ilvl w:val="0"/>
          <w:numId w:val="20"/>
        </w:numPr>
        <w:spacing w:line="257" w:lineRule="auto"/>
        <w:ind w:left="709" w:hanging="283"/>
        <w:jc w:val="both"/>
        <w:rPr>
          <w:rFonts w:eastAsia="Arial" w:cstheme="minorHAnsi"/>
          <w:kern w:val="2"/>
          <w:szCs w:val="24"/>
        </w:rPr>
      </w:pPr>
      <w:r>
        <w:t>HE 4 skirsnio „Mažiausias atsinaujinančiųjų išteklių energijos indėlis siekiant patenkinti buitinio karšto vandens paklausą“ 2 skyriaus „Reikalavimo aprašymas“ 1 straipsnis išdėstomas taip:</w:t>
      </w:r>
    </w:p>
    <w:p w14:paraId="14B0818B" w14:textId="77777777" w:rsidR="00C40409" w:rsidRPr="00C40409" w:rsidRDefault="00C40409" w:rsidP="00C40409">
      <w:pPr>
        <w:pStyle w:val="ListParagraph"/>
        <w:spacing w:line="257" w:lineRule="auto"/>
        <w:ind w:left="709"/>
        <w:jc w:val="both"/>
        <w:rPr>
          <w:rFonts w:eastAsia="Arial" w:cstheme="minorHAnsi"/>
          <w:kern w:val="2"/>
          <w:szCs w:val="24"/>
          <w:lang w:eastAsia="zh-CN" w:bidi="hi-IN"/>
        </w:rPr>
      </w:pPr>
    </w:p>
    <w:p w14:paraId="4CC04391" w14:textId="1C9A9342" w:rsidR="00C40409" w:rsidRPr="00C40409" w:rsidRDefault="00C40409" w:rsidP="00C40409">
      <w:pPr>
        <w:pStyle w:val="ListParagraph"/>
        <w:spacing w:line="257" w:lineRule="auto"/>
        <w:ind w:left="1134" w:hanging="425"/>
        <w:contextualSpacing w:val="0"/>
        <w:jc w:val="both"/>
        <w:rPr>
          <w:rFonts w:eastAsia="Arial" w:cstheme="minorHAnsi"/>
          <w:kern w:val="2"/>
          <w:szCs w:val="24"/>
        </w:rPr>
      </w:pPr>
      <w:r>
        <w:t>„1.</w:t>
      </w:r>
      <w:r>
        <w:tab/>
        <w:t>Pastatai turi tenkinti poreikius, susijusius su AKS ir vandens šildymu šildomuose patalpų baseinuose, kuriuose plačiai naudojami kogeneracijos procesai arba atsinaujinančiųjų išteklių kogeneracijos procesai; arba sukuriami pačiame pastate, arba prijungus prie centralizuoto šildymo sistemos.“</w:t>
      </w:r>
    </w:p>
    <w:p w14:paraId="4E4E1F9B" w14:textId="2DA4132B" w:rsidR="00836E07" w:rsidRPr="00E57D62" w:rsidRDefault="00836E07" w:rsidP="009064BC">
      <w:pPr>
        <w:pStyle w:val="ListParagraph"/>
        <w:numPr>
          <w:ilvl w:val="0"/>
          <w:numId w:val="13"/>
        </w:numPr>
        <w:ind w:left="709" w:hanging="283"/>
        <w:contextualSpacing w:val="0"/>
        <w:jc w:val="both"/>
        <w:rPr>
          <w:rFonts w:cstheme="minorHAnsi"/>
        </w:rPr>
      </w:pPr>
      <w:r>
        <w:t>HE 5 skirsnio „Mažiausia elektros energijos gamyba“ pavadinimas tampa:</w:t>
      </w:r>
    </w:p>
    <w:p w14:paraId="1835914C" w14:textId="7892C477" w:rsidR="005074AB" w:rsidRPr="009064BC" w:rsidRDefault="00836E07" w:rsidP="006F5E38">
      <w:pPr>
        <w:pStyle w:val="ListParagraph"/>
        <w:ind w:left="709"/>
        <w:contextualSpacing w:val="0"/>
        <w:jc w:val="both"/>
        <w:rPr>
          <w:rFonts w:cstheme="minorHAnsi"/>
        </w:rPr>
      </w:pPr>
      <w:r>
        <w:t>„HE 5 skirsnis. Mažiausia elektros energijos gamyba iš atsinaujinančiųjų išteklių.“</w:t>
      </w:r>
    </w:p>
    <w:p w14:paraId="5A13D3D2" w14:textId="6E7AA8ED" w:rsidR="005074AB" w:rsidRPr="009064BC" w:rsidRDefault="005074AB" w:rsidP="00CC005A">
      <w:pPr>
        <w:numPr>
          <w:ilvl w:val="0"/>
          <w:numId w:val="13"/>
        </w:numPr>
        <w:ind w:left="720" w:hanging="294"/>
        <w:jc w:val="both"/>
        <w:rPr>
          <w:rFonts w:cstheme="minorHAnsi"/>
        </w:rPr>
      </w:pPr>
      <w:r>
        <w:t xml:space="preserve">HE 5 skirsnio „Mažiausia elektros energijos gamyba“ 1 skyrius „Taikymo sritis“ išdėstytas taip: </w:t>
      </w:r>
    </w:p>
    <w:p w14:paraId="45B1F681" w14:textId="77777777" w:rsidR="005074AB" w:rsidRPr="009064BC" w:rsidRDefault="005074AB" w:rsidP="00CC005A">
      <w:pPr>
        <w:ind w:left="1134" w:hanging="425"/>
        <w:jc w:val="both"/>
        <w:rPr>
          <w:rFonts w:cstheme="minorHAnsi"/>
        </w:rPr>
      </w:pPr>
      <w:r>
        <w:t>„1.</w:t>
      </w:r>
      <w:r>
        <w:tab/>
        <w:t xml:space="preserve">Šis skyrius taikomas šiais atvejais: </w:t>
      </w:r>
    </w:p>
    <w:p w14:paraId="10C39280" w14:textId="4335D1B7" w:rsidR="002F2BD0" w:rsidRPr="003934E5" w:rsidRDefault="005074AB" w:rsidP="002F2BD0">
      <w:pPr>
        <w:numPr>
          <w:ilvl w:val="0"/>
          <w:numId w:val="8"/>
        </w:numPr>
        <w:ind w:left="1418" w:hanging="284"/>
        <w:contextualSpacing/>
        <w:jc w:val="both"/>
        <w:rPr>
          <w:rFonts w:cstheme="minorHAnsi"/>
        </w:rPr>
      </w:pPr>
      <w:r>
        <w:t>naujai pastatytiems pastatams, kai pastatyta daugiau nei 1 000 m</w:t>
      </w:r>
      <w:r>
        <w:rPr>
          <w:vertAlign w:val="superscript"/>
        </w:rPr>
        <w:t>2</w:t>
      </w:r>
      <w:r>
        <w:t>;</w:t>
      </w:r>
    </w:p>
    <w:p w14:paraId="288E1AFC" w14:textId="6CE90E6C" w:rsidR="002F2BD0" w:rsidRPr="003934E5" w:rsidRDefault="002F2BD0" w:rsidP="002F2BD0">
      <w:pPr>
        <w:numPr>
          <w:ilvl w:val="0"/>
          <w:numId w:val="8"/>
        </w:numPr>
        <w:ind w:left="1418" w:hanging="284"/>
        <w:contextualSpacing/>
        <w:jc w:val="both"/>
        <w:rPr>
          <w:rFonts w:cstheme="minorHAnsi"/>
        </w:rPr>
      </w:pPr>
      <w:r>
        <w:t>esamų pastatų išplėtimams, kai pastato plotas padidėja daugiau nei 1 000 m</w:t>
      </w:r>
      <w:r>
        <w:rPr>
          <w:vertAlign w:val="superscript"/>
        </w:rPr>
        <w:t>2</w:t>
      </w:r>
      <w:r>
        <w:t>.</w:t>
      </w:r>
    </w:p>
    <w:p w14:paraId="647D0A9C" w14:textId="63F54BFD" w:rsidR="005074AB" w:rsidRPr="009064BC" w:rsidRDefault="005074AB" w:rsidP="005074AB">
      <w:pPr>
        <w:numPr>
          <w:ilvl w:val="0"/>
          <w:numId w:val="8"/>
        </w:numPr>
        <w:ind w:left="1418" w:hanging="284"/>
        <w:contextualSpacing/>
        <w:jc w:val="both"/>
        <w:rPr>
          <w:rFonts w:cstheme="minorHAnsi"/>
        </w:rPr>
      </w:pPr>
      <w:r>
        <w:t>esamiems pastatams, kurie yra visiškai atnaujinti arba kurių naudojimo paskirtis pasikeičia, kai jie viršija 1 000 m</w:t>
      </w:r>
      <w:r>
        <w:rPr>
          <w:vertAlign w:val="superscript"/>
        </w:rPr>
        <w:t>2</w:t>
      </w:r>
      <w:r>
        <w:t xml:space="preserve"> pastatyto paviršiaus ploto.</w:t>
      </w:r>
    </w:p>
    <w:p w14:paraId="2BDE8293" w14:textId="74B0ACD8" w:rsidR="001B0467" w:rsidRPr="003934E5" w:rsidRDefault="00D76296" w:rsidP="001B0467">
      <w:pPr>
        <w:ind w:left="1134"/>
        <w:jc w:val="both"/>
        <w:rPr>
          <w:rFonts w:cstheme="minorHAnsi"/>
        </w:rPr>
      </w:pPr>
      <w:r>
        <w:lastRenderedPageBreak/>
        <w:t xml:space="preserve">Laikoma, kad užstatyta teritorija apima pastato viduje esančių stovėjimo aikštelių paviršiaus plotą ir neapima bendrų lauko zonų.“ </w:t>
      </w:r>
    </w:p>
    <w:p w14:paraId="067F87BA" w14:textId="3B6D1449" w:rsidR="005074AB" w:rsidRPr="003934E5" w:rsidRDefault="001B0467" w:rsidP="001B0467">
      <w:pPr>
        <w:pStyle w:val="ListParagraph"/>
        <w:numPr>
          <w:ilvl w:val="0"/>
          <w:numId w:val="13"/>
        </w:numPr>
        <w:ind w:left="709" w:hanging="284"/>
        <w:contextualSpacing w:val="0"/>
        <w:jc w:val="both"/>
        <w:rPr>
          <w:rFonts w:cstheme="minorHAnsi"/>
        </w:rPr>
      </w:pPr>
      <w:r>
        <w:t>HE 5 skirsnio „Mažiausia elektros energijos gamyba“ 2 skyriaus „Reikalavimo apibūdinimas“ pirma pastraipa išdėstyta taip:</w:t>
      </w:r>
    </w:p>
    <w:p w14:paraId="477CF5F6" w14:textId="719B0DCE" w:rsidR="001B0467" w:rsidRPr="003934E5" w:rsidRDefault="003934E5" w:rsidP="003934E5">
      <w:pPr>
        <w:pStyle w:val="ListParagraph"/>
        <w:ind w:left="1134" w:hanging="425"/>
        <w:contextualSpacing w:val="0"/>
        <w:jc w:val="both"/>
        <w:rPr>
          <w:rFonts w:cstheme="minorHAnsi"/>
        </w:rPr>
      </w:pPr>
      <w:r>
        <w:t>„1.</w:t>
      </w:r>
      <w:r>
        <w:tab/>
        <w:t>Pastatuose turi būti elektros energijos gamybos iš atsinaujinančiųjų išteklių sistemos, skirtos savo reikmėms arba elektros energijos tinklui tiekti.“</w:t>
      </w:r>
    </w:p>
    <w:p w14:paraId="6586AED4" w14:textId="66518836" w:rsidR="005074AB" w:rsidRPr="003934E5" w:rsidRDefault="005074AB" w:rsidP="00262992">
      <w:pPr>
        <w:pStyle w:val="ListParagraph"/>
        <w:numPr>
          <w:ilvl w:val="0"/>
          <w:numId w:val="13"/>
        </w:numPr>
        <w:ind w:left="709" w:hanging="283"/>
        <w:jc w:val="both"/>
        <w:rPr>
          <w:rFonts w:cstheme="minorHAnsi"/>
        </w:rPr>
      </w:pPr>
      <w:r>
        <w:t>HE 5 skirsnio „Mažiausia elektros energijos gamyba“ 3 skyrius „Reikalavimo kiekybinis įvertinimas“ išdėstytas taip:</w:t>
      </w:r>
    </w:p>
    <w:p w14:paraId="7AEDE70F" w14:textId="4971BFFF" w:rsidR="005074AB" w:rsidRPr="003934E5" w:rsidRDefault="005074AB" w:rsidP="00CC005A">
      <w:pPr>
        <w:spacing w:before="60"/>
        <w:ind w:left="1134" w:hanging="425"/>
        <w:jc w:val="both"/>
        <w:rPr>
          <w:rFonts w:eastAsia="Arial" w:cstheme="minorHAnsi"/>
          <w:kern w:val="2"/>
          <w:szCs w:val="24"/>
        </w:rPr>
      </w:pPr>
      <w:r>
        <w:t>„1.</w:t>
      </w:r>
      <w:r>
        <w:tab/>
        <w:t xml:space="preserve">Mažiausia </w:t>
      </w:r>
      <w:r>
        <w:rPr>
          <w:i/>
        </w:rPr>
        <w:t>galia įrengti</w:t>
      </w:r>
      <w:r>
        <w:t xml:space="preserve"> P</w:t>
      </w:r>
      <w:r>
        <w:rPr>
          <w:vertAlign w:val="subscript"/>
        </w:rPr>
        <w:t>min</w:t>
      </w:r>
      <w:r>
        <w:t xml:space="preserve"> turi būti mažiausia iš šių dviejų lygčių rezultatų: </w:t>
      </w:r>
    </w:p>
    <w:p w14:paraId="13C627CF" w14:textId="4FFC04B6" w:rsidR="005074AB" w:rsidRPr="003934E5" w:rsidRDefault="001E31F3" w:rsidP="005074AB">
      <w:pPr>
        <w:spacing w:before="60"/>
        <w:ind w:left="2127" w:hanging="993"/>
        <w:jc w:val="both"/>
        <w:rPr>
          <w:rFonts w:eastAsia="Arial" w:cstheme="minorHAnsi"/>
          <w:kern w:val="2"/>
          <w:szCs w:val="24"/>
        </w:rPr>
      </w:pPr>
      <w:r>
        <w:t>P</w:t>
      </w:r>
      <w:r>
        <w:rPr>
          <w:vertAlign w:val="subscript"/>
        </w:rPr>
        <w:t>1</w:t>
      </w:r>
      <w:r>
        <w:t xml:space="preserve"> = F</w:t>
      </w:r>
      <w:r>
        <w:rPr>
          <w:vertAlign w:val="subscript"/>
        </w:rPr>
        <w:t>pr;el</w:t>
      </w:r>
      <w:r>
        <w:t>· S</w:t>
      </w:r>
    </w:p>
    <w:p w14:paraId="667B6FED" w14:textId="0FB9ED9C" w:rsidR="001E31F3" w:rsidRPr="008E713D" w:rsidRDefault="001E31F3" w:rsidP="005074AB">
      <w:pPr>
        <w:spacing w:before="60"/>
        <w:ind w:left="2127" w:hanging="993"/>
        <w:jc w:val="both"/>
        <w:rPr>
          <w:rFonts w:eastAsia="Arial" w:cstheme="minorHAnsi"/>
          <w:kern w:val="2"/>
          <w:szCs w:val="24"/>
        </w:rPr>
      </w:pPr>
      <w:r>
        <w:t>P</w:t>
      </w:r>
      <w:r>
        <w:rPr>
          <w:vertAlign w:val="subscript"/>
        </w:rPr>
        <w:t>2</w:t>
      </w:r>
      <w:r>
        <w:t xml:space="preserve"> = 0,1· (0,5· S</w:t>
      </w:r>
      <w:r>
        <w:rPr>
          <w:vertAlign w:val="subscript"/>
        </w:rPr>
        <w:t>c</w:t>
      </w:r>
      <w:r>
        <w:t xml:space="preserve"> – S</w:t>
      </w:r>
      <w:r>
        <w:rPr>
          <w:vertAlign w:val="subscript"/>
        </w:rPr>
        <w:t>oc</w:t>
      </w:r>
      <w:r>
        <w:t>)</w:t>
      </w:r>
    </w:p>
    <w:p w14:paraId="33F1DF55" w14:textId="77777777" w:rsidR="005074AB" w:rsidRPr="00C249FB" w:rsidRDefault="005074AB" w:rsidP="005074AB">
      <w:pPr>
        <w:spacing w:before="60"/>
        <w:ind w:left="1134"/>
        <w:jc w:val="both"/>
        <w:rPr>
          <w:rFonts w:eastAsia="Arial" w:cstheme="minorHAnsi"/>
          <w:kern w:val="2"/>
          <w:szCs w:val="24"/>
        </w:rPr>
      </w:pPr>
      <w:r>
        <w:t>kur:</w:t>
      </w:r>
    </w:p>
    <w:p w14:paraId="61117D05" w14:textId="670BE156" w:rsidR="005074AB" w:rsidRDefault="005074AB" w:rsidP="005074AB">
      <w:pPr>
        <w:spacing w:before="60"/>
        <w:ind w:left="2126" w:hanging="567"/>
        <w:contextualSpacing/>
        <w:jc w:val="both"/>
        <w:rPr>
          <w:rFonts w:eastAsia="Arial" w:cstheme="minorHAnsi"/>
          <w:kern w:val="2"/>
          <w:szCs w:val="24"/>
        </w:rPr>
      </w:pPr>
      <w:r>
        <w:t>P</w:t>
      </w:r>
      <w:r>
        <w:rPr>
          <w:vertAlign w:val="subscript"/>
        </w:rPr>
        <w:t>min</w:t>
      </w:r>
      <w:r>
        <w:tab/>
      </w:r>
      <w:r>
        <w:rPr>
          <w:i/>
        </w:rPr>
        <w:t xml:space="preserve">galia įrengti </w:t>
      </w:r>
      <w:r>
        <w:t>[kW];</w:t>
      </w:r>
    </w:p>
    <w:p w14:paraId="4DD09CC6" w14:textId="0B7C6032" w:rsidR="00D45636" w:rsidRPr="003934E5" w:rsidRDefault="00D45636" w:rsidP="005074AB">
      <w:pPr>
        <w:spacing w:before="60"/>
        <w:ind w:left="2126" w:hanging="567"/>
        <w:contextualSpacing/>
        <w:jc w:val="both"/>
        <w:rPr>
          <w:rFonts w:eastAsia="Arial" w:cstheme="minorHAnsi"/>
          <w:kern w:val="2"/>
          <w:szCs w:val="24"/>
        </w:rPr>
      </w:pPr>
      <w:r>
        <w:t>F</w:t>
      </w:r>
      <w:r>
        <w:rPr>
          <w:vertAlign w:val="subscript"/>
        </w:rPr>
        <w:t>pr;el</w:t>
      </w:r>
      <w:r>
        <w:tab/>
        <w:t>elektros energijos generavimo koeficientas, kurio vertė yra 0,005 privačių gyvenamųjų būstų naudojimui ir 0,010 kitam naudojimui [kW/m</w:t>
      </w:r>
      <w:r>
        <w:rPr>
          <w:vertAlign w:val="superscript"/>
        </w:rPr>
        <w:t>2</w:t>
      </w:r>
      <w:r>
        <w:t>];</w:t>
      </w:r>
    </w:p>
    <w:p w14:paraId="76F60B0B" w14:textId="4CB9482B" w:rsidR="005074AB" w:rsidRPr="003934E5" w:rsidRDefault="005074AB" w:rsidP="005074AB">
      <w:pPr>
        <w:spacing w:before="60"/>
        <w:ind w:left="2126" w:hanging="567"/>
        <w:contextualSpacing/>
        <w:jc w:val="both"/>
        <w:rPr>
          <w:rFonts w:eastAsia="Arial" w:cstheme="minorHAnsi"/>
          <w:kern w:val="2"/>
          <w:szCs w:val="24"/>
        </w:rPr>
      </w:pPr>
      <w:r>
        <w:t>S</w:t>
      </w:r>
      <w:r>
        <w:tab/>
        <w:t>pastato užstatyto ploto paviršius [m</w:t>
      </w:r>
      <w:r>
        <w:rPr>
          <w:vertAlign w:val="superscript"/>
        </w:rPr>
        <w:t>2</w:t>
      </w:r>
      <w:r>
        <w:t>];</w:t>
      </w:r>
    </w:p>
    <w:p w14:paraId="22E0EB96" w14:textId="1BEA5C90" w:rsidR="00262992" w:rsidRPr="003934E5" w:rsidRDefault="00262992" w:rsidP="00262992">
      <w:pPr>
        <w:spacing w:before="60"/>
        <w:ind w:left="2126" w:hanging="567"/>
        <w:contextualSpacing/>
        <w:jc w:val="both"/>
        <w:rPr>
          <w:rFonts w:cstheme="minorHAnsi"/>
        </w:rPr>
      </w:pPr>
      <w:r>
        <w:t>S</w:t>
      </w:r>
      <w:r>
        <w:rPr>
          <w:vertAlign w:val="subscript"/>
        </w:rPr>
        <w:t>c</w:t>
      </w:r>
      <w:r>
        <w:tab/>
        <w:t>ne eismo stogo paviršiaus plotas arba prieinamas tik priežiūrai [m</w:t>
      </w:r>
      <w:r>
        <w:rPr>
          <w:vertAlign w:val="superscript"/>
        </w:rPr>
        <w:t>2</w:t>
      </w:r>
      <w:r>
        <w:t>];</w:t>
      </w:r>
    </w:p>
    <w:p w14:paraId="3D939F32" w14:textId="65BA2EC5" w:rsidR="00A515D1" w:rsidRPr="009064BC" w:rsidRDefault="00262992" w:rsidP="00262992">
      <w:pPr>
        <w:spacing w:before="60"/>
        <w:ind w:left="2127" w:hanging="567"/>
        <w:jc w:val="both"/>
        <w:rPr>
          <w:rFonts w:eastAsia="Arial" w:cstheme="minorHAnsi"/>
          <w:kern w:val="2"/>
          <w:szCs w:val="24"/>
        </w:rPr>
      </w:pPr>
      <w:r>
        <w:t>S</w:t>
      </w:r>
      <w:r>
        <w:rPr>
          <w:vertAlign w:val="subscript"/>
        </w:rPr>
        <w:t>oc</w:t>
      </w:r>
      <w:r>
        <w:tab/>
        <w:t>ne eismo stogo paviršiaus plotas arba prieinamas tik įrengtiems saulės energijos kolektoriams prižiūrėti [m</w:t>
      </w:r>
      <w:r>
        <w:rPr>
          <w:vertAlign w:val="superscript"/>
        </w:rPr>
        <w:t>2</w:t>
      </w:r>
      <w:r>
        <w:t>].</w:t>
      </w:r>
    </w:p>
    <w:p w14:paraId="539F8AB0" w14:textId="583A6FA1" w:rsidR="005074AB" w:rsidRPr="009064BC" w:rsidRDefault="007769F1" w:rsidP="00CC005A">
      <w:pPr>
        <w:ind w:left="1134" w:hanging="425"/>
        <w:jc w:val="both"/>
        <w:rPr>
          <w:rFonts w:eastAsia="Arial" w:cstheme="minorHAnsi"/>
          <w:kern w:val="2"/>
          <w:szCs w:val="24"/>
        </w:rPr>
      </w:pPr>
      <w:r>
        <w:t>2</w:t>
      </w:r>
      <w:r>
        <w:tab/>
        <w:t xml:space="preserve">Pastatuose, kuriuose dėl miesto ar architektūrinių priežasčių arba dėl to, kad jie yra oficialiai saugomi pastatai, kuriuose nepakeičiamus elementus nustato oficialią apsaugą suteikianti institucija, negalima pasiekti mažiausios </w:t>
      </w:r>
      <w:r>
        <w:rPr>
          <w:i/>
        </w:rPr>
        <w:t>galios įrengti</w:t>
      </w:r>
      <w:r>
        <w:t>, šis negalėjimas pagrindžiamas analizuojant įvairias alternatyvas ir priimamas sprendimas, kuriuo pasiekiama didžiausia galima įrengtoji galia.“</w:t>
      </w:r>
    </w:p>
    <w:p w14:paraId="2A986A64" w14:textId="7E05FC12" w:rsidR="005074AB" w:rsidRPr="003934E5" w:rsidRDefault="005074AB" w:rsidP="009064BC">
      <w:pPr>
        <w:pStyle w:val="ListParagraph"/>
        <w:numPr>
          <w:ilvl w:val="0"/>
          <w:numId w:val="13"/>
        </w:numPr>
        <w:spacing w:before="60"/>
        <w:ind w:left="709" w:hanging="283"/>
        <w:jc w:val="both"/>
        <w:rPr>
          <w:rFonts w:eastAsia="Arial" w:cstheme="minorHAnsi"/>
          <w:kern w:val="2"/>
          <w:szCs w:val="24"/>
        </w:rPr>
      </w:pPr>
      <w:r>
        <w:t>HE 5 skirsnio „Mažiausia elektros energijos gamyba“ 4 skyrius „Reikalavimo pagrindimas“ papildomas taip:</w:t>
      </w:r>
    </w:p>
    <w:p w14:paraId="1F522FCD" w14:textId="0464CEFA" w:rsidR="005074AB" w:rsidRPr="003934E5" w:rsidRDefault="00CC005A" w:rsidP="00982E58">
      <w:pPr>
        <w:ind w:left="1134" w:hanging="425"/>
        <w:jc w:val="both"/>
        <w:rPr>
          <w:rFonts w:cstheme="minorHAnsi"/>
        </w:rPr>
      </w:pPr>
      <w:r>
        <w:t>c)</w:t>
      </w:r>
      <w:r>
        <w:tab/>
        <w:t xml:space="preserve">jei reikia, priežastys, neleidžiančios pasiekti mažiausios būtinos </w:t>
      </w:r>
      <w:r>
        <w:rPr>
          <w:i/>
        </w:rPr>
        <w:t>galios įrengti</w:t>
      </w:r>
      <w:r>
        <w:t>, alternatyvų analizė ir sprendimas, priimtas siekiant didžiausios įrengtosios galios.“</w:t>
      </w:r>
    </w:p>
    <w:p w14:paraId="2F009607" w14:textId="478B8572" w:rsidR="005074AB" w:rsidRPr="003934E5" w:rsidRDefault="005074AB" w:rsidP="009064BC">
      <w:pPr>
        <w:pStyle w:val="ListParagraph"/>
        <w:numPr>
          <w:ilvl w:val="0"/>
          <w:numId w:val="13"/>
        </w:numPr>
        <w:ind w:left="709" w:hanging="283"/>
        <w:jc w:val="both"/>
        <w:rPr>
          <w:rFonts w:cstheme="minorHAnsi"/>
        </w:rPr>
      </w:pPr>
      <w:r>
        <w:t>A priede „Terminologija“ atliekami šie pakeitimai:</w:t>
      </w:r>
    </w:p>
    <w:p w14:paraId="44885A1E" w14:textId="0F9B0783" w:rsidR="005074AB" w:rsidRPr="009064BC" w:rsidRDefault="005074AB" w:rsidP="005074AB">
      <w:pPr>
        <w:ind w:left="709" w:hanging="142"/>
        <w:jc w:val="both"/>
        <w:rPr>
          <w:rFonts w:cstheme="minorHAnsi"/>
        </w:rPr>
      </w:pPr>
      <w:r>
        <w:t>– Termino „Saulės energijos reguliavimas (q</w:t>
      </w:r>
      <w:r>
        <w:rPr>
          <w:vertAlign w:val="subscript"/>
        </w:rPr>
        <w:t>sol;jul</w:t>
      </w:r>
      <w:r>
        <w:t>)“ apibrėžtyje formulės „H</w:t>
      </w:r>
      <w:r>
        <w:rPr>
          <w:vertAlign w:val="subscript"/>
        </w:rPr>
        <w:t>sol;jul</w:t>
      </w:r>
      <w:r>
        <w:t>“ komponento apibrėžties gale taškas pakeičiamas kabliataškiu, o kito formulės komponento apibrėžtis papildoma taip:</w:t>
      </w:r>
    </w:p>
    <w:p w14:paraId="3DF606FE" w14:textId="65F10CC5" w:rsidR="005074AB" w:rsidRPr="009064BC" w:rsidRDefault="005074AB" w:rsidP="00A5780E">
      <w:pPr>
        <w:ind w:left="709"/>
        <w:jc w:val="both"/>
        <w:rPr>
          <w:rFonts w:cstheme="minorHAnsi"/>
        </w:rPr>
      </w:pPr>
      <w:r>
        <w:t>„A</w:t>
      </w:r>
      <w:r>
        <w:rPr>
          <w:vertAlign w:val="subscript"/>
        </w:rPr>
        <w:t>util</w:t>
      </w:r>
      <w:r>
        <w:t>sritis, kuri laikoma atitinkančia HE 0 4.6 skirsnį.“</w:t>
      </w:r>
    </w:p>
    <w:p w14:paraId="22770CCD" w14:textId="56BB680A" w:rsidR="005074AB" w:rsidRPr="009064BC" w:rsidRDefault="005074AB" w:rsidP="005074AB">
      <w:pPr>
        <w:ind w:left="709" w:hanging="142"/>
        <w:jc w:val="both"/>
        <w:rPr>
          <w:rFonts w:cstheme="minorHAnsi"/>
        </w:rPr>
      </w:pPr>
      <w:r>
        <w:t xml:space="preserve">– Termino „galutinė energija“ apibrėžtyje žodžiai „Tai yra tai, ką vartotojai perka kaip elektros energiją, kurą arba kitą tiesiogiai naudojamą kurą“ pakeičiami žodžiais „Tai yra tai, kas tiekiama pastato sistemoms, kad būtų galima teikti paslaugas. Šis tiekimas </w:t>
      </w:r>
      <w:r>
        <w:lastRenderedPageBreak/>
        <w:t>paprastai vykdomas naudojant kurą, gamybą vietoje arba specialius tinklus (elektros energijos, dujų, šilumos ar vėsinimo tiekimo ir t. t.)“.</w:t>
      </w:r>
    </w:p>
    <w:p w14:paraId="4C32D5BC" w14:textId="77777777" w:rsidR="005074AB" w:rsidRPr="009064BC" w:rsidRDefault="005074AB" w:rsidP="005074AB">
      <w:pPr>
        <w:ind w:left="709" w:hanging="142"/>
        <w:jc w:val="both"/>
        <w:rPr>
          <w:rFonts w:cstheme="minorHAnsi"/>
        </w:rPr>
      </w:pPr>
      <w:r>
        <w:t>– Termino „šilumos praleidimo koeficientas (U)“ apibrėžties pabaigoje įrašomas šis sakinys:</w:t>
      </w:r>
    </w:p>
    <w:p w14:paraId="553E6F27" w14:textId="77777777" w:rsidR="005074AB" w:rsidRPr="009064BC" w:rsidRDefault="005074AB" w:rsidP="00A5780E">
      <w:pPr>
        <w:ind w:left="709"/>
        <w:jc w:val="both"/>
        <w:rPr>
          <w:rFonts w:cstheme="minorHAnsi"/>
        </w:rPr>
      </w:pPr>
      <w:r>
        <w:t>„Išreikšta W/m</w:t>
      </w:r>
      <w:r>
        <w:rPr>
          <w:vertAlign w:val="superscript"/>
        </w:rPr>
        <w:t>2</w:t>
      </w:r>
      <w:r>
        <w:t>K.“</w:t>
      </w:r>
    </w:p>
    <w:p w14:paraId="573B0D8C" w14:textId="4E8B3B75" w:rsidR="005074AB" w:rsidRPr="009064BC" w:rsidRDefault="005074AB" w:rsidP="009064BC">
      <w:pPr>
        <w:pStyle w:val="ListParagraph"/>
        <w:numPr>
          <w:ilvl w:val="0"/>
          <w:numId w:val="13"/>
        </w:numPr>
        <w:ind w:left="709" w:hanging="283"/>
        <w:jc w:val="both"/>
        <w:rPr>
          <w:rFonts w:cstheme="minorHAnsi"/>
        </w:rPr>
      </w:pPr>
      <w:r>
        <w:t>Į A priedą „Terminologija“ įtraukti šie terminai:</w:t>
      </w:r>
    </w:p>
    <w:p w14:paraId="0F83A0A9" w14:textId="31436021" w:rsidR="005074AB" w:rsidRPr="003934E5" w:rsidRDefault="005074AB" w:rsidP="00CC005A">
      <w:pPr>
        <w:spacing w:before="200" w:after="120" w:line="240" w:lineRule="auto"/>
        <w:ind w:left="709"/>
        <w:jc w:val="both"/>
        <w:rPr>
          <w:rFonts w:eastAsia="Arial" w:cstheme="minorHAnsi"/>
          <w:kern w:val="2"/>
          <w:szCs w:val="24"/>
        </w:rPr>
      </w:pPr>
      <w:r>
        <w:t>„</w:t>
      </w:r>
      <w:r>
        <w:rPr>
          <w:b/>
          <w:i/>
        </w:rPr>
        <w:t>Pagalbinė įranga</w:t>
      </w:r>
      <w:r>
        <w:t xml:space="preserve"> – elektros arba elektroninė įranga, susijusi su šviesa, skirtinga kiekvienam </w:t>
      </w:r>
      <w:r>
        <w:rPr>
          <w:i/>
          <w:iCs/>
        </w:rPr>
        <w:t>šviesos</w:t>
      </w:r>
      <w:r>
        <w:t xml:space="preserve"> tipui, kurios funkcija yra uždegimas ir veikimo sąlygų valdymas. Šią pagalbinę įrangą, nebent ji yra elektroninė, sudaro starteris, balastinis įtaisas ir kondensatorius.</w:t>
      </w:r>
    </w:p>
    <w:p w14:paraId="47B71CFB" w14:textId="447664D0" w:rsidR="005074AB" w:rsidRPr="00431D05" w:rsidRDefault="00547307" w:rsidP="00CC005A">
      <w:pPr>
        <w:spacing w:before="200" w:after="100" w:line="240" w:lineRule="auto"/>
        <w:ind w:left="709"/>
        <w:jc w:val="both"/>
        <w:rPr>
          <w:rFonts w:eastAsia="Arial" w:cstheme="minorHAnsi"/>
          <w:bCs/>
          <w:iCs/>
          <w:kern w:val="2"/>
        </w:rPr>
      </w:pPr>
      <w:r>
        <w:t>„</w:t>
      </w:r>
      <w:r>
        <w:rPr>
          <w:b/>
          <w:i/>
        </w:rPr>
        <w:t>Įkrovimo stotelė</w:t>
      </w:r>
      <w:r>
        <w:t xml:space="preserve"> – elementų rinkinys, būtinas</w:t>
      </w:r>
      <w:r>
        <w:rPr>
          <w:i/>
        </w:rPr>
        <w:t xml:space="preserve"> elektromobiliui</w:t>
      </w:r>
      <w:r>
        <w:t xml:space="preserve"> prijungti prie įkrovimui reikalingos stacionarios elektros įrangos. </w:t>
      </w:r>
      <w:r>
        <w:rPr>
          <w:i/>
        </w:rPr>
        <w:t>Įkrovimo stotelės</w:t>
      </w:r>
      <w:r>
        <w:t xml:space="preserve"> klasifikuojamos kaip:</w:t>
      </w:r>
    </w:p>
    <w:p w14:paraId="56DF9BC1" w14:textId="77777777" w:rsidR="005074AB" w:rsidRPr="00431D05" w:rsidRDefault="005074AB" w:rsidP="005074AB">
      <w:pPr>
        <w:spacing w:before="200" w:after="100" w:line="240" w:lineRule="auto"/>
        <w:ind w:left="1418" w:hanging="284"/>
        <w:jc w:val="both"/>
        <w:rPr>
          <w:rFonts w:eastAsia="Arial" w:cstheme="minorHAnsi"/>
          <w:bCs/>
          <w:iCs/>
          <w:kern w:val="2"/>
        </w:rPr>
      </w:pPr>
      <w:r>
        <w:t>1.</w:t>
      </w:r>
      <w:r>
        <w:tab/>
        <w:t xml:space="preserve">Atskiras įkrovimo punktas, kurį sudaro būtinos apsaugos priemonės, vienas ar daugiau kištukinių lizdų, kurie nėra būdingi </w:t>
      </w:r>
      <w:r>
        <w:rPr>
          <w:i/>
          <w:iCs/>
        </w:rPr>
        <w:t>elektromobiliui</w:t>
      </w:r>
      <w:r>
        <w:t>, ir, jei taikoma, apvalkalas.</w:t>
      </w:r>
    </w:p>
    <w:p w14:paraId="5B671B65" w14:textId="3FFFFEF0" w:rsidR="005074AB" w:rsidRPr="00431D05" w:rsidRDefault="005074AB" w:rsidP="005074AB">
      <w:pPr>
        <w:spacing w:before="200" w:after="100" w:line="240" w:lineRule="auto"/>
        <w:ind w:left="1418" w:hanging="284"/>
        <w:jc w:val="both"/>
        <w:rPr>
          <w:rFonts w:eastAsia="Arial" w:cstheme="minorHAnsi"/>
          <w:b/>
          <w:bCs/>
          <w:i/>
          <w:iCs/>
          <w:kern w:val="2"/>
        </w:rPr>
      </w:pPr>
      <w:r>
        <w:t>2.</w:t>
      </w:r>
      <w:r>
        <w:tab/>
        <w:t xml:space="preserve">SAVE </w:t>
      </w:r>
      <w:r>
        <w:rPr>
          <w:i/>
        </w:rPr>
        <w:t>(Speciali elektromobilio elektros energijos tiekimo sistema)</w:t>
      </w:r>
      <w:r>
        <w:t xml:space="preserve"> tipo įkrovimo prieiga.“</w:t>
      </w:r>
    </w:p>
    <w:p w14:paraId="1D92DB31" w14:textId="44506109" w:rsidR="005074AB" w:rsidRPr="003934E5" w:rsidRDefault="00547307" w:rsidP="00CC005A">
      <w:pPr>
        <w:spacing w:before="200" w:after="100" w:line="240" w:lineRule="auto"/>
        <w:ind w:left="709"/>
        <w:jc w:val="both"/>
        <w:rPr>
          <w:rFonts w:eastAsia="Arial" w:cstheme="minorHAnsi"/>
          <w:kern w:val="2"/>
        </w:rPr>
      </w:pPr>
      <w:r>
        <w:t>„</w:t>
      </w:r>
      <w:r>
        <w:rPr>
          <w:b/>
          <w:i/>
        </w:rPr>
        <w:t>Elektromobilių įkrovimo infrastruktūra –</w:t>
      </w:r>
      <w:r>
        <w:t xml:space="preserve"> fizinių ir loginių įtaisų, skirtų </w:t>
      </w:r>
      <w:r>
        <w:rPr>
          <w:i/>
        </w:rPr>
        <w:t xml:space="preserve">elektromobiliams </w:t>
      </w:r>
      <w:r>
        <w:t xml:space="preserve">įkrauti, rinkinys, atitinkantis saugos ir prieinamumo reikalavimus, kiekvienu atveju numatytus Žemos įtampos elektrotechnikos reglamente, galintis teikti visą ir visapusišką įkrovimo paslaugą. Ji apima </w:t>
      </w:r>
      <w:r>
        <w:rPr>
          <w:i/>
        </w:rPr>
        <w:t>įkrovimo stoteles</w:t>
      </w:r>
      <w:r>
        <w:t>, valdymo sistemą, elektros kabelių izoliacinius vamzdžius, elektros valdymo ir apsaugos skydus bei matavimo įrangą, kai jie skirti tik elektromobiliams įkrauti.“</w:t>
      </w:r>
    </w:p>
    <w:p w14:paraId="5C699291" w14:textId="5BE34863" w:rsidR="005074AB" w:rsidRPr="003934E5" w:rsidRDefault="00547307" w:rsidP="00547307">
      <w:pPr>
        <w:spacing w:before="200" w:after="100" w:line="240" w:lineRule="auto"/>
        <w:ind w:left="709"/>
        <w:jc w:val="both"/>
        <w:rPr>
          <w:rFonts w:eastAsia="Arial" w:cstheme="minorHAnsi"/>
          <w:kern w:val="2"/>
        </w:rPr>
      </w:pPr>
      <w:r>
        <w:t>„</w:t>
      </w:r>
      <w:r>
        <w:rPr>
          <w:b/>
          <w:i/>
        </w:rPr>
        <w:t>Speciali elektromobilio elektros energijos sistema (SAVE)</w:t>
      </w:r>
      <w:r>
        <w:t xml:space="preserve"> – įrangos, sumontuotos elektros energijai tiekti, rinkinys </w:t>
      </w:r>
      <w:r>
        <w:rPr>
          <w:i/>
        </w:rPr>
        <w:t>elektromobiliui įkrauti</w:t>
      </w:r>
      <w:r>
        <w:t xml:space="preserve">, įskaitant įkrovimo stotelės apsaugą, prijungimo kabelį (su fazės, neutraliais ir apsaugos laidininkais), kištukinio lizdo pagrindą arba jungtį ir, jei taikoma, kintamosios srovės keitiklį. Ši sistema prireikus turi leisti palaikyti ryšį tarp </w:t>
      </w:r>
      <w:r>
        <w:rPr>
          <w:i/>
        </w:rPr>
        <w:t>elektromobilio</w:t>
      </w:r>
      <w:r>
        <w:t xml:space="preserve"> ir stacionarios įrangos.“</w:t>
      </w:r>
    </w:p>
    <w:p w14:paraId="5928BE95" w14:textId="4E74D790" w:rsidR="005074AB" w:rsidRPr="003934E5" w:rsidRDefault="00547307" w:rsidP="00CC005A">
      <w:pPr>
        <w:spacing w:before="200" w:after="100" w:line="240" w:lineRule="auto"/>
        <w:ind w:left="709"/>
        <w:jc w:val="both"/>
        <w:rPr>
          <w:rFonts w:eastAsia="Arial" w:cstheme="minorHAnsi"/>
          <w:strike/>
          <w:kern w:val="2"/>
        </w:rPr>
      </w:pPr>
      <w:r>
        <w:t>„</w:t>
      </w:r>
      <w:r>
        <w:rPr>
          <w:b/>
          <w:i/>
        </w:rPr>
        <w:t>Privatus gyvenamasis būstas –</w:t>
      </w:r>
      <w:r>
        <w:t xml:space="preserve"> Pastatas arba teritorija, skirta nuolat gyventi, neatsižvelgiant į pastato tipą: atskiras namas, daugiabutis namas ir t. t. tiek viešajam, tiek privačiajam rajonui.“</w:t>
      </w:r>
    </w:p>
    <w:p w14:paraId="0B244847" w14:textId="4B38DAFA" w:rsidR="005074AB" w:rsidRDefault="00547307" w:rsidP="00CC005A">
      <w:pPr>
        <w:spacing w:before="200" w:after="100" w:line="240" w:lineRule="auto"/>
        <w:ind w:left="709"/>
        <w:jc w:val="both"/>
        <w:rPr>
          <w:rFonts w:eastAsia="Arial" w:cstheme="minorHAnsi"/>
          <w:kern w:val="2"/>
          <w:szCs w:val="24"/>
        </w:rPr>
      </w:pPr>
      <w:r>
        <w:t>„</w:t>
      </w:r>
      <w:r>
        <w:rPr>
          <w:b/>
          <w:i/>
        </w:rPr>
        <w:t xml:space="preserve">Elektromobilis – </w:t>
      </w:r>
      <w:r>
        <w:t>motorinė transporto priemonė su varomąja grupe, turinčia bent vieną ne periferinį elektros mechanizmą, veikiantį kaip energijos keitiklis, su įkraunamąja elektros energijos kaupimo sistema, kurią galima įkrauti iš išorės.“</w:t>
      </w:r>
    </w:p>
    <w:p w14:paraId="5F3597CA" w14:textId="51707A46" w:rsidR="0026457E" w:rsidRPr="0026457E" w:rsidRDefault="0026457E" w:rsidP="0026457E">
      <w:pPr>
        <w:pStyle w:val="ListParagraph"/>
        <w:numPr>
          <w:ilvl w:val="0"/>
          <w:numId w:val="13"/>
        </w:numPr>
        <w:spacing w:before="200" w:after="100" w:line="240" w:lineRule="auto"/>
        <w:ind w:left="641" w:hanging="357"/>
        <w:contextualSpacing w:val="0"/>
        <w:jc w:val="both"/>
        <w:rPr>
          <w:rFonts w:eastAsia="Arial" w:cstheme="minorHAnsi"/>
          <w:kern w:val="2"/>
          <w:szCs w:val="24"/>
        </w:rPr>
      </w:pPr>
      <w:r>
        <w:t>D priedo 4 dalyje tekstas „Pripažintas dokumentas“ pakeičiamas tekstu „Pastatų energinio sertifikavimo pripažintas dokumentas“.</w:t>
      </w:r>
    </w:p>
    <w:p w14:paraId="5FD4478D" w14:textId="2E4A3E9F" w:rsidR="00033600" w:rsidRPr="00033600" w:rsidRDefault="00033600" w:rsidP="0026457E">
      <w:pPr>
        <w:pStyle w:val="ListParagraph"/>
        <w:numPr>
          <w:ilvl w:val="0"/>
          <w:numId w:val="13"/>
        </w:numPr>
        <w:spacing w:before="200" w:after="100" w:line="240" w:lineRule="auto"/>
        <w:ind w:left="641" w:hanging="357"/>
        <w:contextualSpacing w:val="0"/>
        <w:jc w:val="both"/>
        <w:rPr>
          <w:rFonts w:eastAsia="Arial" w:cstheme="minorHAnsi"/>
          <w:kern w:val="2"/>
        </w:rPr>
      </w:pPr>
      <w:r>
        <w:t xml:space="preserve">H priede „Pastato oro pralaidumo nustatymas“ po skyriaus pavadinimo frazė „Pastato oro pralaidumo nustatymas turi būti atliekamas vienu iš toliau nurodytų metodų“ ir 1 skyriuje „Nustatymas atliekant bandymą“ frazė „Oro pokyčio santykio vertė esant </w:t>
      </w:r>
      <w:r>
        <w:lastRenderedPageBreak/>
        <w:t>50 Pa, n50, gali būti nustatyta atliekant bandymus pagal UNE-EN 13829:2002 B metodą „Pastatų sandarumo nustatymas. Slėgio didinimo naudojant ventiliatorių metodas.“ pakeičiama taip: „Oro pokyčio santykio vertė esant 50 Pa, n50, atliekant bandymus nustatoma pagal UNE-EN ISO 9972: 2019 Pastatų šiluminis naudingumas. Pastatų pralaidumo orui nustatymas. Ventiliatoriaus slėgio didinimo metodas“ 1 arba 2 metodą.</w:t>
      </w:r>
    </w:p>
    <w:p w14:paraId="153946FB" w14:textId="274D0F0F" w:rsidR="001E0B70" w:rsidRPr="003934E5" w:rsidRDefault="001E0B70" w:rsidP="005074AB">
      <w:pPr>
        <w:ind w:left="13"/>
        <w:jc w:val="both"/>
        <w:rPr>
          <w:rFonts w:cstheme="minorHAnsi"/>
        </w:rPr>
      </w:pPr>
      <w:r>
        <w:t>Trečia dalis.</w:t>
      </w:r>
      <w:r>
        <w:rPr>
          <w:b/>
        </w:rPr>
        <w:t xml:space="preserve"> </w:t>
      </w:r>
      <w:r>
        <w:t xml:space="preserve">Į Techninio statybos kodekso II dalį įtrauktame pagrindiniame dokumente DB-SUA „Naudojimo sauga ir prieinamumas“ atlikti šie pakeitimai: </w:t>
      </w:r>
    </w:p>
    <w:p w14:paraId="05134A28" w14:textId="08B7B404" w:rsidR="00A5780E" w:rsidRDefault="001E0B70" w:rsidP="00D722CA">
      <w:pPr>
        <w:ind w:left="13"/>
        <w:jc w:val="both"/>
        <w:rPr>
          <w:rFonts w:cstheme="minorHAnsi"/>
        </w:rPr>
      </w:pPr>
      <w:r>
        <w:t>A priedo „Terminologija“ SUA 9 skyriaus „Prieinamumas“ apibrėžtis „prieinama stovėjimo vieta“ dabar apima brūkšnelį su tekstu:</w:t>
      </w:r>
    </w:p>
    <w:p w14:paraId="791B9B63" w14:textId="2AEB4586" w:rsidR="00D722CA" w:rsidRPr="009064BC" w:rsidRDefault="0078611E" w:rsidP="0078611E">
      <w:pPr>
        <w:ind w:left="709"/>
        <w:jc w:val="both"/>
        <w:rPr>
          <w:rFonts w:cstheme="minorHAnsi"/>
        </w:rPr>
      </w:pPr>
      <w:r>
        <w:t>„- Jei prieinamoje stovėjimo vietoje yra elektromobilių įkrovimo stotelė, šiai įkrovimo stotelei taip pat taikomas prieinamas kelias. Šių įkrovimo stotelių elektros lizdai ir jungtys turi būti chromatiškai kontrastingos su aplinka, įrengti 80–120 cm aukštyje, o atstumas nuo kampų turi būti ne mažesnis kaip 35 cm.“</w:t>
      </w:r>
    </w:p>
    <w:p w14:paraId="09F57FB9" w14:textId="78225EA3" w:rsidR="005074AB" w:rsidRPr="009064BC" w:rsidRDefault="00DF5914" w:rsidP="005074AB">
      <w:pPr>
        <w:ind w:left="13"/>
        <w:jc w:val="both"/>
        <w:rPr>
          <w:rFonts w:cstheme="minorHAnsi"/>
        </w:rPr>
      </w:pPr>
      <w:r>
        <w:t>Ketvirta dalis. Į Techninio statybos kodekso II dalį įtrauktame pagrindiniame dokumente DB-HS „Sveikata“ atliktas šis pakeitimas:</w:t>
      </w:r>
    </w:p>
    <w:p w14:paraId="6B818CBA" w14:textId="77777777" w:rsidR="002E7342" w:rsidRDefault="005074AB" w:rsidP="002E7342">
      <w:pPr>
        <w:pStyle w:val="ListParagraph"/>
        <w:numPr>
          <w:ilvl w:val="0"/>
          <w:numId w:val="22"/>
        </w:numPr>
        <w:jc w:val="both"/>
        <w:rPr>
          <w:rFonts w:cstheme="minorHAnsi"/>
        </w:rPr>
      </w:pPr>
      <w:r>
        <w:t>SS 4 skirsnio „Vandens tiekimas“ 3.2.2.1 skyriaus 2 punkto sakinys „mažiausias saulės energijos indėlis gaminant buitinį karštą vandenį“ pakeičiamas sakiniu „mažiausias atsinaujinančiųjų išteklių energijos indėlis siekiant patenkinti buitinio karšto vandens poreikį“.</w:t>
      </w:r>
    </w:p>
    <w:p w14:paraId="49ACE665" w14:textId="4B95E48B" w:rsidR="005074AB" w:rsidRPr="003934E5" w:rsidRDefault="002F25C7" w:rsidP="009064BC">
      <w:pPr>
        <w:jc w:val="both"/>
        <w:rPr>
          <w:rFonts w:eastAsia="Arial" w:cstheme="minorHAnsi"/>
          <w:kern w:val="2"/>
        </w:rPr>
      </w:pPr>
      <w:r>
        <w:t>Penkta dalis. Į Techninio statybos kodekso II dalį įtrauktame pagrindiniame dokumente DB-HE „Energijos taupymas“ nurodytos šios klaidos ir spaudos klaidos:</w:t>
      </w:r>
    </w:p>
    <w:p w14:paraId="67BFDFA6" w14:textId="6609A07E" w:rsidR="00D612CE" w:rsidRPr="007F1589" w:rsidRDefault="002A5A94" w:rsidP="00D612CE">
      <w:pPr>
        <w:numPr>
          <w:ilvl w:val="0"/>
          <w:numId w:val="15"/>
        </w:numPr>
        <w:spacing w:before="200" w:after="100" w:line="240" w:lineRule="auto"/>
        <w:jc w:val="both"/>
        <w:rPr>
          <w:rFonts w:eastAsia="Arial" w:cstheme="minorHAnsi"/>
          <w:kern w:val="2"/>
        </w:rPr>
      </w:pPr>
      <w:r>
        <w:t>HE 0 skirsnio 1 skyriaus „Taikymo sritis“ 1 dalis suformuluota taip: „...kai bendras išplėstas naudingasis plotas viršija 50 m</w:t>
      </w:r>
      <w:r>
        <w:rPr>
          <w:vertAlign w:val="superscript"/>
        </w:rPr>
        <w:t>2</w:t>
      </w:r>
      <w:r>
        <w:t>;“ turi būti „...kai išplėstas naudingasis plotas viršija 50 m</w:t>
      </w:r>
      <w:r>
        <w:rPr>
          <w:vertAlign w:val="superscript"/>
        </w:rPr>
        <w:t>2</w:t>
      </w:r>
      <w:r>
        <w:t>;“.</w:t>
      </w:r>
    </w:p>
    <w:p w14:paraId="1C45277B" w14:textId="4D7F13E0" w:rsidR="007F1589" w:rsidRDefault="00033444" w:rsidP="00D612CE">
      <w:pPr>
        <w:numPr>
          <w:ilvl w:val="0"/>
          <w:numId w:val="15"/>
        </w:numPr>
        <w:spacing w:before="200" w:after="100" w:line="240" w:lineRule="auto"/>
        <w:jc w:val="both"/>
        <w:rPr>
          <w:rFonts w:eastAsia="Arial" w:cstheme="minorHAnsi"/>
          <w:kern w:val="2"/>
        </w:rPr>
      </w:pPr>
      <w:r>
        <w:t>HE 0 skirsnio 3 skyriaus „Reikalavimo kiekybinis įvertinimas“, 3.1 skyriaus „Neatsinaujinančiųjų išteklių pirminės energijos suvartojimas“ 2 dalis yra: „... C</w:t>
      </w:r>
      <w:r>
        <w:rPr>
          <w:vertAlign w:val="subscript"/>
        </w:rPr>
        <w:t>ep’nren,lim</w:t>
      </w:r>
      <w:r>
        <w:t>...“, turi būti „.. C</w:t>
      </w:r>
      <w:r>
        <w:rPr>
          <w:vertAlign w:val="subscript"/>
        </w:rPr>
        <w:t>ep,nren,lim</w:t>
      </w:r>
      <w:r>
        <w:t>...“.</w:t>
      </w:r>
    </w:p>
    <w:p w14:paraId="154CDFEF" w14:textId="5322C794" w:rsidR="00E87B89" w:rsidRPr="00C40409" w:rsidRDefault="00E87B89" w:rsidP="00E87B89">
      <w:pPr>
        <w:numPr>
          <w:ilvl w:val="0"/>
          <w:numId w:val="15"/>
        </w:numPr>
        <w:spacing w:before="200" w:after="100" w:line="240" w:lineRule="auto"/>
        <w:jc w:val="both"/>
        <w:rPr>
          <w:rFonts w:eastAsia="Arial" w:cstheme="minorHAnsi"/>
          <w:kern w:val="2"/>
        </w:rPr>
      </w:pPr>
      <w:r>
        <w:t>HE 0 skirsnio 3 skyriaus „Reikalavimo kiekybinis įvertinimas“, 3.2 skyriaus „Bendras pirminės energijos suvartojimas“ 1 dalis suformuluota taip: “... C</w:t>
      </w:r>
      <w:r>
        <w:rPr>
          <w:vertAlign w:val="subscript"/>
        </w:rPr>
        <w:t>ep’tot</w:t>
      </w:r>
      <w:r>
        <w:t>...“, turi būti: „... C</w:t>
      </w:r>
      <w:r>
        <w:rPr>
          <w:vertAlign w:val="subscript"/>
        </w:rPr>
        <w:t>ep,tot</w:t>
      </w:r>
      <w:r>
        <w:t>...“.</w:t>
      </w:r>
    </w:p>
    <w:p w14:paraId="090F812B" w14:textId="4B3E0C74" w:rsidR="005074AB" w:rsidRPr="00E87B89" w:rsidRDefault="00033444" w:rsidP="005074AB">
      <w:pPr>
        <w:numPr>
          <w:ilvl w:val="0"/>
          <w:numId w:val="15"/>
        </w:numPr>
        <w:spacing w:before="200" w:after="100" w:line="240" w:lineRule="auto"/>
        <w:jc w:val="both"/>
        <w:rPr>
          <w:rFonts w:eastAsia="Arial" w:cstheme="minorHAnsi"/>
          <w:kern w:val="2"/>
        </w:rPr>
      </w:pPr>
      <w:r>
        <w:t>HE 0 skirsnio 3 skyriaus „Reikalavimo kiekybinis įvertinimas“, 3.2 skyriaus „Bendras pirminės energijos suvartojimas“ 2 dalis suformuluota taip: „... C</w:t>
      </w:r>
      <w:r>
        <w:rPr>
          <w:vertAlign w:val="subscript"/>
        </w:rPr>
        <w:t>ep,tot</w:t>
      </w:r>
      <w:r>
        <w:t>...“, turi būti: „... C</w:t>
      </w:r>
      <w:r>
        <w:rPr>
          <w:vertAlign w:val="subscript"/>
        </w:rPr>
        <w:t>ep,tot</w:t>
      </w:r>
      <w:r>
        <w:t>...“.</w:t>
      </w:r>
    </w:p>
    <w:p w14:paraId="3E0C5510" w14:textId="77777777" w:rsidR="00E87B89" w:rsidRPr="00E87B89" w:rsidRDefault="00E87B89" w:rsidP="00E87B89">
      <w:pPr>
        <w:numPr>
          <w:ilvl w:val="0"/>
          <w:numId w:val="15"/>
        </w:numPr>
        <w:spacing w:before="200" w:after="100" w:line="240" w:lineRule="auto"/>
        <w:jc w:val="both"/>
        <w:rPr>
          <w:rFonts w:eastAsia="Arial" w:cstheme="minorHAnsi"/>
          <w:kern w:val="2"/>
        </w:rPr>
      </w:pPr>
      <w:r>
        <w:t>HE 0 skirsnio 3.1.a-HE0 ir 3.2.a-HE0 lentelėse sąvoka „</w:t>
      </w:r>
      <w:r>
        <w:rPr>
          <w:i/>
        </w:rPr>
        <w:t>privatus gyvenamasis būstas</w:t>
      </w:r>
      <w:r>
        <w:t>“ turi būti rašoma kursyvu. 3.1 skirsnio „Neatsinaujinančiųjų išteklių pirminės energijos suvartojimas“ 2 skyriuje ir 3.2 skirsnio „Bendras pirminės energijos suvartojimas“ 2 skyriuje sąvoka „</w:t>
      </w:r>
      <w:r>
        <w:rPr>
          <w:i/>
        </w:rPr>
        <w:t>privatus gyvenamasis būstas</w:t>
      </w:r>
      <w:r>
        <w:t>“ turėtų būti rašoma kursyvu.</w:t>
      </w:r>
    </w:p>
    <w:p w14:paraId="7A281569" w14:textId="77777777" w:rsidR="00E87B89" w:rsidRPr="00E87B89" w:rsidRDefault="00E87B89" w:rsidP="00E87B89">
      <w:pPr>
        <w:numPr>
          <w:ilvl w:val="0"/>
          <w:numId w:val="15"/>
        </w:numPr>
        <w:spacing w:before="200" w:after="100" w:line="240" w:lineRule="auto"/>
        <w:jc w:val="both"/>
        <w:rPr>
          <w:rFonts w:eastAsia="Arial" w:cstheme="minorHAnsi"/>
          <w:kern w:val="2"/>
        </w:rPr>
      </w:pPr>
      <w:r>
        <w:t>HE 0 skirsnio 4.3 skyriuje „Vidaus prašymai ir eksploatavimo sąlygos“, 2 skyriuje sąvoka „</w:t>
      </w:r>
      <w:r>
        <w:rPr>
          <w:i/>
        </w:rPr>
        <w:t>privatus gyvenamasis būstas</w:t>
      </w:r>
      <w:r>
        <w:t>“ turėtų būti rašoma kursyvu.</w:t>
      </w:r>
    </w:p>
    <w:p w14:paraId="26708F84" w14:textId="52569E21" w:rsidR="00E87B89" w:rsidRPr="00E87B89" w:rsidRDefault="00E87B89" w:rsidP="00E87B89">
      <w:pPr>
        <w:numPr>
          <w:ilvl w:val="0"/>
          <w:numId w:val="15"/>
        </w:numPr>
        <w:spacing w:before="200" w:after="100" w:line="240" w:lineRule="auto"/>
        <w:jc w:val="both"/>
        <w:rPr>
          <w:rFonts w:eastAsia="Arial" w:cstheme="minorHAnsi"/>
          <w:kern w:val="2"/>
        </w:rPr>
      </w:pPr>
      <w:r>
        <w:lastRenderedPageBreak/>
        <w:t>HE 0 skirsnio 4.5 skyriuje „Privatiems gyvenamiesiems būstams skirtos etaloninės sistemos“ sąvoka „</w:t>
      </w:r>
      <w:r>
        <w:rPr>
          <w:i/>
        </w:rPr>
        <w:t>privatus gyvenamasis būstas</w:t>
      </w:r>
      <w:r>
        <w:t>“ turėtų būti rašoma kursyvu tiek pavadinime, tiek 1 dalyje.</w:t>
      </w:r>
    </w:p>
    <w:p w14:paraId="1F72D64C" w14:textId="6874C4DE" w:rsidR="00C40409" w:rsidRDefault="00C40409" w:rsidP="00A06D23">
      <w:pPr>
        <w:pStyle w:val="ListParagraph"/>
        <w:numPr>
          <w:ilvl w:val="0"/>
          <w:numId w:val="15"/>
        </w:numPr>
        <w:contextualSpacing w:val="0"/>
        <w:jc w:val="both"/>
        <w:rPr>
          <w:rFonts w:eastAsia="Arial" w:cstheme="minorHAnsi"/>
          <w:kern w:val="2"/>
        </w:rPr>
      </w:pPr>
      <w:r>
        <w:t>HE 1 skirsnio 3 skyriuje „Reikalavimo kiekybinis įvertinimas, 3.11 skyriuje „Pastato apvalkalo pralaidumas“ 3.1.1.b-HE1 lentelėse ir 3.1.1.c-HE1 lentelėse sąvoka „kompaktiškumas“ turėtų būti rašoma kursyvu.</w:t>
      </w:r>
    </w:p>
    <w:p w14:paraId="25EC06BF" w14:textId="5171D538" w:rsidR="00861802" w:rsidRDefault="009A285F" w:rsidP="00861802">
      <w:pPr>
        <w:pStyle w:val="ListParagraph"/>
        <w:numPr>
          <w:ilvl w:val="0"/>
          <w:numId w:val="15"/>
        </w:numPr>
        <w:contextualSpacing w:val="0"/>
        <w:jc w:val="both"/>
        <w:rPr>
          <w:rFonts w:eastAsia="Arial" w:cstheme="minorHAnsi"/>
          <w:kern w:val="2"/>
        </w:rPr>
      </w:pPr>
      <w:r>
        <w:t>HE 1 skirsnio 3 skyriuje „Reikalavimo kiekybinis įvertinimas“, 3.11 skyriuje „Pastato apvalkalo pralaidumas“, sąvoka „kompaktiškumas“ 3.1.1.b-HE1 lentelės išnašose ir 3.1.1.c-HE1 lentelėse ir sąvoka „kompaktiškumas“ 3.1.1.c-HE1 lentelės išnašoje turėtų būti rašoma kursyvu.</w:t>
      </w:r>
    </w:p>
    <w:p w14:paraId="170DB451" w14:textId="250D994A" w:rsidR="00AB7DDB" w:rsidRDefault="00AB7DDB" w:rsidP="00861802">
      <w:pPr>
        <w:pStyle w:val="ListParagraph"/>
        <w:numPr>
          <w:ilvl w:val="0"/>
          <w:numId w:val="15"/>
        </w:numPr>
        <w:contextualSpacing w:val="0"/>
        <w:jc w:val="both"/>
        <w:rPr>
          <w:rFonts w:eastAsia="Arial" w:cstheme="minorHAnsi"/>
          <w:kern w:val="2"/>
        </w:rPr>
      </w:pPr>
      <w:r>
        <w:t>HE 1 skirsnio 3 skyriaus „Reikalavimo kiekybinis įvertinimas“, 3.1.1 skyriaus „Pastato apvalkalo pralaidumas“, 3 skyriuje sąvoka „</w:t>
      </w:r>
      <w:r>
        <w:rPr>
          <w:i/>
        </w:rPr>
        <w:t>privatus gyvenamasis būstas</w:t>
      </w:r>
      <w:r>
        <w:t>“ turėtų būti rašoma kursyvu ir 3 dalyje, ir 3.1.1.b-HE1 lentelėje.</w:t>
      </w:r>
    </w:p>
    <w:p w14:paraId="2D388CBC" w14:textId="0E99E67B" w:rsidR="00D3439E" w:rsidRPr="00D3439E" w:rsidRDefault="00D3439E" w:rsidP="00D3439E">
      <w:pPr>
        <w:pStyle w:val="ListParagraph"/>
        <w:numPr>
          <w:ilvl w:val="0"/>
          <w:numId w:val="15"/>
        </w:numPr>
        <w:contextualSpacing w:val="0"/>
        <w:jc w:val="both"/>
        <w:rPr>
          <w:rFonts w:eastAsia="Arial" w:cstheme="minorHAnsi"/>
          <w:kern w:val="2"/>
        </w:rPr>
      </w:pPr>
      <w:r>
        <w:t>HE 1 skirsnio 3 skyriaus „Reikalavimo kiekybinis įvertinimas“, 3.1.1 skyriaus „Pastato apvalkalo pralaidumas“ sąvoka „pastato apvalkalas“ 3.1.1.c-HE1 lentelėje turėtų būti rašoma kursyvu.</w:t>
      </w:r>
    </w:p>
    <w:p w14:paraId="73A3DBC7" w14:textId="3265FAE2" w:rsidR="00840E76" w:rsidRDefault="009A285F" w:rsidP="00C06D5A">
      <w:pPr>
        <w:pStyle w:val="ListParagraph"/>
        <w:numPr>
          <w:ilvl w:val="0"/>
          <w:numId w:val="15"/>
        </w:numPr>
        <w:ind w:left="714" w:hanging="357"/>
        <w:contextualSpacing w:val="0"/>
        <w:jc w:val="both"/>
        <w:rPr>
          <w:rFonts w:eastAsia="Arial" w:cstheme="minorHAnsi"/>
          <w:kern w:val="2"/>
        </w:rPr>
      </w:pPr>
      <w:r>
        <w:t>HE 1 skirsnio 3 skyrius „Reikalavimo kiekybinis įvertinimas“, 3.1.2 skyrius „Pastato apvalkalo reguliavimas saulės energija“, kuriame nurodoma: „3.1.2-HE1 lentelė. Saulės energijos reguliavimo parametro qsol;jul,lim ribinė vertė [KWh/m</w:t>
      </w:r>
      <w:r>
        <w:rPr>
          <w:vertAlign w:val="superscript"/>
        </w:rPr>
        <w:t>2</w:t>
      </w:r>
      <w:r>
        <w:t>·mes]“ turėtų būti skaitoma kartu su „sun;jul,lim“ kaip apatinis indeksas: „3.1.2-HE1 lentelė. Saulės energijos reguliavimo parametro q</w:t>
      </w:r>
      <w:r>
        <w:rPr>
          <w:vertAlign w:val="subscript"/>
        </w:rPr>
        <w:t>sol;jul,lim</w:t>
      </w:r>
      <w:r>
        <w:t xml:space="preserve"> ribinė vertė [KWh/m</w:t>
      </w:r>
      <w:r>
        <w:rPr>
          <w:vertAlign w:val="superscript"/>
        </w:rPr>
        <w:t>2</w:t>
      </w:r>
      <w:r>
        <w:t>·mes]“.</w:t>
      </w:r>
    </w:p>
    <w:p w14:paraId="0D568F6A" w14:textId="54EC4798" w:rsidR="00080851" w:rsidRDefault="00080851" w:rsidP="00080851">
      <w:pPr>
        <w:pStyle w:val="ListParagraph"/>
        <w:numPr>
          <w:ilvl w:val="0"/>
          <w:numId w:val="15"/>
        </w:numPr>
        <w:contextualSpacing w:val="0"/>
        <w:jc w:val="both"/>
        <w:rPr>
          <w:rFonts w:eastAsia="Arial" w:cstheme="minorHAnsi"/>
          <w:kern w:val="2"/>
        </w:rPr>
      </w:pPr>
      <w:r>
        <w:t>HE 1 skirsnio 3 skyriuje „Reikalavimo kiekybinis įvertinimas“, 3.1.3 skyriuje „Pastato apvalkalo pralaidumas orui“ sąvoka „pastato apvalkalas“ turėtų būti rašoma kursyvu.</w:t>
      </w:r>
    </w:p>
    <w:p w14:paraId="6C69F09F" w14:textId="174D853F" w:rsidR="00C06D5A" w:rsidRDefault="003E1EAB" w:rsidP="003F6E54">
      <w:pPr>
        <w:pStyle w:val="ListParagraph"/>
        <w:numPr>
          <w:ilvl w:val="0"/>
          <w:numId w:val="15"/>
        </w:numPr>
        <w:contextualSpacing w:val="0"/>
        <w:jc w:val="both"/>
        <w:rPr>
          <w:rFonts w:eastAsia="Arial" w:cstheme="minorHAnsi"/>
          <w:kern w:val="2"/>
        </w:rPr>
      </w:pPr>
      <w:r>
        <w:t>HE 1 skirsnio 3 skyriuje „Reikalavimo kiekybinis įvertinimas“, 3.1.3 skyriuje „Pastato apvalkalo pralaidumas orui“, 3.1.3.b-HE1 lentelėje pateikta sąvoka „kompaktiškumas“, 3.1.3.b-HE1 lentelėje pateikta sąvoka „kompaktiškumas“ ir 3 dalyje pateikta sąvoka „privatus gyvenamasis būstas“ turėtų būti rašoma kursyvu.</w:t>
      </w:r>
    </w:p>
    <w:p w14:paraId="6B53827F" w14:textId="3E4A46B4" w:rsidR="001C0414" w:rsidRPr="001C0414" w:rsidRDefault="003E1EAB" w:rsidP="003F6E54">
      <w:pPr>
        <w:pStyle w:val="ListParagraph"/>
        <w:numPr>
          <w:ilvl w:val="0"/>
          <w:numId w:val="15"/>
        </w:numPr>
        <w:contextualSpacing w:val="0"/>
        <w:jc w:val="both"/>
        <w:rPr>
          <w:rFonts w:eastAsia="Arial" w:cstheme="minorHAnsi"/>
          <w:kern w:val="2"/>
        </w:rPr>
      </w:pPr>
      <w:r>
        <w:t>HE 1 skirsnio 4 skyriuje „Reikalavimo pagrindimas“, 4.1 skyriaus b punkte vartojama sąvoka „kompaktiškumas“ ir 4.1 skyriaus g punkte vartojama sąvoka „privatus gyvenamasis būstas“ turėtų būti rašoma kursyvu.</w:t>
      </w:r>
    </w:p>
    <w:p w14:paraId="32DB053F" w14:textId="46389233" w:rsidR="005074AB" w:rsidRPr="003934E5" w:rsidRDefault="005074AB" w:rsidP="005074AB">
      <w:pPr>
        <w:numPr>
          <w:ilvl w:val="0"/>
          <w:numId w:val="15"/>
        </w:numPr>
        <w:spacing w:before="200" w:after="100" w:line="240" w:lineRule="auto"/>
        <w:jc w:val="both"/>
        <w:rPr>
          <w:rFonts w:eastAsia="Arial" w:cstheme="minorHAnsi"/>
          <w:kern w:val="2"/>
        </w:rPr>
      </w:pPr>
      <w:r>
        <w:t>HE 4 skirsnio 3 skyriaus „Reikalavimo kiekybinis įvertinimas“, 3.1 skyriaus „Mažiausia atsinaujinančiųjų išteklių energijos dalis buitinio karšto vandens ruošimui ir (arba) baseino šildymui“ 4 dalis, kurioje teigiama: „... daugiau kaip 2,5 įjungus elektrą ir didesnis kaip 1,15, kai jis veikia šiluminės energijos...“ turi būti „... lygus 2,5 arba didesnis, kai veikiamas elektros, ir lygus 1,15 arba didesnis, kai veikiamas šiluminės energijos...“.</w:t>
      </w:r>
    </w:p>
    <w:p w14:paraId="17650553" w14:textId="65DABA62" w:rsidR="005074AB" w:rsidRPr="003934E5" w:rsidRDefault="003E1EAB" w:rsidP="005074AB">
      <w:pPr>
        <w:numPr>
          <w:ilvl w:val="0"/>
          <w:numId w:val="15"/>
        </w:numPr>
        <w:spacing w:before="200" w:after="100" w:line="240" w:lineRule="auto"/>
        <w:jc w:val="both"/>
        <w:rPr>
          <w:rFonts w:eastAsia="Arial" w:cstheme="minorHAnsi"/>
          <w:kern w:val="2"/>
        </w:rPr>
      </w:pPr>
      <w:r>
        <w:t>HE 4 skirsnio 3 skyriaus „Reikalavimo kiekybinis įvertinimas“, 3.1 skyriaus „Mažiausia atsinaujinančiųjų išteklių energijos dalis buitinio karšto vandens ruošimui ir (arba) baseino šildymui“ 5 dalis, kurioje teigiama: „... gyvenamieji pastatai...“ turi būti išdėstoma taip: „... pastatai privačiam gyvenamajam būstui...“</w:t>
      </w:r>
    </w:p>
    <w:p w14:paraId="198A06EA" w14:textId="307304FC" w:rsidR="005074AB" w:rsidRPr="009064BC" w:rsidRDefault="003E1EAB" w:rsidP="00547307">
      <w:pPr>
        <w:numPr>
          <w:ilvl w:val="0"/>
          <w:numId w:val="15"/>
        </w:numPr>
        <w:ind w:left="714" w:hanging="357"/>
        <w:jc w:val="both"/>
        <w:rPr>
          <w:rFonts w:cstheme="minorHAnsi"/>
        </w:rPr>
      </w:pPr>
      <w:r>
        <w:lastRenderedPageBreak/>
        <w:t xml:space="preserve">HE 4 skirsnyje prieš skyrių „5.1. „Vykdymas“ įterpiama „5. Statyba, priežiūra ir remontas“ kaip pavadinimas. </w:t>
      </w:r>
    </w:p>
    <w:p w14:paraId="5F37F69A" w14:textId="6CD803CA" w:rsidR="005074AB" w:rsidRPr="00840E76" w:rsidRDefault="005074AB" w:rsidP="00547307">
      <w:pPr>
        <w:numPr>
          <w:ilvl w:val="0"/>
          <w:numId w:val="15"/>
        </w:numPr>
        <w:spacing w:before="200" w:after="100" w:line="240" w:lineRule="auto"/>
        <w:ind w:left="714" w:hanging="357"/>
        <w:jc w:val="both"/>
        <w:rPr>
          <w:rFonts w:eastAsia="Arial" w:cstheme="minorHAnsi"/>
          <w:kern w:val="2"/>
        </w:rPr>
      </w:pPr>
      <w:r>
        <w:t>140553 puslapyje, A priedo „Terminologija“ apibrėžtyje „Bendras šilumos perdavimo koeficientas (per pastato apvalkalą) (K)“, kuri išdėstyta taip: „... K = X Hx/Aint...", jos apatinis indeksas turėtų būti „x“, „x“ ir „int“: „... K = Σ</w:t>
      </w:r>
      <w:r>
        <w:rPr>
          <w:vertAlign w:val="subscript"/>
        </w:rPr>
        <w:t>x</w:t>
      </w:r>
      <w:r>
        <w:t xml:space="preserve"> H</w:t>
      </w:r>
      <w:r>
        <w:rPr>
          <w:vertAlign w:val="subscript"/>
        </w:rPr>
        <w:t>x</w:t>
      </w:r>
      <w:r>
        <w:t>/A</w:t>
      </w:r>
      <w:r>
        <w:rPr>
          <w:vertAlign w:val="subscript"/>
        </w:rPr>
        <w:t>int</w:t>
      </w:r>
      <w:r>
        <w:t>...“.</w:t>
      </w:r>
    </w:p>
    <w:p w14:paraId="36164C8D" w14:textId="457C8028" w:rsidR="00840E76" w:rsidRDefault="003E1EAB" w:rsidP="00840E76">
      <w:pPr>
        <w:numPr>
          <w:ilvl w:val="0"/>
          <w:numId w:val="15"/>
        </w:numPr>
        <w:spacing w:before="200" w:after="100" w:line="240" w:lineRule="auto"/>
        <w:jc w:val="both"/>
        <w:rPr>
          <w:rFonts w:eastAsia="Arial" w:cstheme="minorHAnsi"/>
          <w:kern w:val="2"/>
        </w:rPr>
      </w:pPr>
      <w:r>
        <w:t>A priedo „Terminologija“ apibrėžtyje „Kompaktiškumas“ antroje pastraipoje žodis „kompaktiškumas“ turėtų būti rašomas kursyvu.</w:t>
      </w:r>
    </w:p>
    <w:p w14:paraId="544D530D" w14:textId="09FE0403" w:rsidR="003F6E54" w:rsidRPr="003934E5" w:rsidRDefault="003F6E54" w:rsidP="003F6E54">
      <w:pPr>
        <w:numPr>
          <w:ilvl w:val="0"/>
          <w:numId w:val="15"/>
        </w:numPr>
        <w:spacing w:before="200" w:after="100" w:line="240" w:lineRule="auto"/>
        <w:jc w:val="both"/>
        <w:rPr>
          <w:rFonts w:eastAsia="Arial" w:cstheme="minorHAnsi"/>
          <w:kern w:val="2"/>
        </w:rPr>
      </w:pPr>
      <w:r>
        <w:t>A priedo „Terminologija“ apibrėžtyje „Veiklos sąlygos“ sąvoka „privatus gyvenamasis būstas“ turėtų būti rašoma kursyvu.</w:t>
      </w:r>
    </w:p>
    <w:p w14:paraId="00FC699C" w14:textId="7DE692E3" w:rsidR="005074AB" w:rsidRPr="003934E5" w:rsidRDefault="003E1EAB" w:rsidP="005074AB">
      <w:pPr>
        <w:numPr>
          <w:ilvl w:val="0"/>
          <w:numId w:val="15"/>
        </w:numPr>
        <w:spacing w:before="200" w:after="100" w:line="240" w:lineRule="auto"/>
        <w:jc w:val="both"/>
        <w:rPr>
          <w:rFonts w:eastAsia="Arial" w:cstheme="minorHAnsi"/>
          <w:kern w:val="2"/>
        </w:rPr>
      </w:pPr>
      <w:r>
        <w:t>A priedo „Terminologija“ apibrėžtis „neatsinaujinančiųjų išteklių pirminės energijos suvartojimas“ suformuluota taip: „... Neatsinaujinančiųjų išteklių pirminės energijos suvartojimas...“, „ep,nren“ turi būti rašoma kaip apatinis indeksas: „... Neatsinaujinančiųjų išteklių pirminės energijos suvartojimas (C</w:t>
      </w:r>
      <w:r>
        <w:rPr>
          <w:vertAlign w:val="subscript"/>
        </w:rPr>
        <w:t>ep,nren</w:t>
      </w:r>
      <w:r>
        <w:t>)...“.</w:t>
      </w:r>
    </w:p>
    <w:p w14:paraId="6E6C3C38" w14:textId="5B03794E" w:rsidR="005074AB" w:rsidRPr="003934E5" w:rsidRDefault="003E1EAB" w:rsidP="005074AB">
      <w:pPr>
        <w:numPr>
          <w:ilvl w:val="0"/>
          <w:numId w:val="15"/>
        </w:numPr>
        <w:spacing w:before="200" w:after="100" w:line="240" w:lineRule="auto"/>
        <w:jc w:val="both"/>
        <w:rPr>
          <w:rFonts w:eastAsia="Arial" w:cstheme="minorHAnsi"/>
          <w:kern w:val="2"/>
        </w:rPr>
      </w:pPr>
      <w:r>
        <w:t>A priedo „Terminologija“ apibrėžtyje „Bendras pirminės energijos suvartojimas“, kur nurodyta: „... Bendras pirminės energijos suvartojimas...“ „ep,tot“ turi būti rašoma kaip apatinis indeksas: „... Bendras pirminės energijos suvartojimas (C</w:t>
      </w:r>
      <w:r>
        <w:rPr>
          <w:vertAlign w:val="subscript"/>
        </w:rPr>
        <w:t>ep,tot</w:t>
      </w:r>
      <w:r>
        <w:t>)...“.</w:t>
      </w:r>
    </w:p>
    <w:p w14:paraId="7D78A910" w14:textId="4F934047" w:rsidR="00171BC6" w:rsidRPr="003F6E54" w:rsidRDefault="003E1EAB" w:rsidP="00FB3F17">
      <w:pPr>
        <w:numPr>
          <w:ilvl w:val="0"/>
          <w:numId w:val="15"/>
        </w:numPr>
        <w:spacing w:before="200" w:after="100" w:line="240" w:lineRule="auto"/>
        <w:jc w:val="both"/>
        <w:rPr>
          <w:rFonts w:eastAsia="Arial" w:cstheme="minorHAnsi"/>
          <w:kern w:val="2"/>
        </w:rPr>
      </w:pPr>
      <w:r>
        <w:t>A priede „Terminologija“ apibrėžtyje „saulės energijos reguliavimas (q</w:t>
      </w:r>
      <w:r>
        <w:rPr>
          <w:vertAlign w:val="subscript"/>
        </w:rPr>
        <w:t>sol;ju</w:t>
      </w:r>
      <w:r>
        <w:t>)“ suformuluota taip: „... naudingasis erdvių paviršius...“, turi būti išdėstyta taip: „... naudingasis gyvenamųjų erdvių paviršius...“.</w:t>
      </w:r>
    </w:p>
    <w:p w14:paraId="5F15C0C7" w14:textId="0371978A" w:rsidR="003F6E54" w:rsidRDefault="003F6E54" w:rsidP="003F6E54">
      <w:pPr>
        <w:numPr>
          <w:ilvl w:val="0"/>
          <w:numId w:val="15"/>
        </w:numPr>
        <w:spacing w:before="200" w:after="100" w:line="240" w:lineRule="auto"/>
        <w:jc w:val="both"/>
        <w:rPr>
          <w:rFonts w:eastAsia="Arial" w:cstheme="minorHAnsi"/>
          <w:kern w:val="2"/>
        </w:rPr>
      </w:pPr>
      <w:r>
        <w:t>A priedo „Terminologija“ apibrėžtyje „Kondicionuojama gyvenamoji erdvė“ sąvoka „privatus gyvenamasis būstas“ turėtų būti rašoma kursyvu.</w:t>
      </w:r>
    </w:p>
    <w:p w14:paraId="37CF326B" w14:textId="7A62E78A" w:rsidR="003F6E54" w:rsidRDefault="003F6E54" w:rsidP="003F6E54">
      <w:pPr>
        <w:numPr>
          <w:ilvl w:val="0"/>
          <w:numId w:val="15"/>
        </w:numPr>
        <w:spacing w:before="200" w:after="100" w:line="240" w:lineRule="auto"/>
        <w:jc w:val="both"/>
        <w:rPr>
          <w:rFonts w:eastAsia="Arial" w:cstheme="minorHAnsi"/>
          <w:kern w:val="2"/>
        </w:rPr>
      </w:pPr>
      <w:r>
        <w:t>A priedo „Terminologija“ apibrėžtyje „Naudojimo laikotarpis“ antroje pastraipoje sąvoka „privatus gyvenamasis būstas“ turėtų būti rašoma kursyvu.</w:t>
      </w:r>
    </w:p>
    <w:p w14:paraId="3F599B22" w14:textId="2380EDD2" w:rsidR="003F6E54" w:rsidRDefault="003F6E54" w:rsidP="003F6E54">
      <w:pPr>
        <w:numPr>
          <w:ilvl w:val="0"/>
          <w:numId w:val="15"/>
        </w:numPr>
        <w:spacing w:before="200" w:after="100" w:line="240" w:lineRule="auto"/>
        <w:jc w:val="both"/>
        <w:rPr>
          <w:rFonts w:eastAsia="Arial" w:cstheme="minorHAnsi"/>
          <w:kern w:val="2"/>
        </w:rPr>
      </w:pPr>
      <w:r>
        <w:t>A priedo „Terminologija“ apibrėžtyje „Įrenginio energijos vartojimo efektyvumo vertė (VEEI)“ sąvoka „privatus gyvenamasis būstas“ turėtų būti rašoma kursyvu.</w:t>
      </w:r>
    </w:p>
    <w:p w14:paraId="24304584" w14:textId="5B24531B" w:rsidR="003F6E54" w:rsidRPr="00840E76" w:rsidRDefault="003F6E54" w:rsidP="003F6E54">
      <w:pPr>
        <w:numPr>
          <w:ilvl w:val="0"/>
          <w:numId w:val="15"/>
        </w:numPr>
        <w:spacing w:before="200" w:after="100" w:line="240" w:lineRule="auto"/>
        <w:jc w:val="both"/>
        <w:rPr>
          <w:rFonts w:eastAsia="Arial" w:cstheme="minorHAnsi"/>
          <w:kern w:val="2"/>
        </w:rPr>
      </w:pPr>
      <w:r>
        <w:t>C priede „Atlygis“ pastato apvalkalo apibrėžtyje pavadinime sąvoka „pastato apvalkalas“ turėtų būti rašoma kursyvu.</w:t>
      </w:r>
    </w:p>
    <w:p w14:paraId="6DC93123" w14:textId="1B19CD34" w:rsidR="00840E76" w:rsidRDefault="003E1EAB" w:rsidP="007075D9">
      <w:pPr>
        <w:numPr>
          <w:ilvl w:val="0"/>
          <w:numId w:val="15"/>
        </w:numPr>
        <w:spacing w:before="200" w:after="100" w:line="240" w:lineRule="auto"/>
        <w:jc w:val="both"/>
        <w:rPr>
          <w:rFonts w:eastAsia="Arial" w:cstheme="minorHAnsi"/>
          <w:kern w:val="2"/>
        </w:rPr>
      </w:pPr>
      <w:r>
        <w:t>D priedo „Veiklos sąlygos ir naudojimo profiliai“ pavadinime sąvokos „Veiklos sąlygos“ ir „Naudojimo profiliai“ turi būti kursyvu išdėstyti pavadinime, 2 dalyje ir lentelėse: D priedo a lentelėje, D priedo b lentelėje ir D priedo c lentelėje.</w:t>
      </w:r>
    </w:p>
    <w:p w14:paraId="47E1F5F1" w14:textId="3014A77D" w:rsidR="007075D9" w:rsidRDefault="007075D9" w:rsidP="007075D9">
      <w:pPr>
        <w:numPr>
          <w:ilvl w:val="0"/>
          <w:numId w:val="15"/>
        </w:numPr>
        <w:spacing w:before="200" w:after="100" w:line="240" w:lineRule="auto"/>
        <w:jc w:val="both"/>
        <w:rPr>
          <w:rFonts w:eastAsia="Arial" w:cstheme="minorHAnsi"/>
          <w:kern w:val="2"/>
        </w:rPr>
      </w:pPr>
      <w:r>
        <w:t>E priedo „Orientacinės pralaidumo vertės“ 1 skyriuje sąvoka „privatus gyvenamasis būstas“ turi būti rašoma kursyvu.</w:t>
      </w:r>
    </w:p>
    <w:p w14:paraId="236A2713" w14:textId="24851D32" w:rsidR="007075D9" w:rsidRDefault="007075D9" w:rsidP="007075D9">
      <w:pPr>
        <w:numPr>
          <w:ilvl w:val="0"/>
          <w:numId w:val="15"/>
        </w:numPr>
        <w:spacing w:before="200" w:after="100" w:line="240" w:lineRule="auto"/>
        <w:jc w:val="both"/>
        <w:rPr>
          <w:rFonts w:eastAsia="Arial" w:cstheme="minorHAnsi"/>
          <w:kern w:val="2"/>
        </w:rPr>
      </w:pPr>
      <w:r>
        <w:t>F priede „ACS orientacinė paklausa“ sąvoka „privatus gyvenamasis būstas“ turėtų būti rašoma kursyvu ir 1 skyriuje, ir F priedo a lentelėje.</w:t>
      </w:r>
    </w:p>
    <w:p w14:paraId="799F7AD6" w14:textId="746A1CEA" w:rsidR="005074AB" w:rsidRPr="007075D9" w:rsidRDefault="003E1EAB" w:rsidP="00847CB0">
      <w:pPr>
        <w:numPr>
          <w:ilvl w:val="0"/>
          <w:numId w:val="15"/>
        </w:numPr>
        <w:spacing w:before="200" w:after="100" w:line="240" w:lineRule="auto"/>
        <w:jc w:val="both"/>
        <w:rPr>
          <w:rFonts w:eastAsia="Arial" w:cstheme="minorHAnsi"/>
          <w:kern w:val="2"/>
        </w:rPr>
      </w:pPr>
      <w:r>
        <w:t xml:space="preserve">H priedo „Pastato pralaidumo orui nustatymas“ 2 skyriuje „Pamatinių verčių nustatymas“ suformuluota taip: „... 2. Oro pokyčio, esant 50 Pa, n50, santykio vertė gali būti apskaičiuojama pagal šią lygtį:“, turi būti išdėstyta taip: „... 1. Oro pokyčio, esant 50 Pa, n50 ir etaloninių verčių santykio vertė apskaičiuojama pagal šią formulę, </w:t>
      </w:r>
      <w:r>
        <w:lastRenderedPageBreak/>
        <w:t>suformuluota taip: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A</w:t>
      </w:r>
      <w:r>
        <w:rPr>
          <w:vertAlign w:val="subscript"/>
        </w:rPr>
        <w:t>h</w:t>
      </w:r>
      <w:r>
        <w:t>) / V“, turi būti išdėstyta taip: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A</w:t>
      </w:r>
      <w:r>
        <w:rPr>
          <w:vertAlign w:val="subscript"/>
        </w:rPr>
        <w:t>h</w:t>
      </w:r>
      <w:r>
        <w:t>) / V</w:t>
      </w:r>
      <w:r>
        <w:rPr>
          <w:vertAlign w:val="subscript"/>
        </w:rPr>
        <w:t>in</w:t>
      </w:r>
      <w:r>
        <w:t>“, suformuluota taip: „V – pastato apvalkalo vidinis tūris [m</w:t>
      </w:r>
      <w:r>
        <w:rPr>
          <w:vertAlign w:val="superscript"/>
        </w:rPr>
        <w:t>3</w:t>
      </w:r>
      <w:r>
        <w:t>]“, turi būti išdėstyta taip: „V</w:t>
      </w:r>
      <w:r>
        <w:rPr>
          <w:vertAlign w:val="subscript"/>
        </w:rPr>
        <w:t>int</w:t>
      </w:r>
      <w:r>
        <w:t xml:space="preserve"> – </w:t>
      </w:r>
      <w:r>
        <w:rPr>
          <w:i/>
          <w:iCs/>
        </w:rPr>
        <w:t>pastato apvalkalo</w:t>
      </w:r>
      <w:r>
        <w:t xml:space="preserve"> vidinis oro tūris [m</w:t>
      </w:r>
      <w:r>
        <w:rPr>
          <w:vertAlign w:val="superscript"/>
        </w:rPr>
        <w:t>3</w:t>
      </w:r>
      <w:r>
        <w:t>]“, ir kur: „A</w:t>
      </w:r>
      <w:r>
        <w:rPr>
          <w:vertAlign w:val="subscript"/>
        </w:rPr>
        <w:t>o</w:t>
      </w:r>
      <w:r>
        <w:t xml:space="preserve"> – pastato apvalkalo nepermatomos dalies paviršius [m</w:t>
      </w:r>
      <w:r>
        <w:rPr>
          <w:vertAlign w:val="superscript"/>
        </w:rPr>
        <w:t>2</w:t>
      </w:r>
      <w:r>
        <w:t>]“ turi būti išdėstyta taip: „A</w:t>
      </w:r>
      <w:r>
        <w:rPr>
          <w:vertAlign w:val="subscript"/>
        </w:rPr>
        <w:t>o</w:t>
      </w:r>
      <w:r>
        <w:t xml:space="preserve"> – </w:t>
      </w:r>
      <w:r>
        <w:rPr>
          <w:i/>
          <w:iCs/>
        </w:rPr>
        <w:t>pastato apvalkalo</w:t>
      </w:r>
      <w:r>
        <w:t xml:space="preserve"> nepermatomos dalies paviršius, liečiantis su lauko oru [m</w:t>
      </w:r>
      <w:r>
        <w:rPr>
          <w:vertAlign w:val="superscript"/>
        </w:rPr>
        <w:t>2</w:t>
      </w:r>
      <w:r>
        <w:t>]“.</w:t>
      </w:r>
    </w:p>
    <w:p w14:paraId="25E43F9C" w14:textId="79111767" w:rsidR="007075D9" w:rsidRPr="003934E5" w:rsidRDefault="007075D9" w:rsidP="007075D9">
      <w:pPr>
        <w:numPr>
          <w:ilvl w:val="0"/>
          <w:numId w:val="15"/>
        </w:numPr>
        <w:spacing w:before="200" w:after="100" w:line="240" w:lineRule="auto"/>
        <w:jc w:val="both"/>
        <w:rPr>
          <w:rFonts w:eastAsia="Arial" w:cstheme="minorHAnsi"/>
          <w:kern w:val="2"/>
        </w:rPr>
      </w:pPr>
      <w:r>
        <w:t>H priede „Pastato pralaidumo orui nustatymas“ sąvoka „pastato apvalkalas“ turi būti rašoma kursyvu sąvokų V</w:t>
      </w:r>
      <w:r>
        <w:rPr>
          <w:vertAlign w:val="subscript"/>
        </w:rPr>
        <w:t>int</w:t>
      </w:r>
      <w:r>
        <w:t>, C</w:t>
      </w:r>
      <w:r>
        <w:rPr>
          <w:vertAlign w:val="subscript"/>
        </w:rPr>
        <w:t>o</w:t>
      </w:r>
      <w:r>
        <w:t>, C</w:t>
      </w:r>
      <w:r>
        <w:rPr>
          <w:vertAlign w:val="subscript"/>
        </w:rPr>
        <w:t>h</w:t>
      </w:r>
      <w:r>
        <w:t>, A</w:t>
      </w:r>
      <w:r>
        <w:rPr>
          <w:vertAlign w:val="subscript"/>
        </w:rPr>
        <w:t>h</w:t>
      </w:r>
      <w:r>
        <w:t xml:space="preserve"> apibrėžtyje ir H priedo a lentelėje.</w:t>
      </w:r>
    </w:p>
    <w:p w14:paraId="7A548AE7" w14:textId="77777777" w:rsidR="0024794E" w:rsidRDefault="002F25C7" w:rsidP="0024794E">
      <w:pPr>
        <w:spacing w:before="200" w:after="100" w:line="240" w:lineRule="auto"/>
        <w:jc w:val="both"/>
        <w:rPr>
          <w:rFonts w:eastAsia="Arial" w:cstheme="minorHAnsi"/>
          <w:kern w:val="2"/>
          <w:szCs w:val="24"/>
        </w:rPr>
      </w:pPr>
      <w:r>
        <w:t xml:space="preserve">Šešta dalis. Klaidos ir spaudos klaidos, apie kurias pranešta, koreguojamos taip: Pagrindinis dokumentas DB-HS „Higiena“, įtrauktas į Techninio statybos kodekso II dalį: </w:t>
      </w:r>
    </w:p>
    <w:p w14:paraId="169CA6E1" w14:textId="77777777"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HS 4 skirsnio „Vandens tiekimas“ 6.2 skyriuje raidė „e) polivinilo chlorido chlorinti (PVC-C) vamzdžiai pagal UNE-EN ISO 15874-1:2013, UNE-EN ISO 15874-2:2013 ir UNE-EN ISO 15874-3:2013;“ pakeičiama raide „e) polichlorintų vinilo chlorido (PVC-C) vamzdžių pagal UNE-EN ISO 15877-1:2009 (+ UNE-EN ISO 15877-1:2009/A1): 2011 m.), UNE-EN ISO 15877-2:2009 (+UNE-EN ISO 15877-2:2009/A1: 2011 m.) ir UNE-EN ISO 15877-3:2009 (+ UNE-EN ISO 15877-3:2009/A1: 2011 m.);“.</w:t>
      </w:r>
    </w:p>
    <w:p w14:paraId="3C70C58A" w14:textId="2B44818E"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HS 4 skirsnio „Vandens tiekimas“ 6.2 skyriuje raidė „h) polibutileno vamzdžiai (PB) pagal UNE-EN ISO 15876-1:2017, UNE-EN ISO 15876-2:2017 ir UNE-EN ISO 15876-3:2017;“ pakeičiama raide „h) polibutileno vamzdžiai (PB) pagal UNE-EN ISO 15876-1:2017, UNE-EN ISO 15876-2:2017 ir UNE-EN ISO 15876-3:2017;“.</w:t>
      </w:r>
    </w:p>
    <w:p w14:paraId="48BF6FE7" w14:textId="7ED2365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C priedėlyje „Pamatiniai etalonai“ suformuluota taip: „Karšto ir šalto vandens įrenginių plastikinių vamzdynų sistemos. Polibutilenas (PB). 1 dalis. Bendroji dalis“, turi būti išdėstyta taip: „Karšto ir šalto vandens įrenginių plastikinių vamzdynų sistemos. Polibutenas (PB). 1 dalis. Bendroji dalis</w:t>
      </w:r>
    </w:p>
    <w:p w14:paraId="35A52A28" w14:textId="2205E89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C priedėlyje „Pamatiniai etalonai“ suformuluota taip: „Karšto ir šalto vandens įrenginių plastikinių vamzdynų sistemos. Polibutilenas (PB). 2 dalis. Vamzdžiai“, turi būti išdėstyta taip: „Karšto ir šalto vandens įrenginių plastikinių vamzdynų sistemos. Polibutenas (PB). 2 dalis. Vamzdžiai.</w:t>
      </w:r>
    </w:p>
    <w:p w14:paraId="31E52182" w14:textId="7D5C8545"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C priedėlyje „Pamatiniai etalonai“ suformuluota taip: „Karšto ir šalto vandens įrenginių plastikinių vamzdynų sistemos. Polibutilenas (PB). 3 dalis. Jungiamosios detalės“, turi būti išdėstyta taip: „Karšto ir šalto vandens įrenginių plastikinių vamzdynų sistemos. Polibutenas (PB). 3 dalis. Jungiamosios detalės.</w:t>
      </w:r>
    </w:p>
    <w:p w14:paraId="7B4F5591" w14:textId="1AFCAEDB" w:rsidR="00AB00C9" w:rsidRPr="0024794E" w:rsidRDefault="0024794E" w:rsidP="0024794E">
      <w:pPr>
        <w:pStyle w:val="ListParagraph"/>
        <w:numPr>
          <w:ilvl w:val="0"/>
          <w:numId w:val="26"/>
        </w:numPr>
        <w:spacing w:before="200" w:after="100" w:line="240" w:lineRule="auto"/>
        <w:jc w:val="both"/>
        <w:rPr>
          <w:rFonts w:eastAsia="Arial" w:cstheme="minorHAnsi"/>
          <w:kern w:val="2"/>
          <w:szCs w:val="24"/>
        </w:rPr>
      </w:pPr>
      <w:r>
        <w:t>C priedėlyje „Pamatiniai etalonai“ po nuorodos į standartą „UNE-EN ISO 15876-3“ turi būti įtraukti šie punktai: 2017</w:t>
      </w:r>
      <w:r>
        <w:tab/>
        <w:t>Karšto ir šalto vandens įrenginių plastikinių vamzdynų sistemos. Polibutenas (PB). 3 dalis. Jungiamosios detalės“ atitinka šiuos standartus:</w:t>
      </w:r>
    </w:p>
    <w:p w14:paraId="5A496CEC" w14:textId="6500843E" w:rsidR="00AD074F" w:rsidRDefault="00AD074F" w:rsidP="0024794E">
      <w:pPr>
        <w:pStyle w:val="ListParagraph"/>
        <w:spacing w:after="120"/>
        <w:ind w:left="709"/>
        <w:jc w:val="both"/>
      </w:pPr>
      <w:r>
        <w:t xml:space="preserve">„UNE-EN ISO 15877-1:2009 Karšto ir šalto vandens įrenginių plastikinių vamzdynų sistemos. Chlorintas polivinilchloridas (PVC-C). 1 dalis. Bendrosios nuostatos (+UNE-EN ISO 15877-1:2009/A1:2011) </w:t>
      </w:r>
    </w:p>
    <w:p w14:paraId="2A3E9EAB" w14:textId="77777777" w:rsidR="00AD074F" w:rsidRDefault="00AD074F" w:rsidP="0024794E">
      <w:pPr>
        <w:pStyle w:val="ListParagraph"/>
        <w:spacing w:after="120"/>
        <w:ind w:left="709"/>
        <w:jc w:val="both"/>
      </w:pPr>
    </w:p>
    <w:p w14:paraId="13BBCC1D" w14:textId="5E8C5E6F" w:rsidR="00AD074F" w:rsidRDefault="00AD074F" w:rsidP="0024794E">
      <w:pPr>
        <w:pStyle w:val="ListParagraph"/>
        <w:spacing w:after="120"/>
        <w:ind w:left="709"/>
        <w:jc w:val="both"/>
      </w:pPr>
      <w:r>
        <w:t xml:space="preserve">UNE-EN ISO 15877-2:2009 Karšto ir šalto vandens įrenginių plastikinių vamzdynų sistemos. Chlorintas polivinilchloridas (PVC-C). 2 dalis. Vamzdžiai. (+UNE-EN ISO 15877-2:2009/A1:2011) </w:t>
      </w:r>
    </w:p>
    <w:p w14:paraId="68B6455D" w14:textId="77777777" w:rsidR="00AD074F" w:rsidRDefault="00AD074F" w:rsidP="0024794E">
      <w:pPr>
        <w:pStyle w:val="ListParagraph"/>
        <w:spacing w:after="120"/>
        <w:ind w:left="709"/>
        <w:jc w:val="both"/>
      </w:pPr>
    </w:p>
    <w:p w14:paraId="52605DFD" w14:textId="76152F49" w:rsidR="00AD074F" w:rsidRDefault="00802B87" w:rsidP="0024794E">
      <w:pPr>
        <w:pStyle w:val="ListParagraph"/>
        <w:spacing w:after="120"/>
        <w:ind w:left="709"/>
        <w:jc w:val="both"/>
      </w:pPr>
      <w:r>
        <w:t>UNE-EN ISO 15877-3:2009 Karšto ir šalto vandens įrenginių plastikinių vamzdynų sistemos. Chlorintas polivinilchloridas (PVC-C). 3 dalis. Jungiamosios detalės. (+UNE-EN ISO 15877-3:2009/A1:2011)</w:t>
      </w:r>
    </w:p>
    <w:p w14:paraId="30F2E766" w14:textId="038A7758" w:rsidR="005074AB" w:rsidRPr="00431D05" w:rsidRDefault="005074AB" w:rsidP="005074AB">
      <w:pPr>
        <w:jc w:val="both"/>
        <w:rPr>
          <w:rFonts w:cstheme="minorHAnsi"/>
          <w:bCs/>
          <w:i/>
          <w:iCs/>
        </w:rPr>
      </w:pPr>
      <w:r>
        <w:lastRenderedPageBreak/>
        <w:t xml:space="preserve">Pirmoji pereinamojo laikotarpio nuostata. </w:t>
      </w:r>
      <w:r>
        <w:rPr>
          <w:i/>
        </w:rPr>
        <w:t>Pastatai, kuriems netaikomos šio Karališkojo dekreto nuostatos.</w:t>
      </w:r>
    </w:p>
    <w:p w14:paraId="71A41130" w14:textId="7184244B" w:rsidR="005074AB" w:rsidRPr="009064BC" w:rsidRDefault="005074AB" w:rsidP="005074AB">
      <w:pPr>
        <w:jc w:val="both"/>
        <w:rPr>
          <w:rFonts w:cstheme="minorHAnsi"/>
        </w:rPr>
      </w:pPr>
      <w:r>
        <w:t xml:space="preserve">Šiuo Karališkuoju dekretu priimti Techninio statybos kodekso (CTE) pakeitimai netaikomi naujiems pastatams ar esamuose pastatuose atliekamiems darbams, dėl kurių abiem atvejais jau yra pateikti prašymai išduoti savivaldybės leidimą atlikti darbus šio Karališkojo dekreto įsigaliojimo metu. </w:t>
      </w:r>
    </w:p>
    <w:p w14:paraId="6E353956" w14:textId="262DE845" w:rsidR="007B11B1" w:rsidRDefault="005074AB" w:rsidP="005074AB">
      <w:pPr>
        <w:jc w:val="both"/>
        <w:rPr>
          <w:rFonts w:cstheme="minorHAnsi"/>
        </w:rPr>
      </w:pPr>
      <w:r>
        <w:t>Tokie darbai pradedami per ilgiausią minėto leidimo galiojimo laikotarpį, laikantis jį reglamentuojančių nuostatų arba, jei tokio leidimo nėra, per šešis mėnesius nuo minėto leidimo išdavimo. Priešingu atveju projektai turi būti pritaikyti prie šiuo Karališkuoju dekretu patvirtintų CTE pakeitimų.</w:t>
      </w:r>
    </w:p>
    <w:p w14:paraId="78DABA03" w14:textId="77777777" w:rsidR="005074AB" w:rsidRPr="00D47CC2" w:rsidRDefault="005074AB" w:rsidP="005074AB">
      <w:pPr>
        <w:jc w:val="both"/>
        <w:rPr>
          <w:rFonts w:cstheme="minorHAnsi"/>
          <w:bCs/>
          <w:i/>
          <w:iCs/>
        </w:rPr>
      </w:pPr>
      <w:r>
        <w:t xml:space="preserve">Antroji pereinamojo laikotarpio nuostata. </w:t>
      </w:r>
      <w:r>
        <w:rPr>
          <w:i/>
        </w:rPr>
        <w:t>Pastatai, kuriems šio Karališkojo dekreto nuostatos taikomos savanoriškai.</w:t>
      </w:r>
    </w:p>
    <w:p w14:paraId="047CBC16" w14:textId="1E288EF7" w:rsidR="00CA5D2D" w:rsidRPr="00B24946" w:rsidRDefault="005074AB" w:rsidP="005074AB">
      <w:pPr>
        <w:jc w:val="both"/>
        <w:rPr>
          <w:rFonts w:cstheme="minorHAnsi"/>
        </w:rPr>
      </w:pPr>
      <w:r>
        <w:t xml:space="preserve">Šiuo Karališkuoju dekretu patvirtinti Techninio statybos kodekso pakeitimai savanoriškai taikomi naujos statybos darbams ir esamuose pastatuose atliekamiems darbams, dėl kurių abiem atvejais per šešis mėnesius nuo šio Karališkojo dekreto įsigaliojimo dienos pateikti prašymai išduoti savivaldybės leidimą atlikti darbus. </w:t>
      </w:r>
    </w:p>
    <w:p w14:paraId="0F321A96" w14:textId="5FE37BEE" w:rsidR="00CA5D2D" w:rsidRDefault="00CA5D2D" w:rsidP="00CA5D2D">
      <w:pPr>
        <w:jc w:val="both"/>
        <w:rPr>
          <w:rFonts w:cstheme="minorHAnsi"/>
        </w:rPr>
      </w:pPr>
      <w:r>
        <w:t>Tokie darbai pradedami per ilgiausią minėto leidimo galiojimo laikotarpį, laikantis jį reglamentuojančių nuostatų arba, jei tokio leidimo nėra, per šešis mėnesius nuo minėto leidimo išdavimo. Priešingu atveju projektai turi būti pritaikyti prie šiuo Karališkuoju dekretu patvirtintų CTE pakeitimų.</w:t>
      </w:r>
    </w:p>
    <w:p w14:paraId="1B48DE1E" w14:textId="77777777" w:rsidR="005074AB" w:rsidRPr="00D47CC2" w:rsidRDefault="005074AB" w:rsidP="005074AB">
      <w:pPr>
        <w:jc w:val="both"/>
        <w:rPr>
          <w:rFonts w:cstheme="minorHAnsi"/>
          <w:bCs/>
          <w:i/>
          <w:iCs/>
        </w:rPr>
      </w:pPr>
      <w:r>
        <w:t xml:space="preserve">Trečioji pereinamojo laikotarpio nuostata. </w:t>
      </w:r>
      <w:r>
        <w:rPr>
          <w:i/>
        </w:rPr>
        <w:t>Pastatai, kuriems privaloma taikyti šio Karališkojo dekreto nuostatas.</w:t>
      </w:r>
    </w:p>
    <w:p w14:paraId="557DDCCB" w14:textId="624E2145" w:rsidR="005074AB" w:rsidRDefault="005074AB" w:rsidP="005074AB">
      <w:pPr>
        <w:jc w:val="both"/>
        <w:rPr>
          <w:rFonts w:cstheme="minorHAnsi"/>
        </w:rPr>
      </w:pPr>
      <w:r>
        <w:t>Šiuo Karališkuoju dekretu priimti Techninio statybos kodekso (CTE) pakeitimai turi būti taikomi naujiems pastatams arba esamuose pastatuose atliekamiems darbams, dėl kurių prašoma išduoti savivaldybės leidimą atlikti darbus, praėjus daugiau kaip devyniems mėnesiams nuo šios nuostatos įsigaliojimo.</w:t>
      </w:r>
    </w:p>
    <w:p w14:paraId="588C44EA" w14:textId="52803F33" w:rsidR="005074AB" w:rsidRPr="00D47CC2" w:rsidRDefault="005074AB" w:rsidP="005074AB">
      <w:pPr>
        <w:jc w:val="both"/>
        <w:rPr>
          <w:rFonts w:cstheme="minorHAnsi"/>
          <w:bCs/>
          <w:i/>
          <w:iCs/>
        </w:rPr>
      </w:pPr>
      <w:r>
        <w:t xml:space="preserve">Pirmoji baigiamoji nuostata. </w:t>
      </w:r>
      <w:r>
        <w:rPr>
          <w:i/>
        </w:rPr>
        <w:t>Gruodžio 12 d. Karališkojo dekreto Nr. 1053/2014, kuriuo patvirtinama nauja papildoma techninė instrukcija (ITC) BT 52 „Specialiosios paskirties įrenginiai. Elektromobilių įkrovimo infrastruktūra“, Žemos įtampos elektrotechnikos reglamentų, patvirtintų rugpjūčio 2 d. Karališkuoju dekretu Nr. 842/2002, pakeitimas ir pakeičiamos kitos papildomos techninės instrukcijos.</w:t>
      </w:r>
    </w:p>
    <w:p w14:paraId="183CB7CD" w14:textId="78A1B469" w:rsidR="005074AB" w:rsidRPr="009064BC" w:rsidRDefault="005074AB" w:rsidP="005074AB">
      <w:pPr>
        <w:jc w:val="both"/>
        <w:rPr>
          <w:rFonts w:cstheme="minorHAnsi"/>
        </w:rPr>
      </w:pPr>
      <w:r>
        <w:t>Pirma dalis. Gruodžio 12 d. Karališkojo dekreto Nr. 1053/2014, kuriuo patvirtinama nauja papildoma techninė instrukcija BT 52, pirmoji papildoma nuostata iš dalies keičiama ir išdėstoma taip:</w:t>
      </w:r>
    </w:p>
    <w:p w14:paraId="6C63F170" w14:textId="77777777" w:rsidR="005074AB" w:rsidRPr="009064BC" w:rsidRDefault="005074AB" w:rsidP="005074AB">
      <w:pPr>
        <w:ind w:left="567"/>
        <w:jc w:val="both"/>
        <w:rPr>
          <w:rFonts w:cstheme="minorHAnsi"/>
        </w:rPr>
      </w:pPr>
      <w:r>
        <w:t>„Pirmoji papildoma nuostata. Būtiniausia konstrukcinė įranga elektromobiliams įkrauti automobilių stovėjimo aikštelėse, kurios nėra skirtos naujai pastatytiems ar kapitališkai renovuojamiems pastatams, ir viešuosiuose keliuose.</w:t>
      </w:r>
    </w:p>
    <w:p w14:paraId="0E953183" w14:textId="4FD205B4" w:rsidR="005074AB" w:rsidRPr="00EB58A5" w:rsidRDefault="005074AB" w:rsidP="00B2615A">
      <w:pPr>
        <w:numPr>
          <w:ilvl w:val="0"/>
          <w:numId w:val="11"/>
        </w:numPr>
        <w:ind w:left="1418" w:hanging="284"/>
        <w:contextualSpacing/>
        <w:jc w:val="both"/>
        <w:rPr>
          <w:rFonts w:cstheme="minorHAnsi"/>
        </w:rPr>
      </w:pPr>
      <w:r>
        <w:t xml:space="preserve">Naujai pastatytose automobilių stovėjimo aikštelėse arba tose, kuriose atliekama kapitalinė renovacija ne pastate arba šalia jo, ir todėl nepatenka į </w:t>
      </w:r>
      <w:r>
        <w:lastRenderedPageBreak/>
        <w:t xml:space="preserve">Techninio statybos kodekso pagrindinio energijos taupymo dokumento (DB HE) taikymo sritį, kiekvienoms 40 stovėjimo vietų turi būti įrengta bent viena įkrovimo stotelė. Automobilių stovėjimo aikštelė laikoma naujai pastatyta, kai statybos projektas pateikiamas kompetentingai viešojo administravimo institucijai svarstyti po šio Karališkojo dekreto įsigaliojimo. </w:t>
      </w:r>
    </w:p>
    <w:p w14:paraId="0C99327A" w14:textId="0AD5DDFE" w:rsidR="005074AB" w:rsidRPr="009064BC" w:rsidRDefault="005074AB" w:rsidP="002F659F">
      <w:pPr>
        <w:numPr>
          <w:ilvl w:val="0"/>
          <w:numId w:val="11"/>
        </w:numPr>
        <w:ind w:left="1418" w:hanging="284"/>
        <w:contextualSpacing/>
        <w:jc w:val="both"/>
        <w:rPr>
          <w:rFonts w:cstheme="minorHAnsi"/>
        </w:rPr>
      </w:pPr>
      <w:r>
        <w:t>Turi būti garantuoti įrenginiai, būtini įkrovimo stotelėms, esančioms elektromobilių stovėjimo erdvėse viršmunicipalinio lygmens viešuosiuose keliuose ar savivaldybės tvaraus judumo planuose, tiekti.“</w:t>
      </w:r>
    </w:p>
    <w:p w14:paraId="6C323B86" w14:textId="77777777" w:rsidR="005074AB" w:rsidRPr="009064BC" w:rsidRDefault="005074AB" w:rsidP="005074AB">
      <w:pPr>
        <w:ind w:left="1494"/>
        <w:contextualSpacing/>
        <w:jc w:val="both"/>
        <w:rPr>
          <w:rFonts w:cstheme="minorHAnsi"/>
        </w:rPr>
      </w:pPr>
    </w:p>
    <w:p w14:paraId="5E226F46" w14:textId="77777777" w:rsidR="005074AB" w:rsidRPr="009064BC" w:rsidRDefault="005074AB" w:rsidP="005074AB">
      <w:pPr>
        <w:jc w:val="both"/>
        <w:rPr>
          <w:rFonts w:cstheme="minorHAnsi"/>
        </w:rPr>
      </w:pPr>
      <w:r>
        <w:t>Antra dalis. PAPILDOMOS TECHNINĖS INSTRUKCIJOS (ITC) BT-52 3.2 skirsnis iš dalies keičiamas ir išdėstomas taip:</w:t>
      </w:r>
    </w:p>
    <w:p w14:paraId="6A13CA56" w14:textId="2BC47FB2" w:rsidR="005074AB" w:rsidRPr="009064BC" w:rsidRDefault="005074AB" w:rsidP="005074AB">
      <w:pPr>
        <w:ind w:left="567"/>
        <w:jc w:val="both"/>
        <w:rPr>
          <w:rFonts w:cstheme="minorHAnsi"/>
        </w:rPr>
      </w:pPr>
      <w:r>
        <w:t xml:space="preserve">„3.2. Įrengimas automobilių stovėjimo aikštelėse arba bendrose automobilių stovėjimo erdvėse, besiribojančiose su pastatais ar pastatų kompleksais. </w:t>
      </w:r>
    </w:p>
    <w:p w14:paraId="14463364" w14:textId="6F4941EA" w:rsidR="005074AB" w:rsidRPr="003934E5" w:rsidRDefault="005074AB" w:rsidP="005074AB">
      <w:pPr>
        <w:ind w:left="567"/>
        <w:jc w:val="both"/>
        <w:rPr>
          <w:rFonts w:cstheme="minorHAnsi"/>
        </w:rPr>
      </w:pPr>
      <w:r>
        <w:t xml:space="preserve">Elektros įrenginiai, skirti </w:t>
      </w:r>
      <w:r>
        <w:rPr>
          <w:i/>
        </w:rPr>
        <w:t>elektromobiliams</w:t>
      </w:r>
      <w:r>
        <w:t xml:space="preserve"> įkrauti, įrengti automobilių stovėjimo aikštelėse ar viduje esančiose arba prie pastatų ar gyvenamųjų patalpų prijungtose automobilių stovėjimo aikštelėse, turi atitikti bet kurią iš pirmiau aprašytų schemų.</w:t>
      </w:r>
      <w:r>
        <w:rPr>
          <w:color w:val="000000" w:themeColor="text1"/>
        </w:rPr>
        <w:t xml:space="preserve"> </w:t>
      </w:r>
      <w:r>
        <w:t>Tame pačiame pastate gali būti naudojamos skirtingos schemos, jei laikomasi visų šiame (ITC) BT-52 nustatytų reikalavimų.</w:t>
      </w:r>
    </w:p>
    <w:p w14:paraId="642E3740" w14:textId="7634F88A" w:rsidR="005074AB" w:rsidRPr="009064BC" w:rsidRDefault="005074AB" w:rsidP="005074AB">
      <w:pPr>
        <w:ind w:left="567"/>
        <w:jc w:val="both"/>
        <w:rPr>
          <w:rFonts w:cstheme="minorHAnsi"/>
        </w:rPr>
      </w:pPr>
      <w:r>
        <w:t>Pagal 4a schemą įkrovimo grandinė turi atitikti (ITC) BT-15 aprašytas įrengimo sąlygas, naudojant tų pačių tipų ir charakteristikų kabelius ir laidumo sistemas kaip ir atskiram aplinkkeliui, o kabelių atkarpa apskaičiuojama pagal šio ITC 5 skirsnio bendruosius reikalavimus. Nebūtina numatyti kabelių atkarpos išplėtimo, kad būtų galima nustatyti naudojamos laidumo sistemos skersmenį arba skersinius matmenis.</w:t>
      </w:r>
    </w:p>
    <w:p w14:paraId="5C0A8DBB" w14:textId="77777777" w:rsidR="005074AB" w:rsidRPr="009064BC" w:rsidRDefault="005074AB" w:rsidP="005074AB">
      <w:pPr>
        <w:ind w:left="567"/>
        <w:jc w:val="both"/>
        <w:rPr>
          <w:rFonts w:cstheme="minorHAnsi"/>
        </w:rPr>
      </w:pPr>
      <w:r>
        <w:t>4b schema taikoma, kai įkrovimo stotelių tiekimas yra suprojektuotas kaip elektros įrenginio, skirto bendroms garažų paslaugoms teikti, sudedamoji dalis arba išplėtimas.</w:t>
      </w:r>
    </w:p>
    <w:p w14:paraId="1BEC25F6" w14:textId="7E6AD67A" w:rsidR="005074AB" w:rsidRPr="009064BC" w:rsidRDefault="00D676D8" w:rsidP="005074AB">
      <w:pPr>
        <w:ind w:left="567"/>
        <w:jc w:val="both"/>
        <w:rPr>
          <w:rFonts w:cstheme="minorHAnsi"/>
        </w:rPr>
      </w:pPr>
      <w:r>
        <w:t>Tiek esamuose, tiek naujuose įrenginiuose, siekiant palengvinti pasirinktos elektros sistemos naudojimą, stalai, kuriuose yra bendroji apsauga ir kiti elektromobilių įkrovimo įtaisai, gali būti įrengti šiam tikslui skirtose patalpose arba bendrose patalpose.</w:t>
      </w:r>
    </w:p>
    <w:p w14:paraId="3AA0FB18" w14:textId="5CA8F82A" w:rsidR="005074AB" w:rsidRPr="009064BC" w:rsidRDefault="005074AB" w:rsidP="00904550">
      <w:pPr>
        <w:ind w:left="567"/>
        <w:jc w:val="both"/>
        <w:rPr>
          <w:rFonts w:cstheme="minorHAnsi"/>
        </w:rPr>
      </w:pPr>
      <w:r>
        <w:t xml:space="preserve">Išankstinis elektros įrengimas elektromobiliams įkrauti automobilių stovėjimo aikštelėse, esančiose greta pastatų ar pastatų kompleksų, palengvina tolesnį bet kurios galimos įrengimo schemos naudojimą. Tai apima šiuos elementus: </w:t>
      </w:r>
    </w:p>
    <w:p w14:paraId="4CCD8B27" w14:textId="732EDA20" w:rsidR="005074AB" w:rsidRPr="009064BC" w:rsidRDefault="005074AB" w:rsidP="005074AB">
      <w:pPr>
        <w:numPr>
          <w:ilvl w:val="0"/>
          <w:numId w:val="12"/>
        </w:numPr>
        <w:ind w:left="1418" w:hanging="284"/>
        <w:jc w:val="both"/>
        <w:rPr>
          <w:rFonts w:cstheme="minorHAnsi"/>
        </w:rPr>
      </w:pPr>
      <w:r>
        <w:t>Kabelių laidumo sistemų įrengimas nuo skaitiklių centralizacijos ir prie pagrindinių automobilių stovėjimo aikštelių kelių, kad vėliau būtų galima įjungti įkrovimo stoteles, kurios gali būti įrengtos atskirose stovėjimo vietose ar automobilių stovėjimo aikštelėse. Jei planuojamas išankstinis 100 % vietų įrengimas, kabelių laidumo sistemos turi pasiekti kiekvieną vietą. Jei išankstinis įrengimas neplanuojamas 100 % vietų, apibrėžiamos vietos, kurios laikomos atitinkančiomis kabelių laidumo sistemų reglamentavimo reikalavimus, ir šios sistemos turi pasiekti kiekvieną iš tų vietų.</w:t>
      </w:r>
    </w:p>
    <w:p w14:paraId="0460434B" w14:textId="6073EA36" w:rsidR="005074AB" w:rsidRPr="009064BC" w:rsidRDefault="005074AB" w:rsidP="00281B93">
      <w:pPr>
        <w:numPr>
          <w:ilvl w:val="0"/>
          <w:numId w:val="12"/>
        </w:numPr>
        <w:jc w:val="both"/>
        <w:rPr>
          <w:rFonts w:cstheme="minorHAnsi"/>
        </w:rPr>
      </w:pPr>
      <w:r>
        <w:t xml:space="preserve">Skaitiklių centralizacija nustatoma pagal elektros schemą, pasirinktą elektromobiliui įkrauti, kaip nustatyta (ITC) BT-16. Atsarginiai moduliai </w:t>
      </w:r>
      <w:r>
        <w:lastRenderedPageBreak/>
        <w:t>įrengiami bent 20 % garažo vietų, nesusijusių su būstu, ir net jeigu visos vietos yra susijusios su gyvenamosiomis patalpomis, – bent vienas atsarginis modulis. Turi būti galimybė šiems atsarginiams moduliams įrengti pagrindinį skaitiklį ir su skaitikliu susijusius apsaugos nuo viršsrovio įtaisus su saugikliais arba sistemos išjungikliais.</w:t>
      </w:r>
    </w:p>
    <w:p w14:paraId="7C024BD7" w14:textId="5A6D76AB" w:rsidR="005074AB" w:rsidRPr="009064BC" w:rsidRDefault="005074AB" w:rsidP="005074AB">
      <w:pPr>
        <w:ind w:left="1416"/>
        <w:jc w:val="both"/>
        <w:rPr>
          <w:rFonts w:cstheme="minorHAnsi"/>
        </w:rPr>
      </w:pPr>
      <w:r>
        <w:t>Įkrovimo stotelėje įrengti kištukiniai lizdai arba jungtys ir jų automatiniai apsauginiai grandinės išjungikliai turi atitikti vieną iš 5.4 skirsnyje nurodytų variantų.“</w:t>
      </w:r>
    </w:p>
    <w:p w14:paraId="3C2EF0D1" w14:textId="7C25EDED" w:rsidR="00324D93" w:rsidRPr="009064BC" w:rsidRDefault="00441D3E" w:rsidP="00CA5D2D">
      <w:pPr>
        <w:jc w:val="both"/>
        <w:rPr>
          <w:rFonts w:cstheme="minorHAnsi"/>
        </w:rPr>
      </w:pPr>
      <w:r>
        <w:t>Trečia dalis. PAPILDOMOS TECHNINĖS INSTRUKCIJOS (ITC) BT-52 5.4 skirsnio pirma pastraipa iš dalies keičiama taip:</w:t>
      </w:r>
    </w:p>
    <w:p w14:paraId="1D0AA4C9" w14:textId="6013C719" w:rsidR="00527DF1" w:rsidRDefault="00324D93" w:rsidP="00CA5D2D">
      <w:pPr>
        <w:jc w:val="both"/>
        <w:rPr>
          <w:color w:val="FF0000"/>
        </w:rPr>
      </w:pPr>
      <w:r>
        <w:t xml:space="preserve">„5.4. Prijungimo taškas. </w:t>
      </w:r>
      <w:bookmarkStart w:id="1" w:name="_Hlk81468651"/>
      <w:r>
        <w:t xml:space="preserve">Prijungimo taškas turi būti įrengtas šalia aikštelės, kuriai turi būti tiekiama, ir įrengiamas stacionariame aptvare. </w:t>
      </w:r>
    </w:p>
    <w:bookmarkEnd w:id="1"/>
    <w:p w14:paraId="346E72DC" w14:textId="2F609E5D" w:rsidR="00441D3E" w:rsidRPr="00527DF1" w:rsidRDefault="00527DF1" w:rsidP="00CA5D2D">
      <w:pPr>
        <w:jc w:val="both"/>
        <w:rPr>
          <w:color w:val="FF0000"/>
        </w:rPr>
      </w:pPr>
      <w:r>
        <w:t xml:space="preserve">Mažiausias lizdų ir jungčių įrengimo aukštis turi būti 60 cm virš žemės paviršiaus. </w:t>
      </w:r>
      <w:bookmarkStart w:id="2" w:name="_Hlk81468224"/>
      <w:r>
        <w:t>Jei įkrovimo stotelė skirta viešam naudojimui, didžiausias aukštis turi būti 120 cm. Prieinamose stovėjimo vietose lizdai ir jungtys turi būti chromatiškai kontrastuojantys su aplinka, turi būti 80–120 cm aukštyje, o atstumas iki kampinių sandūrų turi būti ne mažesnis kaip 35 cm.“</w:t>
      </w:r>
      <w:bookmarkEnd w:id="2"/>
    </w:p>
    <w:p w14:paraId="33BA3231" w14:textId="6E4F1E78" w:rsidR="005074AB" w:rsidRPr="00D47CC2" w:rsidRDefault="005074AB" w:rsidP="00CA5D2D">
      <w:pPr>
        <w:jc w:val="both"/>
        <w:rPr>
          <w:rFonts w:cstheme="minorHAnsi"/>
          <w:bCs/>
          <w:i/>
          <w:iCs/>
        </w:rPr>
      </w:pPr>
      <w:r>
        <w:t xml:space="preserve">Antroji baigiamoji nuostata. </w:t>
      </w:r>
      <w:r>
        <w:rPr>
          <w:i/>
        </w:rPr>
        <w:t>Europos Sąjungos teisės perkėlimas.</w:t>
      </w:r>
    </w:p>
    <w:p w14:paraId="09244551" w14:textId="77777777" w:rsidR="005074AB" w:rsidRPr="009064BC" w:rsidRDefault="005074AB" w:rsidP="00CA5D2D">
      <w:pPr>
        <w:jc w:val="both"/>
        <w:rPr>
          <w:rFonts w:cstheme="minorHAnsi"/>
        </w:rPr>
      </w:pPr>
      <w:r>
        <w:t>Šiuo Karališkuoju dekretu į Ispanijos teisę perkeliami 2018 m. gegužės 30 d. EUROPOS PARLAMENTO IR TARYBOS DIREKTYVOS (ES) 2018/844, kuria iš dalies keičiama Direktyva 2010/31/ES dėl pastatų energinio naudingumo ir Direktyva 2012/27/ES dėl energijos vartojimo efektyvumo, 8.2, 8.3 ir 8.5 straipsniai.</w:t>
      </w:r>
    </w:p>
    <w:p w14:paraId="106D513A" w14:textId="7AD1ED46" w:rsidR="005074AB" w:rsidRPr="00C760C9" w:rsidRDefault="005074AB" w:rsidP="005074AB">
      <w:pPr>
        <w:jc w:val="both"/>
        <w:rPr>
          <w:rFonts w:cstheme="minorHAnsi"/>
          <w:bCs/>
          <w:i/>
          <w:iCs/>
        </w:rPr>
      </w:pPr>
      <w:r>
        <w:t xml:space="preserve">Trečioji baigiamoji nuostata. </w:t>
      </w:r>
      <w:r>
        <w:rPr>
          <w:i/>
        </w:rPr>
        <w:t>Įsigaliojimas.</w:t>
      </w:r>
    </w:p>
    <w:p w14:paraId="74B6AB2B" w14:textId="74C92419" w:rsidR="001035FC" w:rsidRDefault="005074AB" w:rsidP="000A2592">
      <w:pPr>
        <w:jc w:val="both"/>
        <w:rPr>
          <w:rFonts w:cstheme="minorHAnsi"/>
          <w:color w:val="FF0000"/>
        </w:rPr>
      </w:pPr>
      <w:r>
        <w:t>Šis Karališkasis dekretas įsigalioja jo paskelbimo Ispanijos oficialiajame leidinyje dieną.</w:t>
      </w:r>
    </w:p>
    <w:p w14:paraId="2DB25505" w14:textId="77777777" w:rsidR="004B5FCD" w:rsidRPr="00A5780E" w:rsidRDefault="004B5FCD" w:rsidP="000A2592">
      <w:pPr>
        <w:jc w:val="both"/>
        <w:rPr>
          <w:rFonts w:cstheme="minorHAnsi"/>
          <w:sz w:val="20"/>
          <w:szCs w:val="20"/>
        </w:rPr>
      </w:pPr>
    </w:p>
    <w:p w14:paraId="09FCE810" w14:textId="4EC16D11" w:rsidR="007F6E00" w:rsidRPr="00A5780E" w:rsidRDefault="00B718CD" w:rsidP="00726501">
      <w:pPr>
        <w:jc w:val="center"/>
        <w:rPr>
          <w:rFonts w:cstheme="minorHAnsi"/>
          <w:sz w:val="24"/>
          <w:szCs w:val="24"/>
        </w:rPr>
      </w:pPr>
      <w:r>
        <w:rPr>
          <w:sz w:val="24"/>
        </w:rPr>
        <w:t xml:space="preserve">Madridas,           d.                          </w:t>
      </w:r>
    </w:p>
    <w:p w14:paraId="28C0A3AF" w14:textId="7E6F82AF" w:rsidR="007F6E00" w:rsidRPr="00243027" w:rsidRDefault="00D47CC2" w:rsidP="00726501">
      <w:pPr>
        <w:jc w:val="center"/>
        <w:rPr>
          <w:rFonts w:cstheme="minorHAnsi"/>
          <w:sz w:val="24"/>
          <w:szCs w:val="24"/>
        </w:rPr>
      </w:pPr>
      <w:r>
        <w:rPr>
          <w:sz w:val="24"/>
        </w:rPr>
        <w:t>TRANSPORTO, JUDUMO IR MIESTŲ DARBOTVARKĖS MINISTRĖ</w:t>
      </w:r>
    </w:p>
    <w:p w14:paraId="2E0E23B7" w14:textId="7629F143" w:rsidR="007F6E00" w:rsidRPr="00243027" w:rsidRDefault="00D47CC2" w:rsidP="007F6E00">
      <w:pPr>
        <w:jc w:val="center"/>
        <w:rPr>
          <w:rFonts w:cstheme="minorHAnsi"/>
          <w:sz w:val="24"/>
          <w:szCs w:val="24"/>
        </w:rPr>
      </w:pPr>
      <w:r>
        <w:rPr>
          <w:sz w:val="24"/>
        </w:rPr>
        <w:t>Raquel Sánchez Jiménez</w:t>
      </w:r>
    </w:p>
    <w:p w14:paraId="20EDBF72" w14:textId="356D76E7" w:rsidR="00C73E8C" w:rsidRPr="00243027" w:rsidRDefault="00C760C9" w:rsidP="007F6E00">
      <w:pPr>
        <w:jc w:val="center"/>
        <w:rPr>
          <w:rFonts w:cstheme="minorHAnsi"/>
          <w:sz w:val="24"/>
          <w:szCs w:val="24"/>
        </w:rPr>
      </w:pPr>
      <w:r>
        <w:rPr>
          <w:sz w:val="24"/>
        </w:rPr>
        <w:t>VYRIAUSYBĖS MINISTRO PIRMININKO TREČIOJI PAVADUOTOJA IR EKOLOGINĖS PERTVARKOS IR DEMOGRAFINIŲ PROBLEMŲ MINISTRĖ</w:t>
      </w:r>
    </w:p>
    <w:p w14:paraId="023B4DFC" w14:textId="0D381527" w:rsidR="00C73E8C" w:rsidRPr="00A5780E" w:rsidRDefault="00C73E8C" w:rsidP="007F6E00">
      <w:pPr>
        <w:jc w:val="center"/>
        <w:rPr>
          <w:rFonts w:cstheme="minorHAnsi"/>
          <w:sz w:val="24"/>
          <w:szCs w:val="24"/>
        </w:rPr>
      </w:pPr>
      <w:r>
        <w:rPr>
          <w:sz w:val="24"/>
        </w:rPr>
        <w:t>Teresa Ribera Rodríguez</w:t>
      </w:r>
    </w:p>
    <w:sectPr w:rsidR="00C73E8C" w:rsidRPr="00A5780E" w:rsidSect="008231A4">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7B4E" w14:textId="77777777" w:rsidR="006E0597" w:rsidRDefault="006E0597" w:rsidP="003B5AE7">
      <w:pPr>
        <w:spacing w:after="0" w:line="240" w:lineRule="auto"/>
      </w:pPr>
      <w:r>
        <w:separator/>
      </w:r>
    </w:p>
  </w:endnote>
  <w:endnote w:type="continuationSeparator" w:id="0">
    <w:p w14:paraId="04BE5BC9" w14:textId="77777777" w:rsidR="006E0597" w:rsidRDefault="006E0597" w:rsidP="003B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139" w14:textId="16F26D8C" w:rsidR="00251439" w:rsidRPr="00D214B0" w:rsidRDefault="00251439" w:rsidP="00D214B0">
    <w:pPr>
      <w:pStyle w:val="Footer"/>
      <w:rPr>
        <w:i/>
        <w:sz w:val="15"/>
        <w:szCs w:val="15"/>
      </w:rPr>
    </w:pPr>
    <w:r>
      <w:rPr>
        <w:i/>
        <w:sz w:val="15"/>
      </w:rPr>
      <w:t>Karališkojo dekreto, kuriuo iš dalies keičiamas Techninis statybos kodeksas, patvirtintas kovo 17 d. Karališkuoju dekretu Nr. 314/2006, projektas.</w:t>
    </w:r>
  </w:p>
  <w:p w14:paraId="53C3F409" w14:textId="5B87674E" w:rsidR="00251439" w:rsidRPr="00C864A9" w:rsidRDefault="00251439" w:rsidP="00D214B0">
    <w:pPr>
      <w:pStyle w:val="Footer"/>
      <w:rPr>
        <w:i/>
        <w:sz w:val="15"/>
        <w:szCs w:val="15"/>
      </w:rPr>
    </w:pPr>
    <w:r>
      <w:rPr>
        <w:i/>
        <w:sz w:val="15"/>
      </w:rPr>
      <w:t>Europos viešosios informacijos versija. 2021 m. spalio mėn.</w:t>
    </w:r>
  </w:p>
  <w:p w14:paraId="5A7C5B16" w14:textId="50AC60C2" w:rsidR="00251439" w:rsidRPr="00724333" w:rsidRDefault="00251439" w:rsidP="00724333">
    <w:pPr>
      <w:pStyle w:val="Footer"/>
      <w:jc w:val="right"/>
      <w:rPr>
        <w:i/>
        <w:sz w:val="14"/>
        <w:szCs w:val="14"/>
      </w:rPr>
    </w:pPr>
    <w:r>
      <w:fldChar w:fldCharType="begin"/>
    </w:r>
    <w:r>
      <w:instrText>PAGE   \* MERGEFORMAT</w:instrText>
    </w:r>
    <w:r>
      <w:fldChar w:fldCharType="separate"/>
    </w:r>
    <w:r w:rsidR="001310A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E2399" w14:textId="77777777" w:rsidR="006E0597" w:rsidRDefault="006E0597" w:rsidP="003B5AE7">
      <w:pPr>
        <w:spacing w:after="0" w:line="240" w:lineRule="auto"/>
      </w:pPr>
      <w:r>
        <w:separator/>
      </w:r>
    </w:p>
  </w:footnote>
  <w:footnote w:type="continuationSeparator" w:id="0">
    <w:p w14:paraId="08717F4C" w14:textId="77777777" w:rsidR="006E0597" w:rsidRDefault="006E0597" w:rsidP="003B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2625" w14:textId="4A8FE43D" w:rsidR="00251439" w:rsidRDefault="00251439">
    <w:pPr>
      <w:pStyle w:val="Header"/>
    </w:pPr>
    <w:r>
      <w:t xml:space="preserve">                                                                                                                                                       </w:t>
    </w:r>
    <w:r>
      <w:rPr>
        <w:noProof/>
      </w:rPr>
      <w:drawing>
        <wp:inline distT="0" distB="0" distL="0" distR="0" wp14:anchorId="20966383" wp14:editId="3C84ECB3">
          <wp:extent cx="619125" cy="647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pic:spPr>
              </pic:pic>
            </a:graphicData>
          </a:graphic>
        </wp:inline>
      </w:drawing>
    </w:r>
  </w:p>
  <w:p w14:paraId="10BC8656" w14:textId="481F1BB0" w:rsidR="00251439" w:rsidRDefault="00251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9EF0" w14:textId="114BE53B"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jc w:val="both"/>
      <w:rPr>
        <w:rFonts w:ascii="Arial Narrow" w:eastAsia="Times New Roman" w:hAnsi="Arial Narrow" w:cs="Times New Roman"/>
        <w:b/>
        <w:sz w:val="16"/>
        <w:szCs w:val="24"/>
      </w:rPr>
    </w:pPr>
    <w:r>
      <w:rPr>
        <w:rFonts w:ascii="Arial" w:hAnsi="Arial"/>
        <w:b/>
        <w:sz w:val="18"/>
      </w:rPr>
      <w:t xml:space="preserve">   </w:t>
    </w:r>
    <w:r>
      <w:rPr>
        <w:rFonts w:ascii="Arial Narrow" w:hAnsi="Arial Narrow"/>
        <w:b/>
        <w:sz w:val="16"/>
      </w:rPr>
      <w:t xml:space="preserve"> </w:t>
    </w:r>
    <w:r>
      <w:rPr>
        <w:rFonts w:ascii="Arial Narrow" w:hAnsi="Arial Narrow"/>
        <w:b/>
        <w:sz w:val="16"/>
      </w:rPr>
      <w:tab/>
    </w:r>
    <w:r>
      <w:rPr>
        <w:rFonts w:ascii="Arial Narrow" w:hAnsi="Arial Narrow"/>
        <w:b/>
        <w:sz w:val="16"/>
      </w:rPr>
      <w:tab/>
    </w:r>
  </w:p>
  <w:p w14:paraId="79A3B465" w14:textId="13E7A8FD" w:rsidR="00251439"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Narrow" w:hAnsi="Arial Narrow"/>
        <w:b/>
        <w:noProof/>
        <w:sz w:val="16"/>
      </w:rPr>
      <w:drawing>
        <wp:anchor distT="0" distB="0" distL="114300" distR="114300" simplePos="0" relativeHeight="251659264" behindDoc="0" locked="0" layoutInCell="1" allowOverlap="1" wp14:anchorId="40951893" wp14:editId="22CFAD9A">
          <wp:simplePos x="0" y="0"/>
          <wp:positionH relativeFrom="margin">
            <wp:align>left</wp:align>
          </wp:positionH>
          <wp:positionV relativeFrom="paragraph">
            <wp:posOffset>15875</wp:posOffset>
          </wp:positionV>
          <wp:extent cx="607060" cy="640080"/>
          <wp:effectExtent l="0" t="0" r="2540" b="7620"/>
          <wp:wrapNone/>
          <wp:docPr id="8" name="Imagen 8" descr="EScudo de Españ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 Españ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60" cy="640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18"/>
      </w:rPr>
      <w:t xml:space="preserve">PLĖTROS </w:t>
    </w:r>
  </w:p>
  <w:p w14:paraId="54CA275E" w14:textId="4F0B2553"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w:hAnsi="Arial"/>
        <w:b/>
        <w:sz w:val="18"/>
      </w:rPr>
      <w:t xml:space="preserve">MINISTERIJA </w:t>
    </w:r>
  </w:p>
  <w:p w14:paraId="76954C5B" w14:textId="1EEE839A"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z w:val="20"/>
        <w:szCs w:val="20"/>
      </w:rPr>
    </w:pPr>
    <w:r>
      <w:rPr>
        <w:rFonts w:ascii="Arial" w:hAnsi="Arial"/>
        <w:b/>
        <w:sz w:val="16"/>
      </w:rPr>
      <w:tab/>
    </w:r>
    <w:r>
      <w:rPr>
        <w:rFonts w:ascii="Arial" w:hAnsi="Arial"/>
        <w:b/>
        <w:sz w:val="16"/>
      </w:rPr>
      <w:tab/>
    </w:r>
  </w:p>
  <w:p w14:paraId="79D490F3" w14:textId="7D0527DA" w:rsidR="00251439" w:rsidRDefault="00251439">
    <w:pPr>
      <w:pStyle w:val="Header"/>
      <w:rPr>
        <w:rFonts w:ascii="Arial" w:eastAsia="Times New Roman" w:hAnsi="Arial" w:cs="Arial"/>
        <w:b/>
        <w:sz w:val="24"/>
        <w:szCs w:val="24"/>
        <w:lang w:eastAsia="es-ES"/>
      </w:rPr>
    </w:pPr>
  </w:p>
  <w:p w14:paraId="49D6D679" w14:textId="64072241" w:rsidR="00251439" w:rsidRDefault="00251439">
    <w:pPr>
      <w:pStyle w:val="Header"/>
    </w:pPr>
  </w:p>
  <w:p w14:paraId="00BA0649" w14:textId="52EEC367" w:rsidR="00251439" w:rsidRDefault="00251439">
    <w:pPr>
      <w:pStyle w:val="Header"/>
    </w:pPr>
  </w:p>
  <w:p w14:paraId="2CCB3AC8" w14:textId="77777777" w:rsidR="00251439" w:rsidRDefault="0025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FBB6F6B"/>
    <w:multiLevelType w:val="hybridMultilevel"/>
    <w:tmpl w:val="BDDE631E"/>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0"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num w:numId="1">
    <w:abstractNumId w:val="18"/>
  </w:num>
  <w:num w:numId="2">
    <w:abstractNumId w:val="21"/>
  </w:num>
  <w:num w:numId="3">
    <w:abstractNumId w:val="8"/>
  </w:num>
  <w:num w:numId="4">
    <w:abstractNumId w:val="8"/>
    <w:lvlOverride w:ilvl="0">
      <w:startOverride w:val="1"/>
    </w:lvlOverride>
  </w:num>
  <w:num w:numId="5">
    <w:abstractNumId w:val="1"/>
  </w:num>
  <w:num w:numId="6">
    <w:abstractNumId w:val="19"/>
  </w:num>
  <w:num w:numId="7">
    <w:abstractNumId w:val="3"/>
  </w:num>
  <w:num w:numId="8">
    <w:abstractNumId w:val="14"/>
  </w:num>
  <w:num w:numId="9">
    <w:abstractNumId w:val="13"/>
  </w:num>
  <w:num w:numId="10">
    <w:abstractNumId w:val="0"/>
  </w:num>
  <w:num w:numId="11">
    <w:abstractNumId w:val="16"/>
  </w:num>
  <w:num w:numId="12">
    <w:abstractNumId w:val="5"/>
  </w:num>
  <w:num w:numId="13">
    <w:abstractNumId w:val="7"/>
  </w:num>
  <w:num w:numId="14">
    <w:abstractNumId w:val="9"/>
  </w:num>
  <w:num w:numId="15">
    <w:abstractNumId w:val="11"/>
  </w:num>
  <w:num w:numId="16">
    <w:abstractNumId w:val="15"/>
  </w:num>
  <w:num w:numId="17">
    <w:abstractNumId w:val="10"/>
  </w:num>
  <w:num w:numId="18">
    <w:abstractNumId w:val="6"/>
  </w:num>
  <w:num w:numId="19">
    <w:abstractNumId w:val="22"/>
  </w:num>
  <w:num w:numId="20">
    <w:abstractNumId w:val="7"/>
  </w:num>
  <w:num w:numId="21">
    <w:abstractNumId w:val="4"/>
  </w:num>
  <w:num w:numId="22">
    <w:abstractNumId w:val="2"/>
  </w:num>
  <w:num w:numId="23">
    <w:abstractNumId w:val="12"/>
  </w:num>
  <w:num w:numId="24">
    <w:abstractNumId w:val="12"/>
  </w:num>
  <w:num w:numId="25">
    <w:abstractNumId w:val="20"/>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0B"/>
    <w:rsid w:val="00000058"/>
    <w:rsid w:val="000046C4"/>
    <w:rsid w:val="00006AA4"/>
    <w:rsid w:val="00016C0D"/>
    <w:rsid w:val="0002077F"/>
    <w:rsid w:val="0002652E"/>
    <w:rsid w:val="00032DFF"/>
    <w:rsid w:val="00033444"/>
    <w:rsid w:val="00033600"/>
    <w:rsid w:val="0005593E"/>
    <w:rsid w:val="0006038F"/>
    <w:rsid w:val="000616BC"/>
    <w:rsid w:val="0006744F"/>
    <w:rsid w:val="0007292F"/>
    <w:rsid w:val="00080851"/>
    <w:rsid w:val="00085400"/>
    <w:rsid w:val="00086A13"/>
    <w:rsid w:val="00093490"/>
    <w:rsid w:val="00095644"/>
    <w:rsid w:val="000A2592"/>
    <w:rsid w:val="000A5EC7"/>
    <w:rsid w:val="000A7580"/>
    <w:rsid w:val="000B7AFC"/>
    <w:rsid w:val="000B7F32"/>
    <w:rsid w:val="000C3B4D"/>
    <w:rsid w:val="000D0D60"/>
    <w:rsid w:val="000D2B8F"/>
    <w:rsid w:val="000D3991"/>
    <w:rsid w:val="000D3A71"/>
    <w:rsid w:val="000E4AF3"/>
    <w:rsid w:val="000E4F56"/>
    <w:rsid w:val="000F2A2B"/>
    <w:rsid w:val="000F3571"/>
    <w:rsid w:val="000F63EE"/>
    <w:rsid w:val="000F64D2"/>
    <w:rsid w:val="001027EF"/>
    <w:rsid w:val="00102A9F"/>
    <w:rsid w:val="001035FC"/>
    <w:rsid w:val="00110498"/>
    <w:rsid w:val="00111A60"/>
    <w:rsid w:val="00115C6B"/>
    <w:rsid w:val="00125FF0"/>
    <w:rsid w:val="001310AB"/>
    <w:rsid w:val="00154A68"/>
    <w:rsid w:val="00164A38"/>
    <w:rsid w:val="001710E9"/>
    <w:rsid w:val="00171BC6"/>
    <w:rsid w:val="00177AFA"/>
    <w:rsid w:val="00182065"/>
    <w:rsid w:val="0018403E"/>
    <w:rsid w:val="001942D6"/>
    <w:rsid w:val="001A4A03"/>
    <w:rsid w:val="001B0467"/>
    <w:rsid w:val="001B10E7"/>
    <w:rsid w:val="001B6C79"/>
    <w:rsid w:val="001C0414"/>
    <w:rsid w:val="001C3441"/>
    <w:rsid w:val="001C3958"/>
    <w:rsid w:val="001C3F11"/>
    <w:rsid w:val="001C78CB"/>
    <w:rsid w:val="001D6633"/>
    <w:rsid w:val="001D6759"/>
    <w:rsid w:val="001D7BA9"/>
    <w:rsid w:val="001E0B70"/>
    <w:rsid w:val="001E31F3"/>
    <w:rsid w:val="001F5EE6"/>
    <w:rsid w:val="001F6F43"/>
    <w:rsid w:val="002074C0"/>
    <w:rsid w:val="00210EA2"/>
    <w:rsid w:val="0021457A"/>
    <w:rsid w:val="00216F0F"/>
    <w:rsid w:val="00221EB9"/>
    <w:rsid w:val="0022470C"/>
    <w:rsid w:val="00234353"/>
    <w:rsid w:val="00241F86"/>
    <w:rsid w:val="00243027"/>
    <w:rsid w:val="0024794E"/>
    <w:rsid w:val="00251439"/>
    <w:rsid w:val="0025354C"/>
    <w:rsid w:val="00262992"/>
    <w:rsid w:val="0026457E"/>
    <w:rsid w:val="00281B93"/>
    <w:rsid w:val="00293928"/>
    <w:rsid w:val="002A5A94"/>
    <w:rsid w:val="002A5D7C"/>
    <w:rsid w:val="002C30D6"/>
    <w:rsid w:val="002D0113"/>
    <w:rsid w:val="002D7D1C"/>
    <w:rsid w:val="002E2C72"/>
    <w:rsid w:val="002E7342"/>
    <w:rsid w:val="002F03DF"/>
    <w:rsid w:val="002F25C7"/>
    <w:rsid w:val="002F2BD0"/>
    <w:rsid w:val="002F659F"/>
    <w:rsid w:val="00310A8D"/>
    <w:rsid w:val="00317A77"/>
    <w:rsid w:val="00317BE2"/>
    <w:rsid w:val="00324D93"/>
    <w:rsid w:val="00326CA0"/>
    <w:rsid w:val="0033081E"/>
    <w:rsid w:val="00336E42"/>
    <w:rsid w:val="003442DE"/>
    <w:rsid w:val="003444BA"/>
    <w:rsid w:val="00352537"/>
    <w:rsid w:val="00375290"/>
    <w:rsid w:val="00377681"/>
    <w:rsid w:val="00377FE2"/>
    <w:rsid w:val="003817E2"/>
    <w:rsid w:val="00382FCD"/>
    <w:rsid w:val="003934E5"/>
    <w:rsid w:val="00396131"/>
    <w:rsid w:val="003968DF"/>
    <w:rsid w:val="003B2168"/>
    <w:rsid w:val="003B5AE7"/>
    <w:rsid w:val="003B70CD"/>
    <w:rsid w:val="003C546E"/>
    <w:rsid w:val="003C6C30"/>
    <w:rsid w:val="003E1EAB"/>
    <w:rsid w:val="003E7B36"/>
    <w:rsid w:val="003F44CA"/>
    <w:rsid w:val="003F6E54"/>
    <w:rsid w:val="003F7C25"/>
    <w:rsid w:val="00402FD4"/>
    <w:rsid w:val="00421ADC"/>
    <w:rsid w:val="00431D05"/>
    <w:rsid w:val="00441D3E"/>
    <w:rsid w:val="00452BAA"/>
    <w:rsid w:val="00452C31"/>
    <w:rsid w:val="00455B6D"/>
    <w:rsid w:val="00462063"/>
    <w:rsid w:val="004701A9"/>
    <w:rsid w:val="00480D71"/>
    <w:rsid w:val="00491CEA"/>
    <w:rsid w:val="004A10E7"/>
    <w:rsid w:val="004B45D1"/>
    <w:rsid w:val="004B5FCD"/>
    <w:rsid w:val="004D10CA"/>
    <w:rsid w:val="004D3BD7"/>
    <w:rsid w:val="004E4176"/>
    <w:rsid w:val="004E508B"/>
    <w:rsid w:val="004F1A17"/>
    <w:rsid w:val="004F2B25"/>
    <w:rsid w:val="004F3383"/>
    <w:rsid w:val="005074AB"/>
    <w:rsid w:val="005105C6"/>
    <w:rsid w:val="0051117E"/>
    <w:rsid w:val="00520863"/>
    <w:rsid w:val="00524DE3"/>
    <w:rsid w:val="00527DF1"/>
    <w:rsid w:val="0053798E"/>
    <w:rsid w:val="00537B01"/>
    <w:rsid w:val="005433BB"/>
    <w:rsid w:val="005437FF"/>
    <w:rsid w:val="00547307"/>
    <w:rsid w:val="0054795D"/>
    <w:rsid w:val="00554EE5"/>
    <w:rsid w:val="005712DA"/>
    <w:rsid w:val="00574DB4"/>
    <w:rsid w:val="00586671"/>
    <w:rsid w:val="00586E69"/>
    <w:rsid w:val="00591233"/>
    <w:rsid w:val="005A107B"/>
    <w:rsid w:val="005A374C"/>
    <w:rsid w:val="005A6E61"/>
    <w:rsid w:val="005B0B9B"/>
    <w:rsid w:val="005B52A2"/>
    <w:rsid w:val="005D7D8A"/>
    <w:rsid w:val="005F57F5"/>
    <w:rsid w:val="00602DC7"/>
    <w:rsid w:val="006156E2"/>
    <w:rsid w:val="0062182D"/>
    <w:rsid w:val="00621F3C"/>
    <w:rsid w:val="006374D4"/>
    <w:rsid w:val="006424FF"/>
    <w:rsid w:val="00646DF9"/>
    <w:rsid w:val="00656C4A"/>
    <w:rsid w:val="006705CB"/>
    <w:rsid w:val="0067270E"/>
    <w:rsid w:val="0067340E"/>
    <w:rsid w:val="00675931"/>
    <w:rsid w:val="00675D0E"/>
    <w:rsid w:val="006960DA"/>
    <w:rsid w:val="006A0AAE"/>
    <w:rsid w:val="006A7F44"/>
    <w:rsid w:val="006B0CA4"/>
    <w:rsid w:val="006B41B9"/>
    <w:rsid w:val="006B44D8"/>
    <w:rsid w:val="006C16B4"/>
    <w:rsid w:val="006C222B"/>
    <w:rsid w:val="006D270F"/>
    <w:rsid w:val="006D63EB"/>
    <w:rsid w:val="006E0597"/>
    <w:rsid w:val="006F5E38"/>
    <w:rsid w:val="007075D9"/>
    <w:rsid w:val="007104CA"/>
    <w:rsid w:val="00714745"/>
    <w:rsid w:val="00724333"/>
    <w:rsid w:val="00726501"/>
    <w:rsid w:val="00745C42"/>
    <w:rsid w:val="00750391"/>
    <w:rsid w:val="00760689"/>
    <w:rsid w:val="00760DFC"/>
    <w:rsid w:val="00761C8F"/>
    <w:rsid w:val="00762E62"/>
    <w:rsid w:val="0076421A"/>
    <w:rsid w:val="007769F1"/>
    <w:rsid w:val="007835B3"/>
    <w:rsid w:val="0078611E"/>
    <w:rsid w:val="007902B8"/>
    <w:rsid w:val="007943D1"/>
    <w:rsid w:val="007A6B25"/>
    <w:rsid w:val="007A6FD5"/>
    <w:rsid w:val="007B11B1"/>
    <w:rsid w:val="007B2844"/>
    <w:rsid w:val="007B745B"/>
    <w:rsid w:val="007C43B8"/>
    <w:rsid w:val="007C7A29"/>
    <w:rsid w:val="007D01D1"/>
    <w:rsid w:val="007E461E"/>
    <w:rsid w:val="007E7916"/>
    <w:rsid w:val="007F1589"/>
    <w:rsid w:val="007F27CB"/>
    <w:rsid w:val="007F6E00"/>
    <w:rsid w:val="00802B87"/>
    <w:rsid w:val="00822D0E"/>
    <w:rsid w:val="008231A4"/>
    <w:rsid w:val="00832A7B"/>
    <w:rsid w:val="00836E07"/>
    <w:rsid w:val="008409FA"/>
    <w:rsid w:val="00840E76"/>
    <w:rsid w:val="008411DF"/>
    <w:rsid w:val="00844FC7"/>
    <w:rsid w:val="00847CB0"/>
    <w:rsid w:val="0085697E"/>
    <w:rsid w:val="00861802"/>
    <w:rsid w:val="00893B19"/>
    <w:rsid w:val="0089545C"/>
    <w:rsid w:val="008A2754"/>
    <w:rsid w:val="008B44F1"/>
    <w:rsid w:val="008B6E85"/>
    <w:rsid w:val="008D0228"/>
    <w:rsid w:val="008E4C35"/>
    <w:rsid w:val="008E57F3"/>
    <w:rsid w:val="008E713D"/>
    <w:rsid w:val="008F4D49"/>
    <w:rsid w:val="009038AF"/>
    <w:rsid w:val="00904550"/>
    <w:rsid w:val="009064BC"/>
    <w:rsid w:val="0091543E"/>
    <w:rsid w:val="00921020"/>
    <w:rsid w:val="00922BA1"/>
    <w:rsid w:val="009277B6"/>
    <w:rsid w:val="00930637"/>
    <w:rsid w:val="00932D4B"/>
    <w:rsid w:val="00941763"/>
    <w:rsid w:val="0094331D"/>
    <w:rsid w:val="00982E58"/>
    <w:rsid w:val="00983E8A"/>
    <w:rsid w:val="00993E06"/>
    <w:rsid w:val="00995550"/>
    <w:rsid w:val="00997C7B"/>
    <w:rsid w:val="009A285F"/>
    <w:rsid w:val="009A76D6"/>
    <w:rsid w:val="009B455D"/>
    <w:rsid w:val="009C27C1"/>
    <w:rsid w:val="009D07FB"/>
    <w:rsid w:val="009D2D65"/>
    <w:rsid w:val="009D4D72"/>
    <w:rsid w:val="009E6521"/>
    <w:rsid w:val="009F3C32"/>
    <w:rsid w:val="009F5D1D"/>
    <w:rsid w:val="00A00D67"/>
    <w:rsid w:val="00A06D23"/>
    <w:rsid w:val="00A11949"/>
    <w:rsid w:val="00A1231F"/>
    <w:rsid w:val="00A15B8F"/>
    <w:rsid w:val="00A22E8C"/>
    <w:rsid w:val="00A231A5"/>
    <w:rsid w:val="00A314E0"/>
    <w:rsid w:val="00A31E16"/>
    <w:rsid w:val="00A37E8A"/>
    <w:rsid w:val="00A421E3"/>
    <w:rsid w:val="00A5056B"/>
    <w:rsid w:val="00A515D1"/>
    <w:rsid w:val="00A5780E"/>
    <w:rsid w:val="00A64E23"/>
    <w:rsid w:val="00A66C84"/>
    <w:rsid w:val="00A7353A"/>
    <w:rsid w:val="00A736D2"/>
    <w:rsid w:val="00A75681"/>
    <w:rsid w:val="00A83B79"/>
    <w:rsid w:val="00A84EDD"/>
    <w:rsid w:val="00A879E1"/>
    <w:rsid w:val="00A929A6"/>
    <w:rsid w:val="00A94A66"/>
    <w:rsid w:val="00A95EFB"/>
    <w:rsid w:val="00AA1645"/>
    <w:rsid w:val="00AB00C9"/>
    <w:rsid w:val="00AB01BA"/>
    <w:rsid w:val="00AB13E8"/>
    <w:rsid w:val="00AB1410"/>
    <w:rsid w:val="00AB398E"/>
    <w:rsid w:val="00AB39AB"/>
    <w:rsid w:val="00AB3E33"/>
    <w:rsid w:val="00AB4061"/>
    <w:rsid w:val="00AB7DDB"/>
    <w:rsid w:val="00AC2883"/>
    <w:rsid w:val="00AC6B49"/>
    <w:rsid w:val="00AD074F"/>
    <w:rsid w:val="00AD196A"/>
    <w:rsid w:val="00AE13F1"/>
    <w:rsid w:val="00AE5C9E"/>
    <w:rsid w:val="00AF5007"/>
    <w:rsid w:val="00AF5F8F"/>
    <w:rsid w:val="00B11927"/>
    <w:rsid w:val="00B233D0"/>
    <w:rsid w:val="00B23F9A"/>
    <w:rsid w:val="00B24946"/>
    <w:rsid w:val="00B2615A"/>
    <w:rsid w:val="00B2710C"/>
    <w:rsid w:val="00B27B56"/>
    <w:rsid w:val="00B33280"/>
    <w:rsid w:val="00B36793"/>
    <w:rsid w:val="00B46FDD"/>
    <w:rsid w:val="00B5187B"/>
    <w:rsid w:val="00B5455B"/>
    <w:rsid w:val="00B65F28"/>
    <w:rsid w:val="00B718CD"/>
    <w:rsid w:val="00B771BB"/>
    <w:rsid w:val="00B93550"/>
    <w:rsid w:val="00BA4C0D"/>
    <w:rsid w:val="00BA5813"/>
    <w:rsid w:val="00BB2E11"/>
    <w:rsid w:val="00BC1DD1"/>
    <w:rsid w:val="00BC5667"/>
    <w:rsid w:val="00BC7571"/>
    <w:rsid w:val="00BD43CA"/>
    <w:rsid w:val="00BF3C0E"/>
    <w:rsid w:val="00C06110"/>
    <w:rsid w:val="00C06D5A"/>
    <w:rsid w:val="00C101D1"/>
    <w:rsid w:val="00C101D9"/>
    <w:rsid w:val="00C11A71"/>
    <w:rsid w:val="00C249FB"/>
    <w:rsid w:val="00C2799B"/>
    <w:rsid w:val="00C33374"/>
    <w:rsid w:val="00C40409"/>
    <w:rsid w:val="00C454DB"/>
    <w:rsid w:val="00C536C9"/>
    <w:rsid w:val="00C56AFE"/>
    <w:rsid w:val="00C629FF"/>
    <w:rsid w:val="00C73E8C"/>
    <w:rsid w:val="00C760C9"/>
    <w:rsid w:val="00C828D4"/>
    <w:rsid w:val="00C864A9"/>
    <w:rsid w:val="00CA5D2D"/>
    <w:rsid w:val="00CA6776"/>
    <w:rsid w:val="00CA7BF5"/>
    <w:rsid w:val="00CB0CC2"/>
    <w:rsid w:val="00CB41FB"/>
    <w:rsid w:val="00CB78B4"/>
    <w:rsid w:val="00CC005A"/>
    <w:rsid w:val="00CC24B2"/>
    <w:rsid w:val="00CD7447"/>
    <w:rsid w:val="00CE7BEE"/>
    <w:rsid w:val="00D06F11"/>
    <w:rsid w:val="00D11FA7"/>
    <w:rsid w:val="00D214B0"/>
    <w:rsid w:val="00D32919"/>
    <w:rsid w:val="00D3439E"/>
    <w:rsid w:val="00D347BD"/>
    <w:rsid w:val="00D372F4"/>
    <w:rsid w:val="00D44383"/>
    <w:rsid w:val="00D45636"/>
    <w:rsid w:val="00D47CC2"/>
    <w:rsid w:val="00D5553D"/>
    <w:rsid w:val="00D55D29"/>
    <w:rsid w:val="00D56840"/>
    <w:rsid w:val="00D612CE"/>
    <w:rsid w:val="00D676D8"/>
    <w:rsid w:val="00D722CA"/>
    <w:rsid w:val="00D76296"/>
    <w:rsid w:val="00D85FB9"/>
    <w:rsid w:val="00D87872"/>
    <w:rsid w:val="00DA1748"/>
    <w:rsid w:val="00DA2B8F"/>
    <w:rsid w:val="00DB22B5"/>
    <w:rsid w:val="00DC3EE9"/>
    <w:rsid w:val="00DC6A97"/>
    <w:rsid w:val="00DD1CC9"/>
    <w:rsid w:val="00DE093A"/>
    <w:rsid w:val="00DE2988"/>
    <w:rsid w:val="00DE4292"/>
    <w:rsid w:val="00DE7274"/>
    <w:rsid w:val="00DF08A3"/>
    <w:rsid w:val="00DF380E"/>
    <w:rsid w:val="00DF5914"/>
    <w:rsid w:val="00DF5A31"/>
    <w:rsid w:val="00E047E3"/>
    <w:rsid w:val="00E104C8"/>
    <w:rsid w:val="00E26B23"/>
    <w:rsid w:val="00E330EB"/>
    <w:rsid w:val="00E35F60"/>
    <w:rsid w:val="00E44DB1"/>
    <w:rsid w:val="00E50D07"/>
    <w:rsid w:val="00E534C0"/>
    <w:rsid w:val="00E57D62"/>
    <w:rsid w:val="00E72CE6"/>
    <w:rsid w:val="00E87B89"/>
    <w:rsid w:val="00E90358"/>
    <w:rsid w:val="00E940EE"/>
    <w:rsid w:val="00E953CE"/>
    <w:rsid w:val="00EA32C0"/>
    <w:rsid w:val="00EB524D"/>
    <w:rsid w:val="00EB58A5"/>
    <w:rsid w:val="00EC16EA"/>
    <w:rsid w:val="00EC5D8C"/>
    <w:rsid w:val="00ED040A"/>
    <w:rsid w:val="00ED2920"/>
    <w:rsid w:val="00ED2FAD"/>
    <w:rsid w:val="00EE2146"/>
    <w:rsid w:val="00EE3728"/>
    <w:rsid w:val="00EF534F"/>
    <w:rsid w:val="00F0074D"/>
    <w:rsid w:val="00F017E3"/>
    <w:rsid w:val="00F11565"/>
    <w:rsid w:val="00F12AD6"/>
    <w:rsid w:val="00F279C2"/>
    <w:rsid w:val="00F342EB"/>
    <w:rsid w:val="00F357D9"/>
    <w:rsid w:val="00F400B0"/>
    <w:rsid w:val="00F60185"/>
    <w:rsid w:val="00F616E3"/>
    <w:rsid w:val="00F63E14"/>
    <w:rsid w:val="00F63FAE"/>
    <w:rsid w:val="00F672D7"/>
    <w:rsid w:val="00F75228"/>
    <w:rsid w:val="00F7778D"/>
    <w:rsid w:val="00F83DB3"/>
    <w:rsid w:val="00F90C96"/>
    <w:rsid w:val="00F95D0B"/>
    <w:rsid w:val="00FA7CE9"/>
    <w:rsid w:val="00FB308E"/>
    <w:rsid w:val="00FB3F17"/>
    <w:rsid w:val="00FC3764"/>
    <w:rsid w:val="00FD4F9C"/>
    <w:rsid w:val="00FF037E"/>
    <w:rsid w:val="00FF25EB"/>
    <w:rsid w:val="00FF30D9"/>
    <w:rsid w:val="00FF35BA"/>
    <w:rsid w:val="00FF7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1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0F357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8A"/>
    <w:pPr>
      <w:ind w:left="720"/>
      <w:contextualSpacing/>
    </w:pPr>
  </w:style>
  <w:style w:type="character" w:styleId="CommentReference">
    <w:name w:val="annotation reference"/>
    <w:basedOn w:val="DefaultParagraphFont"/>
    <w:unhideWhenUsed/>
    <w:rsid w:val="00F12AD6"/>
    <w:rPr>
      <w:sz w:val="16"/>
      <w:szCs w:val="16"/>
    </w:rPr>
  </w:style>
  <w:style w:type="paragraph" w:styleId="CommentText">
    <w:name w:val="annotation text"/>
    <w:basedOn w:val="Normal"/>
    <w:link w:val="CommentTextChar"/>
    <w:unhideWhenUsed/>
    <w:qFormat/>
    <w:rsid w:val="00F12AD6"/>
    <w:pPr>
      <w:spacing w:line="240" w:lineRule="auto"/>
    </w:pPr>
    <w:rPr>
      <w:sz w:val="20"/>
      <w:szCs w:val="20"/>
    </w:rPr>
  </w:style>
  <w:style w:type="character" w:customStyle="1" w:styleId="CommentTextChar">
    <w:name w:val="Comment Text Char"/>
    <w:basedOn w:val="DefaultParagraphFont"/>
    <w:link w:val="CommentText"/>
    <w:uiPriority w:val="99"/>
    <w:semiHidden/>
    <w:rsid w:val="00F12AD6"/>
    <w:rPr>
      <w:sz w:val="20"/>
      <w:szCs w:val="20"/>
    </w:rPr>
  </w:style>
  <w:style w:type="paragraph" w:styleId="BalloonText">
    <w:name w:val="Balloon Text"/>
    <w:basedOn w:val="Normal"/>
    <w:link w:val="BalloonTextChar"/>
    <w:uiPriority w:val="99"/>
    <w:semiHidden/>
    <w:unhideWhenUsed/>
    <w:rsid w:val="00F12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056B"/>
    <w:rPr>
      <w:b/>
      <w:bCs/>
    </w:rPr>
  </w:style>
  <w:style w:type="character" w:customStyle="1" w:styleId="CommentSubjectChar">
    <w:name w:val="Comment Subject Char"/>
    <w:basedOn w:val="CommentTextChar"/>
    <w:link w:val="CommentSubject"/>
    <w:uiPriority w:val="99"/>
    <w:semiHidden/>
    <w:rsid w:val="00A5056B"/>
    <w:rPr>
      <w:b/>
      <w:bCs/>
      <w:sz w:val="20"/>
      <w:szCs w:val="20"/>
    </w:rPr>
  </w:style>
  <w:style w:type="paragraph" w:styleId="Header">
    <w:name w:val="header"/>
    <w:basedOn w:val="Normal"/>
    <w:link w:val="HeaderChar"/>
    <w:uiPriority w:val="99"/>
    <w:unhideWhenUsed/>
    <w:rsid w:val="003B5AE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5AE7"/>
  </w:style>
  <w:style w:type="paragraph" w:styleId="Footer">
    <w:name w:val="footer"/>
    <w:basedOn w:val="Normal"/>
    <w:link w:val="FooterChar"/>
    <w:uiPriority w:val="99"/>
    <w:unhideWhenUsed/>
    <w:rsid w:val="003B5AE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5AE7"/>
  </w:style>
  <w:style w:type="table" w:styleId="TableGrid">
    <w:name w:val="Table Grid"/>
    <w:basedOn w:val="TableNormal"/>
    <w:uiPriority w:val="39"/>
    <w:rsid w:val="0033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0B0"/>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CE7BEE"/>
  </w:style>
  <w:style w:type="paragraph" w:customStyle="1" w:styleId="CTENumeracion">
    <w:name w:val="CTE_Numeracion"/>
    <w:basedOn w:val="Normal"/>
    <w:rsid w:val="00016C0D"/>
    <w:pPr>
      <w:spacing w:before="60" w:after="60" w:line="240" w:lineRule="auto"/>
      <w:ind w:left="357" w:hanging="357"/>
      <w:jc w:val="both"/>
    </w:pPr>
    <w:rPr>
      <w:rFonts w:ascii="Arial" w:eastAsia="Times New Roman" w:hAnsi="Arial" w:cs="Times New Roman"/>
      <w:sz w:val="20"/>
      <w:szCs w:val="24"/>
      <w:lang w:eastAsia="es-ES"/>
    </w:rPr>
  </w:style>
  <w:style w:type="character" w:customStyle="1" w:styleId="CTEModTachaprob">
    <w:name w:val="CTE_Mod_Tach_aprob"/>
    <w:rsid w:val="00D06F11"/>
    <w:rPr>
      <w:strike w:val="0"/>
      <w:dstrike w:val="0"/>
      <w:shd w:val="clear" w:color="auto" w:fill="FFFF00"/>
    </w:rPr>
  </w:style>
  <w:style w:type="paragraph" w:styleId="BodyTextIndent2">
    <w:name w:val="Body Text Indent 2"/>
    <w:basedOn w:val="Normal"/>
    <w:link w:val="BodyTextIndent2Char"/>
    <w:uiPriority w:val="99"/>
    <w:semiHidden/>
    <w:unhideWhenUsed/>
    <w:rsid w:val="00D06F11"/>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BodyTextIndent2Char">
    <w:name w:val="Body Text Indent 2 Char"/>
    <w:basedOn w:val="DefaultParagraphFont"/>
    <w:link w:val="BodyTextIndent2"/>
    <w:uiPriority w:val="99"/>
    <w:semiHidden/>
    <w:rsid w:val="00D06F11"/>
    <w:rPr>
      <w:rFonts w:ascii="Times New Roman" w:eastAsia="Times New Roman" w:hAnsi="Times New Roman" w:cs="Times New Roman"/>
      <w:sz w:val="20"/>
      <w:szCs w:val="20"/>
      <w:lang w:eastAsia="zh-CN"/>
    </w:rPr>
  </w:style>
  <w:style w:type="paragraph" w:customStyle="1" w:styleId="CteTtulo3">
    <w:name w:val="CteTítulo3"/>
    <w:basedOn w:val="Normal"/>
    <w:next w:val="Normal"/>
    <w:autoRedefine/>
    <w:rsid w:val="000F3571"/>
    <w:pPr>
      <w:keepNext/>
      <w:numPr>
        <w:ilvl w:val="2"/>
      </w:numPr>
      <w:spacing w:before="60" w:after="120" w:line="240" w:lineRule="auto"/>
      <w:ind w:left="851"/>
      <w:jc w:val="both"/>
      <w:outlineLvl w:val="3"/>
    </w:pPr>
    <w:rPr>
      <w:rFonts w:ascii="Arial" w:eastAsia="Times New Roman" w:hAnsi="Arial" w:cs="Times New Roman"/>
      <w:b/>
      <w:bCs/>
      <w:lang w:eastAsia="zh-CN"/>
    </w:rPr>
  </w:style>
  <w:style w:type="paragraph" w:customStyle="1" w:styleId="CteAnejo-TituloSeccion">
    <w:name w:val="CteAnejo-TituloSeccion"/>
    <w:basedOn w:val="Normal"/>
    <w:rsid w:val="00D06F11"/>
    <w:pPr>
      <w:keepNext/>
      <w:spacing w:before="480" w:line="240" w:lineRule="auto"/>
      <w:outlineLvl w:val="0"/>
    </w:pPr>
    <w:rPr>
      <w:rFonts w:ascii="Arial" w:eastAsia="Times New Roman" w:hAnsi="Arial" w:cs="Times New Roman"/>
      <w:b/>
      <w:bCs/>
      <w:sz w:val="32"/>
      <w:szCs w:val="24"/>
      <w:lang w:eastAsia="es-ES"/>
    </w:rPr>
  </w:style>
  <w:style w:type="character" w:customStyle="1" w:styleId="EstiloCTEModTachaprob16ptNegritaSinTachado">
    <w:name w:val="Estilo CTE_Mod_Tach_aprob + 16 pt Negrita Sin Tachado"/>
    <w:rsid w:val="00D06F11"/>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D06F11"/>
    <w:rPr>
      <w:strike/>
      <w:dstrike w:val="0"/>
      <w:bdr w:val="none" w:sz="0" w:space="0" w:color="auto"/>
      <w:shd w:val="clear" w:color="auto" w:fill="auto"/>
    </w:rPr>
  </w:style>
  <w:style w:type="paragraph" w:styleId="BodyText">
    <w:name w:val="Body Text"/>
    <w:basedOn w:val="Normal"/>
    <w:link w:val="BodyTextChar"/>
    <w:uiPriority w:val="99"/>
    <w:semiHidden/>
    <w:unhideWhenUsed/>
    <w:rsid w:val="000F3571"/>
    <w:pPr>
      <w:spacing w:after="120"/>
    </w:pPr>
  </w:style>
  <w:style w:type="character" w:customStyle="1" w:styleId="BodyTextChar">
    <w:name w:val="Body Text Char"/>
    <w:basedOn w:val="DefaultParagraphFont"/>
    <w:link w:val="BodyText"/>
    <w:uiPriority w:val="99"/>
    <w:semiHidden/>
    <w:rsid w:val="000F3571"/>
  </w:style>
  <w:style w:type="character" w:customStyle="1" w:styleId="Heading4Char">
    <w:name w:val="Heading 4 Char"/>
    <w:basedOn w:val="DefaultParagraphFont"/>
    <w:link w:val="Heading4"/>
    <w:uiPriority w:val="9"/>
    <w:rsid w:val="000F3571"/>
    <w:rPr>
      <w:rFonts w:ascii="Calibri" w:eastAsia="Times New Roman" w:hAnsi="Calibri" w:cs="Times New Roman"/>
      <w:b/>
      <w:bCs/>
      <w:sz w:val="28"/>
      <w:szCs w:val="28"/>
      <w:lang w:eastAsia="zh-CN"/>
    </w:rPr>
  </w:style>
  <w:style w:type="paragraph" w:customStyle="1" w:styleId="nota">
    <w:name w:val="nota"/>
    <w:basedOn w:val="Normal"/>
    <w:rsid w:val="000F3571"/>
    <w:pPr>
      <w:tabs>
        <w:tab w:val="left" w:pos="1122"/>
        <w:tab w:val="left" w:pos="1309"/>
      </w:tabs>
      <w:spacing w:after="0" w:line="240" w:lineRule="auto"/>
      <w:jc w:val="both"/>
    </w:pPr>
    <w:rPr>
      <w:rFonts w:ascii="Arial" w:eastAsia="Times New Roman" w:hAnsi="Arial" w:cs="Arial"/>
      <w:bCs/>
      <w:sz w:val="20"/>
      <w:szCs w:val="24"/>
      <w:lang w:eastAsia="es-ES"/>
    </w:rPr>
  </w:style>
  <w:style w:type="paragraph" w:customStyle="1" w:styleId="Ttulo1CTE">
    <w:name w:val="Título1CTE"/>
    <w:basedOn w:val="Heading1"/>
    <w:next w:val="Normal"/>
    <w:autoRedefine/>
    <w:rsid w:val="00ED2920"/>
    <w:pPr>
      <w:keepLines w:val="0"/>
      <w:spacing w:after="200" w:line="240" w:lineRule="auto"/>
      <w:jc w:val="both"/>
    </w:pPr>
    <w:rPr>
      <w:rFonts w:ascii="Arial" w:eastAsia="Times New Roman" w:hAnsi="Arial" w:cs="Arial"/>
      <w:b/>
      <w:bCs/>
      <w:color w:val="auto"/>
      <w:kern w:val="32"/>
      <w:sz w:val="28"/>
      <w:lang w:eastAsia="es-ES"/>
    </w:rPr>
  </w:style>
  <w:style w:type="character" w:customStyle="1" w:styleId="Heading1Char">
    <w:name w:val="Heading 1 Char"/>
    <w:basedOn w:val="DefaultParagraphFont"/>
    <w:link w:val="Heading1"/>
    <w:uiPriority w:val="9"/>
    <w:rsid w:val="00ED2920"/>
    <w:rPr>
      <w:rFonts w:asciiTheme="majorHAnsi" w:eastAsiaTheme="majorEastAsia" w:hAnsiTheme="majorHAnsi" w:cstheme="majorBidi"/>
      <w:color w:val="2E74B5" w:themeColor="accent1" w:themeShade="BF"/>
      <w:sz w:val="32"/>
      <w:szCs w:val="32"/>
    </w:rPr>
  </w:style>
  <w:style w:type="paragraph" w:customStyle="1" w:styleId="artculo-tex">
    <w:name w:val="artículo-tex"/>
    <w:basedOn w:val="Normal"/>
    <w:rsid w:val="007902B8"/>
    <w:pPr>
      <w:pBdr>
        <w:top w:val="single" w:sz="4" w:space="1" w:color="00000A"/>
        <w:left w:val="single" w:sz="4" w:space="4" w:color="00000A"/>
        <w:bottom w:val="single" w:sz="4" w:space="1" w:color="00000A"/>
        <w:right w:val="single" w:sz="4" w:space="4" w:color="00000A"/>
      </w:pBdr>
      <w:suppressAutoHyphens/>
      <w:autoSpaceDN w:val="0"/>
      <w:spacing w:before="60" w:after="60" w:line="240" w:lineRule="auto"/>
      <w:textAlignment w:val="baseline"/>
    </w:pPr>
    <w:rPr>
      <w:rFonts w:ascii="Arial" w:eastAsia="Arial" w:hAnsi="Arial" w:cs="Arial"/>
      <w:kern w:val="3"/>
      <w:szCs w:val="24"/>
      <w:lang w:eastAsia="es-ES" w:bidi="hi-IN"/>
    </w:rPr>
  </w:style>
  <w:style w:type="numbering" w:customStyle="1" w:styleId="WWNum3">
    <w:name w:val="WWNum3"/>
    <w:basedOn w:val="NoList"/>
    <w:rsid w:val="007902B8"/>
    <w:pPr>
      <w:numPr>
        <w:numId w:val="3"/>
      </w:numPr>
    </w:pPr>
  </w:style>
  <w:style w:type="paragraph" w:styleId="Revision">
    <w:name w:val="Revision"/>
    <w:hidden/>
    <w:uiPriority w:val="99"/>
    <w:semiHidden/>
    <w:rsid w:val="009064BC"/>
    <w:pPr>
      <w:spacing w:after="0" w:line="240" w:lineRule="auto"/>
    </w:pPr>
  </w:style>
  <w:style w:type="paragraph" w:styleId="NormalWeb">
    <w:name w:val="Normal (Web)"/>
    <w:basedOn w:val="Normal"/>
    <w:uiPriority w:val="99"/>
    <w:semiHidden/>
    <w:unhideWhenUsed/>
    <w:rsid w:val="004D10CA"/>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654">
      <w:bodyDiv w:val="1"/>
      <w:marLeft w:val="0"/>
      <w:marRight w:val="0"/>
      <w:marTop w:val="0"/>
      <w:marBottom w:val="0"/>
      <w:divBdr>
        <w:top w:val="none" w:sz="0" w:space="0" w:color="auto"/>
        <w:left w:val="none" w:sz="0" w:space="0" w:color="auto"/>
        <w:bottom w:val="none" w:sz="0" w:space="0" w:color="auto"/>
        <w:right w:val="none" w:sz="0" w:space="0" w:color="auto"/>
      </w:divBdr>
    </w:div>
    <w:div w:id="60955575">
      <w:bodyDiv w:val="1"/>
      <w:marLeft w:val="0"/>
      <w:marRight w:val="0"/>
      <w:marTop w:val="0"/>
      <w:marBottom w:val="0"/>
      <w:divBdr>
        <w:top w:val="none" w:sz="0" w:space="0" w:color="auto"/>
        <w:left w:val="none" w:sz="0" w:space="0" w:color="auto"/>
        <w:bottom w:val="none" w:sz="0" w:space="0" w:color="auto"/>
        <w:right w:val="none" w:sz="0" w:space="0" w:color="auto"/>
      </w:divBdr>
    </w:div>
    <w:div w:id="121000711">
      <w:bodyDiv w:val="1"/>
      <w:marLeft w:val="0"/>
      <w:marRight w:val="0"/>
      <w:marTop w:val="0"/>
      <w:marBottom w:val="0"/>
      <w:divBdr>
        <w:top w:val="none" w:sz="0" w:space="0" w:color="auto"/>
        <w:left w:val="none" w:sz="0" w:space="0" w:color="auto"/>
        <w:bottom w:val="none" w:sz="0" w:space="0" w:color="auto"/>
        <w:right w:val="none" w:sz="0" w:space="0" w:color="auto"/>
      </w:divBdr>
    </w:div>
    <w:div w:id="376441447">
      <w:bodyDiv w:val="1"/>
      <w:marLeft w:val="0"/>
      <w:marRight w:val="0"/>
      <w:marTop w:val="0"/>
      <w:marBottom w:val="0"/>
      <w:divBdr>
        <w:top w:val="none" w:sz="0" w:space="0" w:color="auto"/>
        <w:left w:val="none" w:sz="0" w:space="0" w:color="auto"/>
        <w:bottom w:val="none" w:sz="0" w:space="0" w:color="auto"/>
        <w:right w:val="none" w:sz="0" w:space="0" w:color="auto"/>
      </w:divBdr>
    </w:div>
    <w:div w:id="396248004">
      <w:bodyDiv w:val="1"/>
      <w:marLeft w:val="0"/>
      <w:marRight w:val="0"/>
      <w:marTop w:val="0"/>
      <w:marBottom w:val="0"/>
      <w:divBdr>
        <w:top w:val="none" w:sz="0" w:space="0" w:color="auto"/>
        <w:left w:val="none" w:sz="0" w:space="0" w:color="auto"/>
        <w:bottom w:val="none" w:sz="0" w:space="0" w:color="auto"/>
        <w:right w:val="none" w:sz="0" w:space="0" w:color="auto"/>
      </w:divBdr>
    </w:div>
    <w:div w:id="509684053">
      <w:bodyDiv w:val="1"/>
      <w:marLeft w:val="0"/>
      <w:marRight w:val="0"/>
      <w:marTop w:val="0"/>
      <w:marBottom w:val="0"/>
      <w:divBdr>
        <w:top w:val="none" w:sz="0" w:space="0" w:color="auto"/>
        <w:left w:val="none" w:sz="0" w:space="0" w:color="auto"/>
        <w:bottom w:val="none" w:sz="0" w:space="0" w:color="auto"/>
        <w:right w:val="none" w:sz="0" w:space="0" w:color="auto"/>
      </w:divBdr>
    </w:div>
    <w:div w:id="546919842">
      <w:bodyDiv w:val="1"/>
      <w:marLeft w:val="0"/>
      <w:marRight w:val="0"/>
      <w:marTop w:val="0"/>
      <w:marBottom w:val="0"/>
      <w:divBdr>
        <w:top w:val="none" w:sz="0" w:space="0" w:color="auto"/>
        <w:left w:val="none" w:sz="0" w:space="0" w:color="auto"/>
        <w:bottom w:val="none" w:sz="0" w:space="0" w:color="auto"/>
        <w:right w:val="none" w:sz="0" w:space="0" w:color="auto"/>
      </w:divBdr>
    </w:div>
    <w:div w:id="722481125">
      <w:bodyDiv w:val="1"/>
      <w:marLeft w:val="0"/>
      <w:marRight w:val="0"/>
      <w:marTop w:val="0"/>
      <w:marBottom w:val="0"/>
      <w:divBdr>
        <w:top w:val="none" w:sz="0" w:space="0" w:color="auto"/>
        <w:left w:val="none" w:sz="0" w:space="0" w:color="auto"/>
        <w:bottom w:val="none" w:sz="0" w:space="0" w:color="auto"/>
        <w:right w:val="none" w:sz="0" w:space="0" w:color="auto"/>
      </w:divBdr>
    </w:div>
    <w:div w:id="770051861">
      <w:bodyDiv w:val="1"/>
      <w:marLeft w:val="0"/>
      <w:marRight w:val="0"/>
      <w:marTop w:val="0"/>
      <w:marBottom w:val="0"/>
      <w:divBdr>
        <w:top w:val="none" w:sz="0" w:space="0" w:color="auto"/>
        <w:left w:val="none" w:sz="0" w:space="0" w:color="auto"/>
        <w:bottom w:val="none" w:sz="0" w:space="0" w:color="auto"/>
        <w:right w:val="none" w:sz="0" w:space="0" w:color="auto"/>
      </w:divBdr>
    </w:div>
    <w:div w:id="1072502409">
      <w:bodyDiv w:val="1"/>
      <w:marLeft w:val="0"/>
      <w:marRight w:val="0"/>
      <w:marTop w:val="0"/>
      <w:marBottom w:val="0"/>
      <w:divBdr>
        <w:top w:val="none" w:sz="0" w:space="0" w:color="auto"/>
        <w:left w:val="none" w:sz="0" w:space="0" w:color="auto"/>
        <w:bottom w:val="none" w:sz="0" w:space="0" w:color="auto"/>
        <w:right w:val="none" w:sz="0" w:space="0" w:color="auto"/>
      </w:divBdr>
    </w:div>
    <w:div w:id="1357737051">
      <w:bodyDiv w:val="1"/>
      <w:marLeft w:val="0"/>
      <w:marRight w:val="0"/>
      <w:marTop w:val="0"/>
      <w:marBottom w:val="0"/>
      <w:divBdr>
        <w:top w:val="none" w:sz="0" w:space="0" w:color="auto"/>
        <w:left w:val="none" w:sz="0" w:space="0" w:color="auto"/>
        <w:bottom w:val="none" w:sz="0" w:space="0" w:color="auto"/>
        <w:right w:val="none" w:sz="0" w:space="0" w:color="auto"/>
      </w:divBdr>
    </w:div>
    <w:div w:id="1387997225">
      <w:bodyDiv w:val="1"/>
      <w:marLeft w:val="0"/>
      <w:marRight w:val="0"/>
      <w:marTop w:val="0"/>
      <w:marBottom w:val="0"/>
      <w:divBdr>
        <w:top w:val="none" w:sz="0" w:space="0" w:color="auto"/>
        <w:left w:val="none" w:sz="0" w:space="0" w:color="auto"/>
        <w:bottom w:val="none" w:sz="0" w:space="0" w:color="auto"/>
        <w:right w:val="none" w:sz="0" w:space="0" w:color="auto"/>
      </w:divBdr>
    </w:div>
    <w:div w:id="1499466132">
      <w:bodyDiv w:val="1"/>
      <w:marLeft w:val="0"/>
      <w:marRight w:val="0"/>
      <w:marTop w:val="0"/>
      <w:marBottom w:val="0"/>
      <w:divBdr>
        <w:top w:val="none" w:sz="0" w:space="0" w:color="auto"/>
        <w:left w:val="none" w:sz="0" w:space="0" w:color="auto"/>
        <w:bottom w:val="none" w:sz="0" w:space="0" w:color="auto"/>
        <w:right w:val="none" w:sz="0" w:space="0" w:color="auto"/>
      </w:divBdr>
    </w:div>
    <w:div w:id="1542666667">
      <w:bodyDiv w:val="1"/>
      <w:marLeft w:val="0"/>
      <w:marRight w:val="0"/>
      <w:marTop w:val="0"/>
      <w:marBottom w:val="0"/>
      <w:divBdr>
        <w:top w:val="none" w:sz="0" w:space="0" w:color="auto"/>
        <w:left w:val="none" w:sz="0" w:space="0" w:color="auto"/>
        <w:bottom w:val="none" w:sz="0" w:space="0" w:color="auto"/>
        <w:right w:val="none" w:sz="0" w:space="0" w:color="auto"/>
      </w:divBdr>
    </w:div>
    <w:div w:id="1667325047">
      <w:bodyDiv w:val="1"/>
      <w:marLeft w:val="0"/>
      <w:marRight w:val="0"/>
      <w:marTop w:val="0"/>
      <w:marBottom w:val="0"/>
      <w:divBdr>
        <w:top w:val="none" w:sz="0" w:space="0" w:color="auto"/>
        <w:left w:val="none" w:sz="0" w:space="0" w:color="auto"/>
        <w:bottom w:val="none" w:sz="0" w:space="0" w:color="auto"/>
        <w:right w:val="none" w:sz="0" w:space="0" w:color="auto"/>
      </w:divBdr>
    </w:div>
    <w:div w:id="21339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334,55,Diapositiva 55"/></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EA9B-792F-40C8-B620-4B433326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6900</Words>
  <Characters>39335</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2021-10-05T06:19:00Z</dcterms:created>
  <dcterms:modified xsi:type="dcterms:W3CDTF">2021-11-03T08:24:00Z</dcterms:modified>
</cp:coreProperties>
</file>