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F06EC68" w:rsidR="005074AB" w:rsidRPr="00EA32C0" w:rsidRDefault="005074AB" w:rsidP="00EA32C0">
      <w:pPr>
        <w:jc w:val="both"/>
        <w:rPr>
          <w:rFonts w:cstheme="minorHAnsi"/>
          <w:b/>
        </w:rPr>
      </w:pPr>
      <w:r>
        <w:rPr>
          <w:b/>
        </w:rPr>
        <w:t>Návrh kráľovského dekrétu</w:t>
      </w:r>
      <w:r w:rsidR="00B445DB">
        <w:rPr>
          <w:b/>
        </w:rPr>
        <w:tab/>
      </w:r>
      <w:r w:rsidR="00B445DB">
        <w:rPr>
          <w:b/>
        </w:rPr>
        <w:tab/>
      </w:r>
      <w:r>
        <w:rPr>
          <w:b/>
        </w:rPr>
        <w:t>, ktorým sa mení technický stavebný zákon, schválený kráľovským dekrétom č. 314/2006 zo 17. marca</w:t>
      </w:r>
    </w:p>
    <w:p w14:paraId="42548872" w14:textId="172DDCC5" w:rsidR="005074AB" w:rsidRPr="003934E5" w:rsidRDefault="005074AB" w:rsidP="005074AB">
      <w:pPr>
        <w:jc w:val="both"/>
        <w:rPr>
          <w:rFonts w:cstheme="minorHAnsi"/>
        </w:rPr>
      </w:pPr>
      <w:r>
        <w:t>V zákone č. 38/1999 z 5. novembra o stavebných predpisoch sa vymedzuje technický stavebný zákon (CTE) ako regulačný rámec, ktorým sa stanovujú základné požiadavky na kvalitu budov a ich zariadení a ktorým sa umožňuje súlad so základnými požiadavkami stanovenými v článku 3. Technický stavebný zákon (CTE) uvedený v tomto zákone bol schválený kráľovským dekrétom č. 314/2006 zo 17. marca. V základných dokumentoch, ktoré tvoria časť II CTE, sa stanovujú a prípadne kvantifikujú základné požiadavky stanovené v časti I prostredníctvom stanovenia cieľových úrovní alebo limitov výkonnosti alebo iných parametrov. Najmä v základnom dokumente DB-HE „Úspory energie“ sa špecifikujú a kvantifikujú požiadavky na energetickú efektívnosť, ktoré majú spĺňať novopostavené budovy, ako aj zásahy do existujúcich budov.</w:t>
      </w:r>
    </w:p>
    <w:p w14:paraId="400360D8" w14:textId="77777777" w:rsidR="005074AB" w:rsidRPr="003934E5" w:rsidRDefault="005074AB" w:rsidP="005074AB">
      <w:pPr>
        <w:jc w:val="both"/>
        <w:rPr>
          <w:rFonts w:cstheme="minorHAnsi"/>
        </w:rPr>
      </w:pPr>
      <w:r>
        <w:t>Dňa 30. mája 2018 bola prijatá smernica Európskeho parlamentu a Rady (EÚ) 2018/844, ktorou sa mení smernica 2010/31/EÚ o energetickej hospodárnosti budov a smernica 2012/27/EÚ o energetickej efektívnosti.</w:t>
      </w:r>
    </w:p>
    <w:p w14:paraId="0B5B2276" w14:textId="142A5C6B" w:rsidR="005A6E61" w:rsidRPr="003934E5" w:rsidRDefault="005074AB" w:rsidP="005A6E61">
      <w:pPr>
        <w:jc w:val="both"/>
        <w:rPr>
          <w:rFonts w:cstheme="minorHAnsi"/>
        </w:rPr>
      </w:pPr>
      <w:r>
        <w:t>Touto smernicou sa stanovujú podmienky rozvoja minimálnej infraštruktúry potrebnej na inteligentné nabíjanie elektrických vozidiel na parkoviskách v budovách. Sektor stavebníctva aj sektor mobility by preto mali byť strategickými oblasťami pre celkovú dekarbonizáciu hospodárstva s regulačným rámcom, ktorého cieľom je podporiť inovácie, udržateľnosť a energetickú efektívnosť v týchto sektoroch.</w:t>
      </w:r>
    </w:p>
    <w:p w14:paraId="4245C855" w14:textId="1828DE90" w:rsidR="005A6E61" w:rsidRPr="003934E5" w:rsidRDefault="005A6E61" w:rsidP="005A6E61">
      <w:pPr>
        <w:jc w:val="both"/>
        <w:rPr>
          <w:rFonts w:cstheme="minorHAnsi"/>
        </w:rPr>
      </w:pPr>
      <w:r>
        <w:t>Rozvoj infraštruktúry na inteligentné nabíjanie elektrických vozidiel zase prispeje k riadeniu a flexibilite energie, využívaniu obnoviteľných zdrojov energie a zlepšeniu kvality ovzdušia a jej energetická hospodárnosť sa optimalizuje tým, že budovy sa stanú digitálnejšími a do tejto oblasti sa začlenia nové technológie.</w:t>
      </w:r>
    </w:p>
    <w:p w14:paraId="45A016F5" w14:textId="74A214E6" w:rsidR="005A6E61" w:rsidRPr="003934E5" w:rsidRDefault="005A6E61" w:rsidP="005A6E61">
      <w:pPr>
        <w:jc w:val="both"/>
        <w:rPr>
          <w:rFonts w:cstheme="minorHAnsi"/>
        </w:rPr>
      </w:pPr>
      <w:r>
        <w:t xml:space="preserve">V integrovanom národnom energetickom a klimatickom pláne na roky 2021 – 2030 (PNIEC), ktorý Španielsko predložilo Európskej komisii, sa plánuje podpora elektrickej mobility ako opatrenia na zníženie spotreby energie a emisií vozidiel prostredníctvom regulačných úprav a začlenenia právnych predpisov Európskej únie, ktoré umožnia zavedenie infraštruktúry na nabíjanie elektrických vozidiel v súlade s rozvojom elektrifikácie vozového parku, ako aj prostredníctvom iných mechanizmov stimulácie a podpory. </w:t>
      </w:r>
    </w:p>
    <w:p w14:paraId="3BF925DC" w14:textId="3FA9F544" w:rsidR="00A75681" w:rsidRPr="000E4F56" w:rsidRDefault="00C33374" w:rsidP="00A75681">
      <w:pPr>
        <w:jc w:val="both"/>
        <w:rPr>
          <w:rFonts w:cstheme="minorHAnsi"/>
        </w:rPr>
      </w:pPr>
      <w:r>
        <w:t>S cieľom dosiahnuť tieto ciele a čiastočne transponovať smernicu v tejto súvislosti sa týmto kráľovským dekrétom do technického stavebného zákona zavádza nová základná požiadavka na úsporu energie, ktorá sa týka minimálnych kvót na nabíjaciu infraštruktúru elektrických vozidiel, ktorá sa vyvíja v novom oddiele HE 6 „Minimálne zariadenia nabíjacej infraštruktúry pre elektrické vozidlá“ základného dokumentu o úspore energie. S cieľom zabezpečiť podmienky prístupnosti nabíjacích staníc na prístupných parkovacích miestach sa mení základný dokument DB-SUA „Bezpečnosť používania a prístupnosť“.</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Na druhej strane a v súlade s ustanoveniami zákona č. 7/2021 z 20. mája o zmene klímy a energetickej transformácii sa v jedinom dodatočnom ustanovení kráľovského dekrétu č. 314/2006 zo 17. marca, ktorým sa schvaľuje technický stavebný zákon, stanovuje požiadavka minimálnych rezerv na infraštruktúru nabíjania elektrických vozidiel v existujúcich budovách na </w:t>
      </w:r>
      <w:r>
        <w:lastRenderedPageBreak/>
        <w:t xml:space="preserve">iné účely než na súkromné bývanie, ktoré majú parkovaciu plochu s viac ako dvadsiatimi parkovacími miestami, a to buď vo vnútri, alebo v pridelenom vonkajšom priestore, a ktoré nie sú zahrnuté do rozsahu pôsobnosti oddielu HE6 základného dokumentu o úspore energie. V zákone č. 7/2021 z 20. mája o zmene klímy a energetickej transformácii sa stanovuje povinnosť zabezpečiť účinnosť tohto ustanovenia vymedzeného v technickom stavebnom zákone do 1. januára 2023. </w:t>
      </w:r>
    </w:p>
    <w:p w14:paraId="1192FDEB" w14:textId="77777777" w:rsidR="005074AB" w:rsidRPr="009064BC" w:rsidRDefault="005074AB" w:rsidP="005074AB">
      <w:pPr>
        <w:jc w:val="both"/>
        <w:rPr>
          <w:rFonts w:cstheme="minorHAnsi"/>
        </w:rPr>
      </w:pPr>
      <w:r>
        <w:t>Napokon, s cieľom dokončiť reguláciu infraštruktúr nabíjania elektrických vozidiel sa mení doplňujúci technický pokyn (ITC) BT-52 nariadenia o nízkonapäťových elektrotechnických zariadeniach schváleného kráľovským dekrétom č. 1053/2014 z 12. decembra a upravujú sa ďalšie doplňujúce technické pokyny.</w:t>
      </w:r>
    </w:p>
    <w:p w14:paraId="53205125" w14:textId="62D4F2A6" w:rsidR="005A6E61" w:rsidRPr="009064BC" w:rsidRDefault="005074AB" w:rsidP="005A6E61">
      <w:pPr>
        <w:jc w:val="both"/>
        <w:rPr>
          <w:rFonts w:cstheme="minorHAnsi"/>
        </w:rPr>
      </w:pPr>
      <w:r>
        <w:t xml:space="preserve">Okrem toho sa v PNIEC ako opatrenie na podporu energie z obnoviteľných zdrojov, zlepšenie konkurencieschopnosti výrobných odvetví a podnietenie spotrebiteľov, aby sa viac zapájali do riadenia svojej energie, plánuje rozvoj vlastnej spotreby s energiou z obnoviteľných zdrojov a distribuovanej výroby v obytných a obchodných oblastiach. </w:t>
      </w:r>
    </w:p>
    <w:p w14:paraId="4F23D1D3" w14:textId="56BE7436" w:rsidR="005074AB" w:rsidRPr="009064BC" w:rsidRDefault="005A6E61" w:rsidP="005074AB">
      <w:pPr>
        <w:jc w:val="both"/>
        <w:rPr>
          <w:rFonts w:cstheme="minorHAnsi"/>
        </w:rPr>
      </w:pPr>
      <w:r>
        <w:t xml:space="preserve">Schválenie kráľovského dekrétu č. 244/2019 z 5. apríla, ktorým sa upravujú administratívne, technické a hospodárske podmienky vlastnej spotreby elektrickej energie, v tejto súvislosti umožnilo okrem iného kolektívnu vlastnú spotrebu a zároveň obmedzilo administratívne postupy na realizáciu vlastnej spotreby. Dospelo sa preto k záveru, že súčasný právny rámec umožňuje rozšírenie rozsahu základnej požiadavky HE 5 týkajúcej sa minimálnej výroby elektrickej energie tak, aby sa uplatňovala v budovách na súkromné účely bývania, ako aj znížením prahovej hodnoty vybudovanej plochy v budovách na všetky použitia, na ktoré sa vzťahuje požiadavka. </w:t>
      </w:r>
    </w:p>
    <w:p w14:paraId="2C3560FF" w14:textId="60FA6548" w:rsidR="005074AB" w:rsidRDefault="005074AB" w:rsidP="005074AB">
      <w:pPr>
        <w:jc w:val="both"/>
        <w:rPr>
          <w:rFonts w:cstheme="minorHAnsi"/>
        </w:rPr>
      </w:pPr>
      <w:r>
        <w:t>Okrem toho, keďže v kráľovskom dekréte č. 732/2019 z 20. decembra, ktorým sa mení technický stavebný zákon, schválený kráľovským dekrétom č. 314/2006 zo 17. marca, uverejneným v „BOE“ č. 311 z 27. decembra 2019, boli zaznamenané chyby a tlačové chyby, vykonávajú sa príslušné opravy. Na druhej strane, s cieľom objasniť spôsob uplatňovania základného dokumentu DB-HE „Úspora energie“ po jeho aktualizácii uvedeným kráľovským dekrétom č. 732/2019 sa považuje za potrebné zmeniť znenie niektorých častí oddielu HE 1 o podmienkach kontroly dopytu po energii a prílohy A o terminológii uvedeného základného dokumentu.</w:t>
      </w:r>
    </w:p>
    <w:p w14:paraId="010C68C8" w14:textId="6D1CCB96" w:rsidR="00E26B23" w:rsidRDefault="00E26B23" w:rsidP="00B65F28">
      <w:pPr>
        <w:jc w:val="both"/>
        <w:rPr>
          <w:rFonts w:cstheme="minorHAnsi"/>
          <w:bCs/>
        </w:rPr>
      </w:pPr>
      <w:r>
        <w:t xml:space="preserve">Zmena technického zákona týkajúca sa začlenenia nového oddielu HE 6 „Minimálne ustanovenia o nabíjacej infraštruktúre elektrických vozidiel“ základného dokumentu o úspore energie, ako aj zmena kráľovského dekrétu č. 1053/2014 z 12. decembra, ktorým sa schvaľuje nový doplňujúci technický pokyn (ITC) BT 52 zahrnutý do prvého záverečného ustanovenia a jediného dodatočného ustanovenia kráľovského dekrétu č. 314/2006 zo 17. marca, ktorým sa schvaľuje technický stavebný zákon, sú súčasťou právnych reforiem plánovaných v Pláne obnovy, transformácie a odolnosti (PRTR). Konkrétne zložka 1 PRTR s názvom „Plán udržateľnej, bezpečnej a prepojenej mobility v mestskom a metropolitnom prostredí“ si vyžaduje schválenie tohto kráľovského dekrétu, ktorým sa vykonávajú uvedené právne reformy v rámci reformy C1.R1 s názvom „Plán zavádzania nabíjacej infraštruktúry a podpory elektrických vozidiel“.  Reforma C1.R1 je navrhnutá ako štatutárny, regulačný a strategický rámec na uľahčenie zavádzania nabíjacej infraštruktúry na podporu elektrických vozidiel v Španielsku a má dva míľniky. Prvý z nich tvorí nariadenie TMA/178/2020 z 19. februára, ktorým sa mení nariadenie zo 16. decembra 1997, ktorým sa upravujú prístupy k štátnym cestám, obslužným komunikáciám </w:t>
      </w:r>
      <w:r>
        <w:lastRenderedPageBreak/>
        <w:t xml:space="preserve">a výstavba servisných zariadení, a kráľovský zákonný dekrét č. 23/2020 z 23. júna, ktorým sa schvaľujú opatrenia v oblasti energetiky a iných oblastí na reaktiváciu hospodárstva. Druhý míľnik reformy C1.R1 zahŕňa schválenie tohto kráľovského dekrétu, ktorým sa mení technický stavebný zákon a kráľovský dekrét č. 1053/2014 z 12. decembra, ktorým sa schvaľuje nový doplňujúci technický pokyn (ITC) BT 52.  Reforma C1.R1 súvisí s investíciou C1.I2 „Motivačný plán pre inštaláciu nabíjacích staníc, nákup elektrických vozidiel a vozidiel s palivovými článkami a inovácie v oblasti elektromobility, nabíjania a ekologicky čistého vodíka.“ Táto investícia zahŕňa linky pomoci na inštaláciu nabíjacích staníc uvedené v kráľovskom dekréte č. 266/2021 z 13. apríla 2021, ktorým sa schvaľuje priame poskytovanie pomoci autonómnym oblastiam a mestám Ceuta a Melilla na realizáciu motivačných programov spojených s elektrickou mobilitou (MOVES III) v rámci PRTR. </w:t>
      </w:r>
    </w:p>
    <w:p w14:paraId="65C24996" w14:textId="1073EF13" w:rsidR="003F7C25" w:rsidRPr="001C78CB" w:rsidRDefault="003F7C25" w:rsidP="005074AB">
      <w:pPr>
        <w:jc w:val="both"/>
        <w:rPr>
          <w:rFonts w:cstheme="minorHAnsi"/>
          <w:bCs/>
          <w:i/>
          <w:iCs/>
        </w:rPr>
      </w:pPr>
      <w:r>
        <w:t xml:space="preserve">V tomto kráľovskom dekréte sa rešpektuje zásada „nespôsobovať významnú škodu“ (zásada DNSH – „Do No Significant Harm“) a podmienky pre klimatické a digitálne označovanie v súlade s ustanoveniami PRTR, nariadenia Európskeho parlamentu a Rady (EÚ) 2021/241 z 12. februára 2021, ktorým sa zriaďuje Mechanizmus na podporu obnovy a odolnosti, a jeho vykonávacích právnych predpisov, najmä oznámenia technického usmernenia Komisie k uplatňovaniu zásady „nespôsobovať významnú škodu“ podľa nariadenia o mechanizme odolnosti a obnovy, ako aj požiadavky vykonávacieho rozhodnutia Rady o schválení hodnotenia španielskeho plánu obnovy, transformácie a odolnosti. To zahŕňa dodržiavanie osobitných podmienok stanovených v zložke 1, ako aj v reforme 1, ktorá tvorí pre tento kráľovský dekrét rámec, a to tak vzhľadom na zásadu „nespôsobovať významnú škodu““, ako aj na klimatické a digitálne označovanie, a najmä na tie, ktoré sú uvedené v oddieloch 3, 6 a 8 dokumentu o zložke PRTR. V rámci investícií PRTR C1.I2 spojených s reformou C1.R1 sa takisto dodržiava zásada „nespôsobovať významnú škodu“ v životnom prostredí a podmienky klimatického a digitálneho označovania. </w:t>
      </w:r>
    </w:p>
    <w:p w14:paraId="16D6EC35" w14:textId="6F02251C" w:rsidR="005074AB" w:rsidRPr="009064BC" w:rsidRDefault="005074AB" w:rsidP="005074AB">
      <w:pPr>
        <w:ind w:left="13"/>
        <w:jc w:val="both"/>
        <w:rPr>
          <w:rFonts w:cstheme="minorHAnsi"/>
        </w:rPr>
      </w:pPr>
      <w:r>
        <w:t>Tento kráľovský dekrét je v súlade so zásadami nevyhnutnosti, účinnosti, proporcionality, právnej istoty, transparentnosti a efektívnosti stanovenými v článku 129 zákona č. 39/2015 z 1. októbra o spoločných administratívnych postupoch vo verejnej správe. Pokiaľ ide o zásady nevyhnutnosti a účinnosti, zákon reaguje na povinnosť transponovať európske smernice do vnútroštátneho práva a je v súlade s cieľmi všeobecného záujmu, ako je prispôsobenie stavebnej infraštruktúry na podporu udržateľnej mobility a využívania energie z obnoviteľných zdrojov. Výsledkom bude blahobyt v spoločnosti a ochrana životného prostredia. Tento kráľovský dekrét je takisto v súlade so zásadou proporcionality, keďže poskytuje potrebné a dostatočné prostriedky na vykonanie zákonného mandátu stanoveného v smernici, nevyžaduje si však inováciu, ktorá môže byť nepotrebná alebo prekračuje zákonné požiadavky, ani nepredstavuje obmedzenie práv občanov. Tento právny predpis je v súlade so zásadou právnej istoty, pretože bol vypracovaný v súlade s postupmi vymedzenými v zákone vlády č. 50/1997 z 27. novembra 1997 a zásadou transparentnosti, pretože jasne určuje jeho účel a jeho obsah v plnom rozsahu vysvetľuje verejne prístupná dôvodová správa. Napokon spĺňa aj zásadu efektívnosti, pretože nespôsobuje žiadnu administratívnu záťaž.</w:t>
      </w:r>
    </w:p>
    <w:p w14:paraId="4E30715D" w14:textId="77777777" w:rsidR="005074AB" w:rsidRPr="009064BC" w:rsidRDefault="005074AB" w:rsidP="005074AB">
      <w:pPr>
        <w:jc w:val="both"/>
        <w:rPr>
          <w:rFonts w:cstheme="minorHAnsi"/>
        </w:rPr>
      </w:pPr>
      <w:r>
        <w:t>Toto všeobecné ustanovenie bolo predmetom postupu pri poskytovaní informácií v oblasti technických predpisov a pravidiel vzťahujúcich sa na služby informačnej spoločnosti, ktorý je stanovený v smernici Európskeho parlamentu a Rady (EÚ) 2015/1535 z 9. septembra 2015, ako aj v kráľovskom dekréte č. 1337/1999 z 31. júla 1999.</w:t>
      </w:r>
    </w:p>
    <w:p w14:paraId="533AAB8D" w14:textId="741A459B" w:rsidR="003C546E" w:rsidRDefault="003C546E" w:rsidP="003C546E">
      <w:pPr>
        <w:jc w:val="both"/>
        <w:rPr>
          <w:rFonts w:cstheme="minorHAnsi"/>
        </w:rPr>
      </w:pPr>
      <w:r>
        <w:lastRenderedPageBreak/>
        <w:t>Na základe toho na návrh ministra dopravy, mobility a mestskej agendy a tretieho podpredsedu vlády a ministra pre ekologickú transformáciu a demografickú výzvu, po dohode so Štátnou radou a po rokovaniach Rady ministrov na jej zasadnutí dňa</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SA NARIAĎUJE:</w:t>
      </w:r>
    </w:p>
    <w:p w14:paraId="29194849" w14:textId="17EA67F9" w:rsidR="005074AB" w:rsidRPr="0033081E" w:rsidRDefault="002A5A94" w:rsidP="005074AB">
      <w:pPr>
        <w:jc w:val="both"/>
        <w:rPr>
          <w:rFonts w:cstheme="minorHAnsi"/>
          <w:bCs/>
          <w:i/>
          <w:iCs/>
        </w:rPr>
      </w:pPr>
      <w:r>
        <w:t xml:space="preserve">Jediný článok. </w:t>
      </w:r>
      <w:r>
        <w:rPr>
          <w:i/>
        </w:rPr>
        <w:t>Zmena technického stavebného zákona (CTE), schváleného kráľovským dekrétom č. 314/2006 zo 17. marca 2006.</w:t>
      </w:r>
    </w:p>
    <w:p w14:paraId="49F6DB5C" w14:textId="77777777" w:rsidR="005074AB" w:rsidRPr="009064BC" w:rsidRDefault="005074AB" w:rsidP="005074AB">
      <w:pPr>
        <w:jc w:val="both"/>
        <w:rPr>
          <w:rFonts w:cstheme="minorHAnsi"/>
        </w:rPr>
      </w:pPr>
      <w:r>
        <w:t>Kráľovský dekrét č. 314/2006 zo 17. marca 2006, ktorým sa schvaľuje technický stavebný zákon (CTE), sa mení takto:</w:t>
      </w:r>
    </w:p>
    <w:p w14:paraId="1E4A23CD" w14:textId="3CA20F16" w:rsidR="005074AB" w:rsidRPr="009064BC" w:rsidRDefault="005074AB" w:rsidP="005074AB">
      <w:pPr>
        <w:ind w:left="567" w:hanging="567"/>
        <w:jc w:val="both"/>
        <w:rPr>
          <w:rFonts w:cstheme="minorHAnsi"/>
        </w:rPr>
      </w:pPr>
      <w:r>
        <w:t>Po prvé. Časť I technického stavebného zákona sa mení takto:</w:t>
      </w:r>
    </w:p>
    <w:p w14:paraId="7B36765A" w14:textId="6C7BF234" w:rsidR="006B44D8" w:rsidRPr="009064BC" w:rsidRDefault="006B44D8" w:rsidP="0033081E">
      <w:pPr>
        <w:ind w:left="142" w:hanging="142"/>
        <w:jc w:val="both"/>
        <w:rPr>
          <w:rFonts w:cstheme="minorHAnsi"/>
        </w:rPr>
      </w:pPr>
      <w:r>
        <w:t>– V obsahu má názov „15.6. Základná požiadavka HE5: Minimálna výroba elektrickej energie" toto znenie:</w:t>
      </w:r>
    </w:p>
    <w:p w14:paraId="750B02FB" w14:textId="5E773080" w:rsidR="006B44D8" w:rsidRPr="009064BC" w:rsidRDefault="006B44D8" w:rsidP="00F11565">
      <w:pPr>
        <w:ind w:left="426"/>
        <w:jc w:val="both"/>
        <w:rPr>
          <w:rFonts w:cstheme="minorHAnsi"/>
        </w:rPr>
      </w:pPr>
      <w:r>
        <w:t>„15.6. Základná požiadavka HE 5: Oddiel HE5 Minimálna výroba elektrickej energie z obnoviteľných zdrojov.“</w:t>
      </w:r>
    </w:p>
    <w:p w14:paraId="0B75EAC4" w14:textId="77777777" w:rsidR="006B44D8" w:rsidRPr="009064BC" w:rsidRDefault="006B44D8" w:rsidP="006B44D8">
      <w:pPr>
        <w:numPr>
          <w:ilvl w:val="0"/>
          <w:numId w:val="9"/>
        </w:numPr>
        <w:ind w:left="142" w:hanging="142"/>
        <w:jc w:val="both"/>
        <w:rPr>
          <w:rFonts w:cstheme="minorHAnsi"/>
        </w:rPr>
      </w:pPr>
      <w:r>
        <w:t>Do odkazu na článok 15 v indexe sa vkladá ďalší bod s týmto textom:</w:t>
      </w:r>
    </w:p>
    <w:p w14:paraId="1C1AB680" w14:textId="1D8C7D23" w:rsidR="006B44D8" w:rsidRPr="009064BC" w:rsidRDefault="007E461E" w:rsidP="00F11565">
      <w:pPr>
        <w:ind w:left="426"/>
        <w:jc w:val="both"/>
        <w:rPr>
          <w:rFonts w:cstheme="minorHAnsi"/>
        </w:rPr>
      </w:pPr>
      <w:r>
        <w:t>„15.7. Základná požiadavka HE6: Minimálne zariadenia nabíjacej infraštruktúry pre elektrické vozidlá.</w:t>
      </w:r>
    </w:p>
    <w:p w14:paraId="03B3513D" w14:textId="1133ED17" w:rsidR="001E31F3" w:rsidRPr="002C30D6" w:rsidRDefault="005074AB" w:rsidP="005074AB">
      <w:pPr>
        <w:numPr>
          <w:ilvl w:val="0"/>
          <w:numId w:val="9"/>
        </w:numPr>
        <w:ind w:left="142" w:hanging="142"/>
        <w:jc w:val="both"/>
        <w:rPr>
          <w:rFonts w:cstheme="minorHAnsi"/>
        </w:rPr>
      </w:pPr>
      <w:r>
        <w:t>V kapitole 3 sa článok 15 bod 15.6 mení takto:</w:t>
      </w:r>
    </w:p>
    <w:p w14:paraId="1E36A006" w14:textId="3C6E29CB" w:rsidR="001E31F3" w:rsidRPr="009064BC" w:rsidRDefault="00F11565" w:rsidP="00F11565">
      <w:pPr>
        <w:pStyle w:val="ListParagraph"/>
        <w:ind w:left="426"/>
        <w:jc w:val="both"/>
        <w:rPr>
          <w:rFonts w:cstheme="minorHAnsi"/>
        </w:rPr>
      </w:pPr>
      <w:r>
        <w:t>„15.6 Základná požiadavka HE 5: Minimálna výroba elektrickej energie z obnoviteľných zdrojov.</w:t>
      </w:r>
    </w:p>
    <w:p w14:paraId="4799EB9C" w14:textId="22AE3D4A" w:rsidR="001E31F3" w:rsidRPr="009064BC" w:rsidRDefault="001B0467" w:rsidP="00F11565">
      <w:pPr>
        <w:ind w:left="426"/>
        <w:jc w:val="both"/>
        <w:rPr>
          <w:rFonts w:cstheme="minorHAnsi"/>
        </w:rPr>
      </w:pPr>
      <w:r>
        <w:t>Budovy musia mať systémy na výrobu elektrickej energie z obnoviteľných zdrojov na vlastnú spotrebu alebo na zásobovanie rozvodnej siete.“</w:t>
      </w:r>
    </w:p>
    <w:p w14:paraId="799517C6" w14:textId="6A449415" w:rsidR="005074AB" w:rsidRPr="009064BC" w:rsidRDefault="001E31F3" w:rsidP="005074AB">
      <w:pPr>
        <w:numPr>
          <w:ilvl w:val="0"/>
          <w:numId w:val="9"/>
        </w:numPr>
        <w:ind w:left="142" w:hanging="142"/>
        <w:jc w:val="both"/>
        <w:rPr>
          <w:rFonts w:cstheme="minorHAnsi"/>
        </w:rPr>
      </w:pPr>
      <w:r>
        <w:t>Na koniec článku 15 sa vkladá tento text:</w:t>
      </w:r>
    </w:p>
    <w:p w14:paraId="67BDEE2E" w14:textId="77777777" w:rsidR="005074AB" w:rsidRPr="009064BC" w:rsidRDefault="005074AB" w:rsidP="00F11565">
      <w:pPr>
        <w:ind w:left="426"/>
        <w:jc w:val="both"/>
        <w:rPr>
          <w:rFonts w:cstheme="minorHAnsi"/>
        </w:rPr>
      </w:pPr>
      <w:r>
        <w:t>„15.7 Základná požiadavka HE 6: Minimálne zariadenia nabíjacej infraštruktúry pre elektrické vozidlá.</w:t>
      </w:r>
    </w:p>
    <w:p w14:paraId="7C67403C" w14:textId="535BDE0B" w:rsidR="005074AB" w:rsidRDefault="005074AB" w:rsidP="00F11565">
      <w:pPr>
        <w:ind w:left="426"/>
        <w:jc w:val="both"/>
        <w:rPr>
          <w:rFonts w:cstheme="minorHAnsi"/>
        </w:rPr>
      </w:pPr>
      <w:r>
        <w:t>Budovy musia mať minimálnu infraštruktúru umožňujúcu nabíjanie elektrických vozidiel.“</w:t>
      </w:r>
    </w:p>
    <w:p w14:paraId="6F674517" w14:textId="77777777" w:rsidR="002A5A94" w:rsidRPr="000E4F56" w:rsidRDefault="002A5A94" w:rsidP="002A5A94">
      <w:pPr>
        <w:pStyle w:val="ListParagraph"/>
        <w:numPr>
          <w:ilvl w:val="0"/>
          <w:numId w:val="9"/>
        </w:numPr>
        <w:ind w:left="142" w:hanging="142"/>
        <w:jc w:val="both"/>
        <w:rPr>
          <w:rFonts w:cstheme="minorHAnsi"/>
        </w:rPr>
      </w:pPr>
      <w:r>
        <w:t>Dopĺňa sa nasledujúce dodatočné ustanovenie:</w:t>
      </w:r>
    </w:p>
    <w:p w14:paraId="2417D1DC" w14:textId="3DAEE52F" w:rsidR="002A5A94" w:rsidRPr="0033081E" w:rsidRDefault="002A5A94" w:rsidP="002A5A94">
      <w:pPr>
        <w:ind w:left="426"/>
        <w:jc w:val="both"/>
        <w:rPr>
          <w:rFonts w:cstheme="minorHAnsi"/>
          <w:bCs/>
          <w:i/>
          <w:iCs/>
        </w:rPr>
      </w:pPr>
      <w:r>
        <w:t xml:space="preserve">„Jedno dodatočné ustanovenie. </w:t>
      </w:r>
      <w:r>
        <w:rPr>
          <w:i/>
        </w:rPr>
        <w:t>Minimálne zariadenia nabíjacej infraštruktúry pre elektrické vozidlá v budovách na iné účely ako súkromné obytné budovy s viac ako dvadsiatimi parkovacími miestami.</w:t>
      </w:r>
    </w:p>
    <w:p w14:paraId="71CE31DD" w14:textId="72E1754E" w:rsidR="0067270E" w:rsidRPr="008F4D49" w:rsidRDefault="0067270E" w:rsidP="0067270E">
      <w:pPr>
        <w:ind w:left="426"/>
        <w:jc w:val="both"/>
      </w:pPr>
      <w:r>
        <w:t>V súlade s ustanoveniami zákona č. 7/2021 z 20. mája o zmene klímy a energetickej transformácii musia mať pred 1. januárom 2023 všetky budovy určené na iné než súkromné účely bývania, ktoré majú parkovaciu plochu s viac ako dvadsiatimi parkovacími miestami, buď vo vnútri, alebo v určenom vonkajšom priestore, tieto minimálne zariadenia nabíjacej infraštruktúry pre elektrické vozidlá:</w:t>
      </w:r>
    </w:p>
    <w:p w14:paraId="2339A7CE" w14:textId="2F683544" w:rsidR="0067270E" w:rsidRPr="00DC3EE9" w:rsidRDefault="0067270E" w:rsidP="00675D0E">
      <w:pPr>
        <w:ind w:left="426"/>
        <w:jc w:val="both"/>
        <w:rPr>
          <w:rFonts w:cstheme="minorHAnsi"/>
        </w:rPr>
      </w:pPr>
      <w:r>
        <w:lastRenderedPageBreak/>
        <w:t>– Vo všeobecnosti musí byť na každých 40 parkovacích miest alebo ekvivalentný počet do 1 000 miest inštalovaná jedna nabíjacia stanica a jedna dodatočná nabíjacia stanica na každých ďalších 100 miest alebo ekvivalentný počet. Alternatívne sa bude požadovať obecná licencia alebo povolenie na práce potrebné na realizáciu tejto nabíjacej infraštruktúry alebo v prípade, že sa na vlastníka budovy vzťahuje zákon č. 9/2017 z 8. novembra o zmluvách vo verejnom sektore, ktorým sa do španielskeho práva transponujú smernice Európskeho parlamentu a Rady 2014/23/EÚ a 2014/24/EÚ z 26. februára 2014, iniciuje sa verejná súťaž na uvedené práce alebo projekt alebo technický dokument potrebný na jej vymedzenie, a to oznámením na príslušnej obstarávacej platforme</w:t>
      </w:r>
      <w:bookmarkStart w:id="0" w:name="_Hlk74840570"/>
      <w:r>
        <w:t>. Práce, ktoré nadobudli oficiálny charakter na základe žiadosti o obecnú licenciu alebo povolenie, sa musia začať v maximálnej lehote účinnosti povolenia v súlade s príslušnými predpismi, a ak to nie je možné, do šiestich mesiacov odo dňa udelenia povolenia. Práce, ktoré nadobudli oficiálny charakter na základe začatia ich verejnej súťaže alebo verejnou súťažou na projekt alebo technickým dokumentom, ktorý ich vymedzuje, sa musia začať v maximálnej lehote účinnosti povolenia, obecného povolenia alebo rovnocenného povolenia, alebo ak to nie je možné, do šiestich mesiacov odo dňa ich udelenia.</w:t>
      </w:r>
    </w:p>
    <w:bookmarkEnd w:id="0"/>
    <w:p w14:paraId="58AB7358" w14:textId="65977551" w:rsidR="00F90C96" w:rsidRPr="008F4D49" w:rsidRDefault="0067270E" w:rsidP="00EA32C0">
      <w:pPr>
        <w:ind w:left="426"/>
        <w:jc w:val="both"/>
        <w:rPr>
          <w:rFonts w:cstheme="minorHAnsi"/>
        </w:rPr>
      </w:pPr>
      <w:r>
        <w:t>– V budovách, ktoré sú vo vlastníctve všeobecnej štátnej správy alebo verejných orgánov, ktoré sú s ňou spojené alebo ktoré k nej patria, sa na každých 20 parkovacích miest alebo ekvivalentný počet do 500 miest nainštaluje jedna nabíjacia stanica a na každých ďalších 100 miest alebo ekvivalentný počet sa inštaluje jedna dodatočná nabíjacia stanica, prípadne sa iniciuje výberové konanie na práce alebo projekt alebo technický dokument potrebný na vymedzenie prác, a to prostredníctvom oznámenia na príslušnej obstarávacej platforme. Práce, ktoré nadobudli oficiálny charakter na základe začatia ich verejnej súťaže alebo verejnou súťažou na projekt alebo technickým dokumentom, ktorý ich vymedzuje, sa musia začať v maximálnej lehote účinnosti povolenia, obecného povolenia alebo rovnocenného povolenia, alebo ak to nie je možné, do šiestich mesiacov odo dňa ich udelenia.</w:t>
      </w:r>
    </w:p>
    <w:p w14:paraId="354182C6" w14:textId="54A09FDC" w:rsidR="002A5A94" w:rsidRPr="00BA4C0D" w:rsidRDefault="002A5A94" w:rsidP="00210EA2">
      <w:pPr>
        <w:ind w:left="426"/>
        <w:jc w:val="both"/>
      </w:pPr>
      <w:r>
        <w:t>Úradne chránené budovy sú vyňaté z týchto povinností, pretože sú súčasťou deklarovaného prostredia alebo z dôvodu ich osobitnej architektonickej alebo historickej hodnoty, pokiaľ by súlad s touto požiadavkou mohol neprimerane zmeniť ich charakter alebo vzhľad, a nezmeniteľné prvky určuje orgán, ktorý nariaďuje úradnú ochranu.</w:t>
      </w:r>
    </w:p>
    <w:p w14:paraId="0662362C" w14:textId="0FC45639" w:rsidR="002A5A94" w:rsidRPr="0062182D" w:rsidRDefault="002A5A94" w:rsidP="0062182D">
      <w:pPr>
        <w:pStyle w:val="ListParagraph"/>
        <w:ind w:left="426"/>
        <w:jc w:val="both"/>
        <w:rPr>
          <w:rFonts w:cstheme="minorHAnsi"/>
        </w:rPr>
      </w:pPr>
      <w:r>
        <w:t>Táto nabíjacia infraštruktúra pre elektrické vozidlá bude v súlade s ustanoveniami kráľovského dekrétu č. 842/2002 z 2. augusta, ktorým sa schvaľuje nariadenie o nízkonapäťových elektrotechnických zariadeniach a jeho doplňujúcim technickým pokynom (ITC) BT 52 „Inštalácie na osobitné účely. Nabíjacia infraštruktúra pre elektrické vozidlá“, ako aj ustanoveniami 4. „Odôvodnenie požiadavky“ a 5. „Výstavba, údržba a udržiavanie“ oddielu HE 6 „Minimálne zariadenia nabíjacej infraštruktúry pre elektrické vozidlá“ základného dokumentu DB-HE „Úspory energie“.“</w:t>
      </w:r>
    </w:p>
    <w:p w14:paraId="0769E30E" w14:textId="6A51451B" w:rsidR="0033081E" w:rsidRPr="008F4D49" w:rsidRDefault="005074AB" w:rsidP="00D47CC2">
      <w:pPr>
        <w:jc w:val="both"/>
        <w:rPr>
          <w:rFonts w:cstheme="minorHAnsi"/>
        </w:rPr>
      </w:pPr>
      <w:r>
        <w:t xml:space="preserve">Po druhé. Mení sa základný dokument DB-HE „Úspory energie“ uvedený v časti II technického stavebného zákona, ktorým sa začleňuje oddiel HE 6 „Minimálne zariadenia nabíjacej infraštruktúry pre elektrické vozidlá“, ktorý je uvedený ako príloha I k tomuto kráľovskému dekrétu. </w:t>
      </w:r>
    </w:p>
    <w:p w14:paraId="5DC46FAC" w14:textId="4A465EFF" w:rsidR="005074AB" w:rsidRPr="008F4D49" w:rsidRDefault="005074AB" w:rsidP="005074AB">
      <w:pPr>
        <w:spacing w:after="162"/>
        <w:ind w:left="13"/>
        <w:jc w:val="both"/>
        <w:rPr>
          <w:rFonts w:cstheme="minorHAnsi"/>
        </w:rPr>
      </w:pPr>
      <w:r>
        <w:t>V základnom dokumente DB-HE sa vykonávajú aj tieto zmeny:</w:t>
      </w:r>
    </w:p>
    <w:p w14:paraId="53FD09BA" w14:textId="1FBEE4B0" w:rsidR="005074AB" w:rsidRPr="009064BC" w:rsidRDefault="005074AB" w:rsidP="006424FF">
      <w:pPr>
        <w:numPr>
          <w:ilvl w:val="0"/>
          <w:numId w:val="13"/>
        </w:numPr>
        <w:spacing w:after="162"/>
        <w:ind w:left="720" w:hanging="295"/>
        <w:jc w:val="both"/>
        <w:rPr>
          <w:rFonts w:cstheme="minorHAnsi"/>
        </w:rPr>
      </w:pPr>
      <w:r>
        <w:lastRenderedPageBreak/>
        <w:t>V prvom pododseku oddielu „I Predmet“ v rámci časti „Úvod“ by sa vo vete „Oddiely tohto základného dokumentu zodpovedajú základným požiadavkám HE 0 a až HE 5“ malo namiesto „HE 5“ uvádzať „HE 6“.</w:t>
      </w:r>
    </w:p>
    <w:p w14:paraId="7957EC48" w14:textId="441BEE49" w:rsidR="006F5E38" w:rsidRPr="009064BC" w:rsidRDefault="006F5E38" w:rsidP="006424FF">
      <w:pPr>
        <w:numPr>
          <w:ilvl w:val="0"/>
          <w:numId w:val="13"/>
        </w:numPr>
        <w:spacing w:after="162"/>
        <w:ind w:left="720" w:hanging="295"/>
        <w:jc w:val="both"/>
        <w:rPr>
          <w:rFonts w:cstheme="minorHAnsi"/>
        </w:rPr>
      </w:pPr>
      <w:r>
        <w:t>V oddiele I „Predmet“ v rámci časti „Úvod“ sa odkaz na článok 15.6 časti I CTE mení takto:</w:t>
      </w:r>
    </w:p>
    <w:p w14:paraId="5F1636DD" w14:textId="77777777" w:rsidR="006F5E38" w:rsidRPr="009064BC" w:rsidRDefault="006F5E38" w:rsidP="009064BC">
      <w:pPr>
        <w:pStyle w:val="ListParagraph"/>
        <w:ind w:left="709"/>
        <w:contextualSpacing w:val="0"/>
        <w:jc w:val="both"/>
        <w:rPr>
          <w:rFonts w:cstheme="minorHAnsi"/>
        </w:rPr>
      </w:pPr>
      <w:r>
        <w:t>„15.6 Základná požiadavka HE 5: Minimálna výroba elektrickej energie z obnoviteľných zdrojov.</w:t>
      </w:r>
    </w:p>
    <w:p w14:paraId="6BB983CA" w14:textId="72439AD8" w:rsidR="006F5E38" w:rsidRPr="009064BC" w:rsidRDefault="006F5E38" w:rsidP="009064BC">
      <w:pPr>
        <w:pStyle w:val="ListParagraph"/>
        <w:spacing w:after="162"/>
        <w:ind w:left="709"/>
        <w:contextualSpacing w:val="0"/>
        <w:jc w:val="both"/>
        <w:rPr>
          <w:rFonts w:cstheme="minorHAnsi"/>
        </w:rPr>
      </w:pPr>
      <w:r>
        <w:t>Budovy musia mať systémy na výrobu elektrickej energie z obnoviteľných zdrojov na vlastnú spotrebu alebo na zásobovanie rozvodnej siete.“</w:t>
      </w:r>
    </w:p>
    <w:p w14:paraId="2D6B0228" w14:textId="7AFD12CA" w:rsidR="005074AB" w:rsidRPr="009064BC" w:rsidRDefault="005074AB" w:rsidP="006424FF">
      <w:pPr>
        <w:numPr>
          <w:ilvl w:val="0"/>
          <w:numId w:val="13"/>
        </w:numPr>
        <w:spacing w:after="162"/>
        <w:ind w:left="720" w:hanging="295"/>
        <w:jc w:val="both"/>
        <w:rPr>
          <w:rFonts w:cstheme="minorHAnsi"/>
        </w:rPr>
      </w:pPr>
      <w:r>
        <w:t>V oddiele I „Predmet“ v rámci časti „Úvod“ sa do odkazu na článok 15 časti I CTE na konci CTE vkladá dodatočný bod s týmto textom:</w:t>
      </w:r>
    </w:p>
    <w:p w14:paraId="7D3E8D59" w14:textId="77777777" w:rsidR="005074AB" w:rsidRPr="009064BC" w:rsidRDefault="005074AB" w:rsidP="006424FF">
      <w:pPr>
        <w:ind w:left="709"/>
        <w:jc w:val="both"/>
        <w:rPr>
          <w:rFonts w:cstheme="minorHAnsi"/>
        </w:rPr>
      </w:pPr>
      <w:r>
        <w:t>„15.7. Základná požiadavka HE 6: Minimálne zariadenia nabíjacej infraštruktúry pre elektrické vozidlá.</w:t>
      </w:r>
    </w:p>
    <w:p w14:paraId="63C180D9" w14:textId="77777777" w:rsidR="005074AB" w:rsidRPr="009064BC" w:rsidRDefault="005074AB" w:rsidP="006424FF">
      <w:pPr>
        <w:ind w:left="709"/>
        <w:jc w:val="both"/>
        <w:rPr>
          <w:rFonts w:cstheme="minorHAnsi"/>
        </w:rPr>
      </w:pPr>
      <w:r>
        <w:t>Budovy musia mať minimálnu infraštruktúru umožňujúcu nabíjanie elektrických vozidiel.“</w:t>
      </w:r>
    </w:p>
    <w:p w14:paraId="2CCB9F35" w14:textId="1C8D3E4F" w:rsidR="001B0467" w:rsidRPr="009064BC" w:rsidRDefault="001B0467" w:rsidP="006424FF">
      <w:pPr>
        <w:numPr>
          <w:ilvl w:val="0"/>
          <w:numId w:val="13"/>
        </w:numPr>
        <w:ind w:left="720" w:hanging="294"/>
        <w:jc w:val="both"/>
        <w:rPr>
          <w:rFonts w:cstheme="minorHAnsi"/>
        </w:rPr>
      </w:pPr>
      <w:r>
        <w:t>V obsahu sa názov oddielu HE 5 mení takto:</w:t>
      </w:r>
    </w:p>
    <w:p w14:paraId="7DC0F11B" w14:textId="4E9858DC" w:rsidR="001B0467" w:rsidRPr="009064BC" w:rsidRDefault="001B0467" w:rsidP="001B0467">
      <w:pPr>
        <w:pStyle w:val="ListParagraph"/>
        <w:ind w:left="709"/>
        <w:jc w:val="both"/>
        <w:rPr>
          <w:rFonts w:cstheme="minorHAnsi"/>
        </w:rPr>
      </w:pPr>
      <w:r>
        <w:t>„Oddiel HE 5 Minimálna výroba elektrickej energie z obnoviteľných zdrojov.“</w:t>
      </w:r>
    </w:p>
    <w:p w14:paraId="1178E5DE" w14:textId="4953BECD" w:rsidR="005074AB" w:rsidRPr="009064BC" w:rsidRDefault="005074AB" w:rsidP="006424FF">
      <w:pPr>
        <w:numPr>
          <w:ilvl w:val="0"/>
          <w:numId w:val="13"/>
        </w:numPr>
        <w:ind w:left="720" w:hanging="294"/>
        <w:jc w:val="both"/>
        <w:rPr>
          <w:rFonts w:cstheme="minorHAnsi"/>
        </w:rPr>
      </w:pPr>
      <w:r>
        <w:t>Do odkazu na článok 15 v indexe sa vkladá ďalší bod s týmto textom:</w:t>
      </w:r>
    </w:p>
    <w:p w14:paraId="661731BD" w14:textId="77ABBD4C" w:rsidR="005074AB" w:rsidRPr="009064BC" w:rsidRDefault="00982E58" w:rsidP="00982E58">
      <w:pPr>
        <w:tabs>
          <w:tab w:val="left" w:pos="7938"/>
        </w:tabs>
        <w:ind w:left="1134" w:hanging="425"/>
        <w:contextualSpacing/>
        <w:jc w:val="both"/>
        <w:rPr>
          <w:rFonts w:cstheme="minorHAnsi"/>
        </w:rPr>
      </w:pPr>
      <w:r>
        <w:t>„Oddiel HE 6 Minimálne zariadenia nabíjacej infraštruktúry pre elektrické vozidlá...............................................................................................................</w:t>
      </w:r>
      <w:r>
        <w:tab/>
        <w:t>33</w:t>
      </w:r>
    </w:p>
    <w:p w14:paraId="22DC136D" w14:textId="60D3FF95" w:rsidR="005074AB" w:rsidRPr="009064BC" w:rsidRDefault="005074AB" w:rsidP="00982E58">
      <w:pPr>
        <w:numPr>
          <w:ilvl w:val="0"/>
          <w:numId w:val="10"/>
        </w:numPr>
        <w:tabs>
          <w:tab w:val="left" w:pos="7938"/>
        </w:tabs>
        <w:ind w:left="1134" w:hanging="425"/>
        <w:contextualSpacing/>
        <w:jc w:val="both"/>
        <w:rPr>
          <w:rFonts w:cstheme="minorHAnsi"/>
        </w:rPr>
      </w:pPr>
      <w:r>
        <w:t>Rozsah pôsobnosti.......................................................................................................</w:t>
      </w:r>
      <w:r>
        <w:tab/>
        <w:t>33</w:t>
      </w:r>
    </w:p>
    <w:p w14:paraId="6FE2086C" w14:textId="2E2F009B" w:rsidR="005074AB" w:rsidRPr="009064BC" w:rsidRDefault="005074AB" w:rsidP="00982E58">
      <w:pPr>
        <w:numPr>
          <w:ilvl w:val="0"/>
          <w:numId w:val="10"/>
        </w:numPr>
        <w:tabs>
          <w:tab w:val="left" w:pos="7938"/>
        </w:tabs>
        <w:ind w:left="1134" w:hanging="425"/>
        <w:contextualSpacing/>
        <w:jc w:val="both"/>
        <w:rPr>
          <w:rFonts w:cstheme="minorHAnsi"/>
        </w:rPr>
      </w:pPr>
      <w:r>
        <w:t>Opis požiadavky……………………………………………………………………</w:t>
      </w:r>
      <w:r w:rsidR="00B445DB">
        <w:rPr>
          <w:lang w:val="el-GR"/>
        </w:rPr>
        <w:t>.......................</w:t>
      </w:r>
      <w:r>
        <w:tab/>
        <w:t>34</w:t>
      </w:r>
    </w:p>
    <w:p w14:paraId="4D6A108B" w14:textId="617B4C88" w:rsidR="005074AB" w:rsidRPr="009064BC" w:rsidRDefault="005074AB" w:rsidP="00982E58">
      <w:pPr>
        <w:numPr>
          <w:ilvl w:val="0"/>
          <w:numId w:val="10"/>
        </w:numPr>
        <w:tabs>
          <w:tab w:val="left" w:pos="7938"/>
        </w:tabs>
        <w:ind w:left="1134" w:hanging="425"/>
        <w:contextualSpacing/>
        <w:jc w:val="both"/>
        <w:rPr>
          <w:rFonts w:cstheme="minorHAnsi"/>
        </w:rPr>
      </w:pPr>
      <w:r>
        <w:t>Kvantifikácia požiadavky..............................................................................................</w:t>
      </w:r>
      <w:r w:rsidR="00B445DB">
        <w:rPr>
          <w:lang w:val="el-GR"/>
        </w:rPr>
        <w:t>.....</w:t>
      </w:r>
      <w:r>
        <w:t>..</w:t>
      </w:r>
      <w:r>
        <w:tab/>
        <w:t>34</w:t>
      </w:r>
    </w:p>
    <w:p w14:paraId="79098154" w14:textId="10763283" w:rsidR="005074AB" w:rsidRPr="009064BC" w:rsidRDefault="005074AB" w:rsidP="00982E58">
      <w:pPr>
        <w:numPr>
          <w:ilvl w:val="0"/>
          <w:numId w:val="10"/>
        </w:numPr>
        <w:tabs>
          <w:tab w:val="left" w:pos="7938"/>
        </w:tabs>
        <w:ind w:left="1134" w:hanging="425"/>
        <w:contextualSpacing/>
        <w:jc w:val="both"/>
        <w:rPr>
          <w:rFonts w:cstheme="minorHAnsi"/>
        </w:rPr>
      </w:pPr>
      <w:r>
        <w:t>Odôvodnenie požiadavky…………………………………………………………………</w:t>
      </w:r>
      <w:r w:rsidR="00B445DB">
        <w:rPr>
          <w:lang w:val="el-GR"/>
        </w:rPr>
        <w:t>.....</w:t>
      </w:r>
      <w:r>
        <w:t>…</w:t>
      </w:r>
      <w:r>
        <w:tab/>
        <w:t>34</w:t>
      </w:r>
    </w:p>
    <w:p w14:paraId="7CB375BD" w14:textId="034F0AE2" w:rsidR="005074AB" w:rsidRPr="009064BC" w:rsidRDefault="005074AB" w:rsidP="00982E58">
      <w:pPr>
        <w:numPr>
          <w:ilvl w:val="0"/>
          <w:numId w:val="10"/>
        </w:numPr>
        <w:tabs>
          <w:tab w:val="left" w:pos="7938"/>
        </w:tabs>
        <w:ind w:left="1134" w:hanging="425"/>
        <w:contextualSpacing/>
        <w:jc w:val="both"/>
        <w:rPr>
          <w:rFonts w:cstheme="minorHAnsi"/>
        </w:rPr>
      </w:pPr>
      <w:r>
        <w:t>Výstavba, údržba a udržiavanie.........................................................</w:t>
      </w:r>
      <w:r w:rsidR="00B445DB">
        <w:rPr>
          <w:lang w:val="el-GR"/>
        </w:rPr>
        <w:t>..........</w:t>
      </w:r>
      <w:r w:rsidR="00B445DB">
        <w:rPr>
          <w:lang w:val="el-GR"/>
        </w:rPr>
        <w:tab/>
      </w:r>
      <w:r>
        <w:t>.35</w:t>
      </w:r>
    </w:p>
    <w:p w14:paraId="0BB8C82D" w14:textId="37540152" w:rsidR="005074AB" w:rsidRPr="009064BC" w:rsidRDefault="006424FF" w:rsidP="00982E58">
      <w:pPr>
        <w:tabs>
          <w:tab w:val="left" w:pos="7938"/>
        </w:tabs>
        <w:ind w:left="1843" w:hanging="425"/>
        <w:contextualSpacing/>
        <w:jc w:val="both"/>
        <w:rPr>
          <w:rFonts w:cstheme="minorHAnsi"/>
        </w:rPr>
      </w:pPr>
      <w:r>
        <w:t>5.1</w:t>
      </w:r>
      <w:r>
        <w:tab/>
        <w:t>Vykonávanie…………………………………………………………………………</w:t>
      </w:r>
      <w:r w:rsidR="00B445DB">
        <w:rPr>
          <w:lang w:val="el-GR"/>
        </w:rPr>
        <w:t>........</w:t>
      </w:r>
      <w:r>
        <w:tab/>
        <w:t>35</w:t>
      </w:r>
    </w:p>
    <w:p w14:paraId="4AE42B35" w14:textId="0CA47565" w:rsidR="005074AB" w:rsidRPr="009064BC" w:rsidRDefault="005074AB" w:rsidP="00982E58">
      <w:pPr>
        <w:tabs>
          <w:tab w:val="left" w:pos="7938"/>
        </w:tabs>
        <w:ind w:left="1843" w:hanging="425"/>
        <w:contextualSpacing/>
        <w:jc w:val="both"/>
        <w:rPr>
          <w:rFonts w:cstheme="minorHAnsi"/>
        </w:rPr>
      </w:pPr>
      <w:r>
        <w:t>5.2</w:t>
      </w:r>
      <w:r>
        <w:tab/>
        <w:t>Monitorovanie vykonávania prác......................................................</w:t>
      </w:r>
      <w:r w:rsidR="00B445DB">
        <w:tab/>
      </w:r>
      <w:r>
        <w:t>35</w:t>
      </w:r>
    </w:p>
    <w:p w14:paraId="2E5A6752" w14:textId="1C385C44" w:rsidR="005074AB" w:rsidRPr="009064BC" w:rsidRDefault="005074AB" w:rsidP="00982E58">
      <w:pPr>
        <w:tabs>
          <w:tab w:val="left" w:pos="7938"/>
        </w:tabs>
        <w:ind w:left="1843" w:hanging="436"/>
        <w:contextualSpacing/>
        <w:jc w:val="both"/>
        <w:rPr>
          <w:rFonts w:cstheme="minorHAnsi"/>
        </w:rPr>
      </w:pPr>
      <w:r>
        <w:t>5.3</w:t>
      </w:r>
      <w:r>
        <w:tab/>
        <w:t>Kontrola dokončených prác............................................................</w:t>
      </w:r>
      <w:r>
        <w:tab/>
        <w:t>35</w:t>
      </w:r>
    </w:p>
    <w:p w14:paraId="5D3A912D" w14:textId="756B77B5" w:rsidR="005074AB" w:rsidRPr="009064BC" w:rsidRDefault="005074AB" w:rsidP="00982E58">
      <w:pPr>
        <w:tabs>
          <w:tab w:val="left" w:pos="7938"/>
        </w:tabs>
        <w:ind w:left="1843" w:hanging="425"/>
        <w:contextualSpacing/>
        <w:jc w:val="both"/>
        <w:rPr>
          <w:rFonts w:cstheme="minorHAnsi"/>
        </w:rPr>
      </w:pPr>
      <w:r>
        <w:t>5.4</w:t>
      </w:r>
      <w:r>
        <w:tab/>
        <w:t>Údržba a udržiavanie budovy...........................................</w:t>
      </w:r>
      <w:r w:rsidR="00B445DB">
        <w:rPr>
          <w:lang w:val="el-GR"/>
        </w:rPr>
        <w:t>.................</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V oddiele HE 0 „Limity spotreby energie“ sa v oddiele 4.1 „Postup výpočtu“ v odseku 9 slová „uznávaný dokument“ nahrádzajú slovami „uznávaný dokument o certifikácii energie pre budovy“.</w:t>
      </w:r>
    </w:p>
    <w:p w14:paraId="3222E360" w14:textId="2F90CB7E" w:rsidR="0067340E" w:rsidRPr="0067340E" w:rsidRDefault="006C16B4" w:rsidP="0026457E">
      <w:pPr>
        <w:numPr>
          <w:ilvl w:val="0"/>
          <w:numId w:val="13"/>
        </w:numPr>
        <w:ind w:left="720" w:hanging="295"/>
        <w:jc w:val="both"/>
        <w:rPr>
          <w:rFonts w:cstheme="minorHAnsi"/>
        </w:rPr>
      </w:pPr>
      <w:r>
        <w:t>V oddiele HE 0 „Limity spotreby energie“ sa v oddiele 4.1 „Postup výpočtu“ odsek 9 stáva odsekom 11 a dopĺňajú sa tieto pododseky:</w:t>
      </w:r>
    </w:p>
    <w:p w14:paraId="3392DEB4" w14:textId="73112890" w:rsidR="0067340E" w:rsidRDefault="0067340E" w:rsidP="0067340E">
      <w:pPr>
        <w:ind w:left="1134" w:hanging="425"/>
        <w:contextualSpacing/>
        <w:jc w:val="both"/>
        <w:rPr>
          <w:rFonts w:cstheme="minorHAnsi"/>
        </w:rPr>
      </w:pPr>
      <w:r>
        <w:t>„9</w:t>
      </w:r>
      <w:r>
        <w:tab/>
        <w:t xml:space="preserve">Výpočet energetickej bilancie potrebnej na overenie požiadaviek tohto BD sa vykonáva v súlade s normou UNE-EN ISO 52000-1:2019: Zastrešujúce posúdenie </w:t>
      </w:r>
      <w:r>
        <w:lastRenderedPageBreak/>
        <w:t>energetickej hospodárnosti budov. Časť 1: Všeobecný rámec a postupy s použitím exportného faktora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Na účely prideľovania rôznych služieb sa distribúcia elektrickej energie vyrobenej na mieste v každom časovom intervale vypočíta úmerne k elektrickej spotrebe príslušnej spotreby (vykurovanie, chladenie, vetranie, ACS a a v terciárnom použití navyše osvetlenie).“</w:t>
      </w:r>
    </w:p>
    <w:p w14:paraId="78947690" w14:textId="66930B3C" w:rsidR="005074AB" w:rsidRPr="009064BC" w:rsidRDefault="005074AB" w:rsidP="0026457E">
      <w:pPr>
        <w:numPr>
          <w:ilvl w:val="0"/>
          <w:numId w:val="13"/>
        </w:numPr>
        <w:ind w:left="720" w:hanging="294"/>
        <w:jc w:val="both"/>
        <w:rPr>
          <w:rFonts w:cstheme="minorHAnsi"/>
        </w:rPr>
      </w:pPr>
      <w:r>
        <w:t>V oddiele HE 1 „Podmienky regulácie dopytu po energii“ sa v oddiele 3.1.1 „Priepustnosť tepelného plášťa“ dopĺňa tento pododsek:</w:t>
      </w:r>
    </w:p>
    <w:p w14:paraId="729573A3" w14:textId="05413AE2" w:rsidR="005074AB" w:rsidRPr="009064BC" w:rsidRDefault="005074AB" w:rsidP="006424FF">
      <w:pPr>
        <w:ind w:left="1134" w:hanging="425"/>
        <w:jc w:val="both"/>
        <w:rPr>
          <w:rFonts w:cstheme="minorHAnsi"/>
        </w:rPr>
      </w:pPr>
      <w:r>
        <w:t>„6</w:t>
      </w:r>
      <w:r>
        <w:tab/>
        <w:t>Budovy alebo v prípade čiastočných zásahov do existujúcich budov časti budov, na ktorých sa vykonávajú zásahy, ktorých požiadavky na vykurovanie a chladenie sú v oboch prípadoch nižšie ako 15 kWh/m</w:t>
      </w:r>
      <w:r>
        <w:rPr>
          <w:vertAlign w:val="superscript"/>
        </w:rPr>
        <w:t>2</w:t>
      </w:r>
      <w:r>
        <w:t>, môžu byť vyňaté z dodržiavania súladu s</w:t>
      </w:r>
      <w:r>
        <w:rPr>
          <w:i/>
        </w:rPr>
        <w:t xml:space="preserve"> celkovým koeficientom prenosu tepla cez tepelný plášť (K)</w:t>
      </w:r>
      <w:r>
        <w:t>.“</w:t>
      </w:r>
    </w:p>
    <w:p w14:paraId="49941342" w14:textId="77777777" w:rsidR="00802B87" w:rsidRDefault="005074AB" w:rsidP="00802B87">
      <w:pPr>
        <w:numPr>
          <w:ilvl w:val="0"/>
          <w:numId w:val="13"/>
        </w:numPr>
        <w:ind w:left="709" w:hanging="283"/>
        <w:contextualSpacing/>
        <w:jc w:val="both"/>
        <w:rPr>
          <w:rFonts w:cstheme="minorHAnsi"/>
        </w:rPr>
      </w:pPr>
      <w:r>
        <w:t>V oddiele HE 1 „Podmienky regulácie dopytu po energii“ sa v oddiele 3.1.3 „Vzduchová priepustnosť tepelného plášťa“ dopĺňa tento nový odsek 3:</w:t>
      </w:r>
    </w:p>
    <w:p w14:paraId="1D58DEB1" w14:textId="0D8F3294" w:rsidR="005074AB" w:rsidRPr="00802B87" w:rsidRDefault="005074AB" w:rsidP="00802B87">
      <w:pPr>
        <w:ind w:left="709"/>
        <w:contextualSpacing/>
        <w:jc w:val="both"/>
        <w:rPr>
          <w:rFonts w:cstheme="minorHAnsi"/>
        </w:rPr>
      </w:pPr>
      <w:r>
        <w:t xml:space="preserve">„V prípade zmien sa uvedená tabuľka 3.1.3.a-HE1 vzťahuje len na tie prvky </w:t>
      </w:r>
      <w:r>
        <w:rPr>
          <w:i/>
          <w:iCs/>
        </w:rPr>
        <w:t>tepelného plášťa</w:t>
      </w:r>
      <w:r>
        <w:t>, ktoré sú vymenené, začlenené alebo podstatne zmenené;“</w:t>
      </w:r>
    </w:p>
    <w:p w14:paraId="7563FEDE" w14:textId="74826D79" w:rsidR="005074AB" w:rsidRDefault="005074AB" w:rsidP="00836E07">
      <w:pPr>
        <w:ind w:left="709"/>
        <w:jc w:val="both"/>
        <w:rPr>
          <w:rFonts w:cstheme="minorHAnsi"/>
        </w:rPr>
      </w:pPr>
      <w:r>
        <w:t>Súčasné odseky 3 a 4 oddielu 3.1.3 „Vzduchová priepustnosť tepelného plášťa“ sa menia na odseky 4 a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V oddiele HE 3 Podmienky osvetľovacích zariadení v tabuľke 3.1-HE3 limitná hodnota účinnosti inštalácie (VEEI</w:t>
      </w:r>
      <w:r>
        <w:rPr>
          <w:vertAlign w:val="subscript"/>
        </w:rPr>
        <w:t>lim</w:t>
      </w:r>
      <w:r>
        <w:t xml:space="preserve">) sa slová „Sklady a malé obchody“ nahrádzajú slovami „Sklady a malé obchody </w:t>
      </w:r>
      <w:r>
        <w:rPr>
          <w:rFonts w:ascii="Calibri" w:hAnsi="Calibri"/>
          <w:vertAlign w:val="subscript"/>
        </w:rPr>
        <w:t>(10)</w:t>
      </w:r>
      <w:r>
        <w:t>“ a dopĺňa sa táto poznámka pod čiarou:</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Termín obchod sa vzťahuje na malé nezávislé obchody a časť na komerčné použitie, ktorá sa bežne nepoužíva v nákupných centrách.“</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V oddiele HE 4 Minimálny príspevok energie z obnoviteľných zdrojov na uspokojenie dopytu po teplej úžitkovej vode má oddiel 2 „Opis požiadavky“ v článku 1 toto znenie:</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Budovy musia vo veľkej miere spĺňať svoje potreby týkajúce sa ACS a ohrevu vody pre vyhrievané vnútorné bazény využívajúc obnoviteľné kogeneračné procesy; buď generované v samotnej budove alebo prostredníctvom pripojenia k systému diaľkového vykurovania.“</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V oddiele HE 5 Minimálna výroba elektrickej energie sa názov mení takto:</w:t>
      </w:r>
    </w:p>
    <w:p w14:paraId="1835914C" w14:textId="7892C477" w:rsidR="005074AB" w:rsidRPr="009064BC" w:rsidRDefault="00836E07" w:rsidP="006F5E38">
      <w:pPr>
        <w:pStyle w:val="ListParagraph"/>
        <w:ind w:left="709"/>
        <w:contextualSpacing w:val="0"/>
        <w:jc w:val="both"/>
        <w:rPr>
          <w:rFonts w:cstheme="minorHAnsi"/>
        </w:rPr>
      </w:pPr>
      <w:r>
        <w:t>„Oddiel HE 5 Minimálna výroba elektrickej energie z obnoviteľných zdrojov.“</w:t>
      </w:r>
    </w:p>
    <w:p w14:paraId="5A13D3D2" w14:textId="6E7AA8ED" w:rsidR="005074AB" w:rsidRPr="009064BC" w:rsidRDefault="005074AB" w:rsidP="00CC005A">
      <w:pPr>
        <w:numPr>
          <w:ilvl w:val="0"/>
          <w:numId w:val="13"/>
        </w:numPr>
        <w:ind w:left="720" w:hanging="294"/>
        <w:jc w:val="both"/>
        <w:rPr>
          <w:rFonts w:cstheme="minorHAnsi"/>
        </w:rPr>
      </w:pPr>
      <w:r>
        <w:t xml:space="preserve">V oddiele HE 5 Minimálna výroba elektrickej energie má oddiel 1 „Rozsah pôsobnosti“ toto znenie: </w:t>
      </w:r>
    </w:p>
    <w:p w14:paraId="45B1F681" w14:textId="77777777" w:rsidR="005074AB" w:rsidRPr="009064BC" w:rsidRDefault="005074AB" w:rsidP="00CC005A">
      <w:pPr>
        <w:ind w:left="1134" w:hanging="425"/>
        <w:jc w:val="both"/>
        <w:rPr>
          <w:rFonts w:cstheme="minorHAnsi"/>
        </w:rPr>
      </w:pPr>
      <w:r>
        <w:t>„1</w:t>
      </w:r>
      <w:r>
        <w:tab/>
        <w:t xml:space="preserve">Tento oddiel sa uplatňuje v týchto prípadoch: </w:t>
      </w:r>
    </w:p>
    <w:p w14:paraId="10C39280" w14:textId="4335D1B7" w:rsidR="002F2BD0" w:rsidRPr="003934E5" w:rsidRDefault="005074AB" w:rsidP="002F2BD0">
      <w:pPr>
        <w:numPr>
          <w:ilvl w:val="0"/>
          <w:numId w:val="8"/>
        </w:numPr>
        <w:ind w:left="1418" w:hanging="284"/>
        <w:contextualSpacing/>
        <w:jc w:val="both"/>
        <w:rPr>
          <w:rFonts w:cstheme="minorHAnsi"/>
        </w:rPr>
      </w:pPr>
      <w:r>
        <w:t>novopostavené budovy, ak zastavaná plocha presahuje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rozšírenia existujúcich budov, keď sa zastavaná plocha zväčší o viac ako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existujúce budovy, ktoré sú úplne renovované, alebo ak dôjde k zmene ich použitia, ak zastavaná plocha presahuje 1 000 m</w:t>
      </w:r>
      <w:r>
        <w:rPr>
          <w:vertAlign w:val="superscript"/>
        </w:rPr>
        <w:t>2</w:t>
      </w:r>
      <w:r>
        <w:t>.</w:t>
      </w:r>
    </w:p>
    <w:p w14:paraId="2BDE8293" w14:textId="74B0ACD8" w:rsidR="001B0467" w:rsidRPr="003934E5" w:rsidRDefault="00D76296" w:rsidP="001B0467">
      <w:pPr>
        <w:ind w:left="1134"/>
        <w:jc w:val="both"/>
        <w:rPr>
          <w:rFonts w:cstheme="minorHAnsi"/>
        </w:rPr>
      </w:pPr>
      <w:r>
        <w:lastRenderedPageBreak/>
        <w:t xml:space="preserve">Zastavaná plocha sa považuje za plochu zahŕňajúcu parkovacie plochy vo vnútri budovy a nezahŕňajúcu spoločné vonkajšie priestory.“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V oddiele HE 5 „Minimálna výroba elektrickej energie“ má oddiel 2 prvý pododsek „Charakterizácia požiadavky“ toto znenie:</w:t>
      </w:r>
    </w:p>
    <w:p w14:paraId="477CF5F6" w14:textId="719B0DCE" w:rsidR="001B0467" w:rsidRPr="003934E5" w:rsidRDefault="003934E5" w:rsidP="003934E5">
      <w:pPr>
        <w:pStyle w:val="ListParagraph"/>
        <w:ind w:left="1134" w:hanging="425"/>
        <w:contextualSpacing w:val="0"/>
        <w:jc w:val="both"/>
        <w:rPr>
          <w:rFonts w:cstheme="minorHAnsi"/>
        </w:rPr>
      </w:pPr>
      <w:r>
        <w:t>„1</w:t>
      </w:r>
      <w:r>
        <w:tab/>
        <w:t>Budovy musia mať systémy na výrobu elektrickej energie z obnoviteľných zdrojov na vlastnú spotrebu alebo na zásobovanie rozvodnej siete.“</w:t>
      </w:r>
    </w:p>
    <w:p w14:paraId="6586AED4" w14:textId="66518836" w:rsidR="005074AB" w:rsidRPr="003934E5" w:rsidRDefault="005074AB" w:rsidP="00262992">
      <w:pPr>
        <w:pStyle w:val="ListParagraph"/>
        <w:numPr>
          <w:ilvl w:val="0"/>
          <w:numId w:val="13"/>
        </w:numPr>
        <w:ind w:left="709" w:hanging="283"/>
        <w:jc w:val="both"/>
        <w:rPr>
          <w:rFonts w:cstheme="minorHAnsi"/>
        </w:rPr>
      </w:pPr>
      <w:r>
        <w:t>V oddiele HE 5 „Minimálna výroba elektrickej energie“ má oddiel 3 „Kvantifikácia požiadavky“ toto znenie:</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Minimálny </w:t>
      </w:r>
      <w:r>
        <w:rPr>
          <w:i/>
        </w:rPr>
        <w:t>výkon na inštaláciu</w:t>
      </w:r>
      <w:r>
        <w:t xml:space="preserve"> P</w:t>
      </w:r>
      <w:r>
        <w:rPr>
          <w:vertAlign w:val="subscript"/>
        </w:rPr>
        <w:t>min</w:t>
      </w:r>
      <w:r>
        <w:t xml:space="preserve"> musí byť najnižší z výsledku z týchto dvoch rovníc: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kde:</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ab/>
      </w:r>
      <w:r>
        <w:rPr>
          <w:i/>
        </w:rPr>
        <w:t xml:space="preserve">výkon na inštaláciu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faktor výroby energie, ktorý má hodnotu 0,005 pre súkromné účely bývania a 0,010 pre iné použitia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plocha zastavanej plochy budovy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povrchová plocha neprístupnej strechy alebo prístupnej len na udržiavanie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povrchová plocha neprístupnej strechy alebo prístupnej na udržiavanie, obsadená len tepelnými solárnymi kolektormi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V budovách, v ktorých z mestských alebo architektonických dôvodov alebo z dôvodu, že ide o úradne chránené budovy, kde úradnú ochranu udeľuje orgán, nie je možné dosiahnuť minimálny </w:t>
      </w:r>
      <w:r>
        <w:rPr>
          <w:i/>
        </w:rPr>
        <w:t>výkon na inštaláciu</w:t>
      </w:r>
      <w:r>
        <w:t>, musí byť táto nemožnosť odôvodnená analýzou rôznych alternatív a prijme sa riešenie, ktoré dosiahne maximálny možný inštalovaný výkon.“</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V oddiele HE 5 „Minimálna výroba elektrickej energie“ sa v oddiele 4 „Odôvodnenie požiadavky“ dopĺňa:</w:t>
      </w:r>
    </w:p>
    <w:p w14:paraId="1F522FCD" w14:textId="0464CEFA" w:rsidR="005074AB" w:rsidRPr="003934E5" w:rsidRDefault="00CC005A" w:rsidP="00982E58">
      <w:pPr>
        <w:ind w:left="1134" w:hanging="425"/>
        <w:jc w:val="both"/>
        <w:rPr>
          <w:rFonts w:cstheme="minorHAnsi"/>
        </w:rPr>
      </w:pPr>
      <w:r>
        <w:t>c)</w:t>
      </w:r>
      <w:r>
        <w:tab/>
        <w:t xml:space="preserve">ak je to vhodné, dôvody, ktoré bránia dosiahnutiu minimálneho požadovaného </w:t>
      </w:r>
      <w:r>
        <w:rPr>
          <w:i/>
        </w:rPr>
        <w:t>výkonu na inštaláciu</w:t>
      </w:r>
      <w:r>
        <w:t>, analýzu alternatív a riešenia prijatého na dosiahnutie maximálneho možného inštalovaného výkonu.“</w:t>
      </w:r>
    </w:p>
    <w:p w14:paraId="2F009607" w14:textId="478B8572" w:rsidR="005074AB" w:rsidRPr="003934E5" w:rsidRDefault="005074AB" w:rsidP="009064BC">
      <w:pPr>
        <w:pStyle w:val="ListParagraph"/>
        <w:numPr>
          <w:ilvl w:val="0"/>
          <w:numId w:val="13"/>
        </w:numPr>
        <w:ind w:left="709" w:hanging="283"/>
        <w:jc w:val="both"/>
        <w:rPr>
          <w:rFonts w:cstheme="minorHAnsi"/>
        </w:rPr>
      </w:pPr>
      <w:r>
        <w:t>V prílohe A „Terminológia“ sa vykonávajú tieto zmeny:</w:t>
      </w:r>
    </w:p>
    <w:p w14:paraId="44885A1E" w14:textId="0F9B0783" w:rsidR="005074AB" w:rsidRPr="009064BC" w:rsidRDefault="005074AB" w:rsidP="005074AB">
      <w:pPr>
        <w:ind w:left="709" w:hanging="142"/>
        <w:jc w:val="both"/>
        <w:rPr>
          <w:rFonts w:cstheme="minorHAnsi"/>
        </w:rPr>
      </w:pPr>
      <w:r>
        <w:t>– Vo vymedzení pojmu „regulácia solárnej energie (q</w:t>
      </w:r>
      <w:r>
        <w:rPr>
          <w:vertAlign w:val="subscript"/>
        </w:rPr>
        <w:t>sol;jul</w:t>
      </w:r>
      <w:r>
        <w:t>)“ sa bodka na konci vymedzenia zložky vzorca „H</w:t>
      </w:r>
      <w:r>
        <w:rPr>
          <w:vertAlign w:val="subscript"/>
        </w:rPr>
        <w:t>sol;jul</w:t>
      </w:r>
      <w:r>
        <w:t>“ nahrádza bodkočiarkou a vymedzenie ďalšej zložky vzorca sa dopĺňa takto:</w:t>
      </w:r>
    </w:p>
    <w:p w14:paraId="3DF606FE" w14:textId="65F10CC5" w:rsidR="005074AB" w:rsidRPr="009064BC" w:rsidRDefault="005074AB" w:rsidP="00A5780E">
      <w:pPr>
        <w:ind w:left="709"/>
        <w:jc w:val="both"/>
        <w:rPr>
          <w:rFonts w:cstheme="minorHAnsi"/>
        </w:rPr>
      </w:pPr>
      <w:r>
        <w:t>„A</w:t>
      </w:r>
      <w:r>
        <w:rPr>
          <w:vertAlign w:val="subscript"/>
        </w:rPr>
        <w:t>util</w:t>
      </w:r>
      <w:r>
        <w:t>plocha považovaná za plochu v súlade s oddielom 4.6 HE 0.“</w:t>
      </w:r>
    </w:p>
    <w:p w14:paraId="22770CCD" w14:textId="56BB680A" w:rsidR="005074AB" w:rsidRPr="009064BC" w:rsidRDefault="005074AB" w:rsidP="005074AB">
      <w:pPr>
        <w:ind w:left="709" w:hanging="142"/>
        <w:jc w:val="both"/>
        <w:rPr>
          <w:rFonts w:cstheme="minorHAnsi"/>
        </w:rPr>
      </w:pPr>
      <w:r>
        <w:t xml:space="preserve">– Pri definícii pojmu „Konečná energia“ sa text „je energia, ktorá je nakupovaná spotrebiteľmi vo forme elektrickej energie, palív alebo iných palív používaných priamo“ </w:t>
      </w:r>
      <w:r>
        <w:lastRenderedPageBreak/>
        <w:t>nahrádza textom „je energia, ktorý sa dodáva do systémov budov na poskytovanie služieb. Tieto dodávky sa zvyčajne poskytujú prostredníctvom palív, výroby na mieste alebo osobitných sietí (elektrina, plyn, vykurovanie alebo chladenie atď.)“.</w:t>
      </w:r>
    </w:p>
    <w:p w14:paraId="4C32D5BC" w14:textId="77777777" w:rsidR="005074AB" w:rsidRPr="009064BC" w:rsidRDefault="005074AB" w:rsidP="005074AB">
      <w:pPr>
        <w:ind w:left="709" w:hanging="142"/>
        <w:jc w:val="both"/>
        <w:rPr>
          <w:rFonts w:cstheme="minorHAnsi"/>
        </w:rPr>
      </w:pPr>
      <w:r>
        <w:t>– Do vymedzenia pojmu „tepelná priepustnosť (U)“ sa na konci vymedzenia vkladá táto veta:</w:t>
      </w:r>
    </w:p>
    <w:p w14:paraId="553E6F27" w14:textId="77777777" w:rsidR="005074AB" w:rsidRPr="009064BC" w:rsidRDefault="005074AB" w:rsidP="00A5780E">
      <w:pPr>
        <w:ind w:left="709"/>
        <w:jc w:val="both"/>
        <w:rPr>
          <w:rFonts w:cstheme="minorHAnsi"/>
        </w:rPr>
      </w:pPr>
      <w:r>
        <w:t>„Vyjadrené v W/m</w:t>
      </w:r>
      <w:r>
        <w:rPr>
          <w:vertAlign w:val="superscript"/>
        </w:rPr>
        <w:t xml:space="preserve"> 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Do prílohy A „Terminológia“ sa začleňujú tieto pojmy:</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Pomocné zariadenie</w:t>
      </w:r>
      <w:r>
        <w:t>: elektrické alebo elektronické zariadenie spojené so svetlom, odlišné pre každý typ</w:t>
      </w:r>
      <w:r>
        <w:rPr>
          <w:i/>
        </w:rPr>
        <w:t xml:space="preserve"> svetla</w:t>
      </w:r>
      <w:r>
        <w:t>, ktorého funkciou je zapaľovanie a ovládanie prevádzkových podmienok. Toto pomocné zariadenie, pokiaľ nie je elektronické, je tvorené kombináciou štartéra, predradníka a kondenzátora.</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Nabíjacia stanica</w:t>
      </w:r>
      <w:r>
        <w:t xml:space="preserve">: súbor prvkov potrebných na pripojenie </w:t>
      </w:r>
      <w:r>
        <w:rPr>
          <w:i/>
        </w:rPr>
        <w:t>elektrického vozidla</w:t>
      </w:r>
      <w:r>
        <w:t xml:space="preserve"> k pevnej elektrickej inštalácii potrebnej na nabíjanie. </w:t>
      </w:r>
      <w:r>
        <w:rPr>
          <w:i/>
        </w:rPr>
        <w:t>Nabíjacie stanice</w:t>
      </w:r>
      <w:r>
        <w:t xml:space="preserve"> sú klasifikované ako:</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Jedno nabíjacie miesto pozostávajúce z potrebnej ochrany, jednej alebo viacerých zásuviek, ktoré nie sú špecifické pre </w:t>
      </w:r>
      <w:r>
        <w:rPr>
          <w:i/>
        </w:rPr>
        <w:t>elektrické vozidlo</w:t>
      </w:r>
      <w:r>
        <w:t xml:space="preserve"> a prípadne plášťa.</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Nabíjacie miesto SAVE</w:t>
      </w:r>
      <w:r>
        <w:rPr>
          <w:i/>
        </w:rPr>
        <w:t xml:space="preserve"> (Specific Electric Vehicle Power Supply System</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Nabíjacia infraštruktúra pre elektrické vozidlá:</w:t>
      </w:r>
      <w:r>
        <w:t xml:space="preserve"> súbor fyzických a logických zariadení určených na nabíjanie </w:t>
      </w:r>
      <w:r>
        <w:rPr>
          <w:i/>
        </w:rPr>
        <w:t>elektrických vozidiel</w:t>
      </w:r>
      <w:r>
        <w:t xml:space="preserve"> spĺňajúcich požiadavky na bezpečnosť a dostupnosť stanovené pre každý prípad v nariadení o nízkonapäťových elektrotechnických zariadeniach, ktoré sú schopné poskytovať úplnú a komplexnú službu nabíjania. Zahŕňa </w:t>
      </w:r>
      <w:r>
        <w:rPr>
          <w:i/>
        </w:rPr>
        <w:t>nabíjacie stanice</w:t>
      </w:r>
      <w:r>
        <w:t>, riadiaci systém, elektrické rozvody, elektrické ovládacie a ochranné panely a meracie zariadenia, ak sú určené výlučne na nabíjanie elektrického vozidla.“</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Specific Electric Vehicle Power System (SAVE)</w:t>
      </w:r>
      <w:r>
        <w:t xml:space="preserve">: súbor zariadení zmontovaných na zásobovanie elektrickou energiu na nabíjanie </w:t>
      </w:r>
      <w:r>
        <w:rPr>
          <w:i/>
        </w:rPr>
        <w:t>elektrického vozidla</w:t>
      </w:r>
      <w:r>
        <w:t xml:space="preserve"> vrátane ochrany nabíjacej stanice, spojovacieho kábla (s fázovým, neutrálnym a ochranným vodičom), základne alebo konektora zásuvky a prípadne konvertora striedavého prúdu. Tento systém musí v prípade potreby umožňovať komunikáciu medzi </w:t>
      </w:r>
      <w:r>
        <w:rPr>
          <w:i/>
        </w:rPr>
        <w:t>elektrickým vozidlom</w:t>
      </w:r>
      <w:r>
        <w:t xml:space="preserve"> a pevnou inštaláciou.“</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Súkromné účely bývania</w:t>
      </w:r>
      <w:r>
        <w:t>: Budova alebo plocha určená na trvalý pobyt bez ohľadu na typ budovy: samostatne stojaci dom, bytový dom atď., tak pre verejný, ako aj súkromný rozvoj.“</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Elektrické vozidlo</w:t>
      </w:r>
      <w:r>
        <w:t>: motorové vozidlo vybavené pohonnou skupinou s aspoň jedným neperiférnym elektrickým mechanizmom fungujúcim ako menič energie a vybavené dobíjateľným zásobníkom elektrickej energie, ktorý možno dobíjať zvonku.“</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V prílohe D ods. 4 sa text „Uznávaný dokument“ nahrádza textom „Uznávaný dokument o energetickej certifikácii budov“.</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 xml:space="preserve">V prílohe H Stanovenie vzduchovej priepustnosti budov sa po názve oddielu, text „Stanovenie vzduchovej priepustnosti budov sa musí vykonať jednou z nasledujúcich </w:t>
      </w:r>
      <w:r>
        <w:lastRenderedPageBreak/>
        <w:t>metód.“ a v oddiele 1 Určenie testom text „Hodnotu pomeru zmeny vzduchu pri 50 Pa, n50, možno získať skúškou podľa metódy B UNE-EN 13829:2002 Stanovenie vzduchovej priepustnosti budov. Metóda pretlaku pomocou ventilátora.“ nahrádza takto: „Hodnota pomeru zmeny vzduchu pri 50 Pa, n50, pomocou skúšky sa získa z metódy 1 alebo 2 UNE-EN ISO 9972: 2019 Tepelnotechnické vlastnosti budov. Stanovenie vzduchovej priepustnosti budov. Metóda pretlaku pomocou ventilátora.“.</w:t>
      </w:r>
    </w:p>
    <w:p w14:paraId="153946FB" w14:textId="274D0F0F" w:rsidR="001E0B70" w:rsidRPr="003934E5" w:rsidRDefault="001E0B70" w:rsidP="005074AB">
      <w:pPr>
        <w:ind w:left="13"/>
        <w:jc w:val="both"/>
        <w:rPr>
          <w:rFonts w:cstheme="minorHAnsi"/>
        </w:rPr>
      </w:pPr>
      <w:r>
        <w:t>Po tretie.</w:t>
      </w:r>
      <w:r>
        <w:rPr>
          <w:b/>
        </w:rPr>
        <w:t xml:space="preserve"> </w:t>
      </w:r>
      <w:r>
        <w:t xml:space="preserve">Do základného dokumentu DB-SUA „Bezpečnosť pri používaní a prístupnosť“ uvedeného v časti II technického stavebného zákona sa zavádzajú tieto zmeny: </w:t>
      </w:r>
    </w:p>
    <w:p w14:paraId="05134A28" w14:textId="08B7B404" w:rsidR="00A5780E" w:rsidRDefault="001E0B70" w:rsidP="00D722CA">
      <w:pPr>
        <w:ind w:left="13"/>
        <w:jc w:val="both"/>
        <w:rPr>
          <w:rFonts w:cstheme="minorHAnsi"/>
        </w:rPr>
      </w:pPr>
      <w:r>
        <w:t>V oddiele SUA 9 „Prístupnosť“ v prílohe A „Terminológia“ vymedzenie pojmu „Prístupné parkovacie miesto“ teraz obsahuje zarážku s textom:</w:t>
      </w:r>
    </w:p>
    <w:p w14:paraId="791B9B63" w14:textId="2AEB4586" w:rsidR="00D722CA" w:rsidRPr="009064BC" w:rsidRDefault="0078611E" w:rsidP="0078611E">
      <w:pPr>
        <w:ind w:left="709"/>
        <w:jc w:val="both"/>
        <w:rPr>
          <w:rFonts w:cstheme="minorHAnsi"/>
        </w:rPr>
      </w:pPr>
      <w:r>
        <w:t>„– V prípade, že prístupné parkovacie miesto má nabíjaciu stanicu pre elektrické vozidlá, prístupný itinerár pokrýva aj túto nabíjaciu stanicu. Sieťové zásuvky a konektory týchto nabíjacích staníc musia mať farebný kontrast s ohľadom na okolie, musia byť umiestnené vo výške 80 až 120 cm a vzdialenosť od rohov musí byť najmenej 35 cm.“</w:t>
      </w:r>
    </w:p>
    <w:p w14:paraId="09F57FB9" w14:textId="78225EA3" w:rsidR="005074AB" w:rsidRPr="009064BC" w:rsidRDefault="00DF5914" w:rsidP="005074AB">
      <w:pPr>
        <w:ind w:left="13"/>
        <w:jc w:val="both"/>
        <w:rPr>
          <w:rFonts w:cstheme="minorHAnsi"/>
        </w:rPr>
      </w:pPr>
      <w:r>
        <w:t>Po štvrté. Do základného dokumentu DB-HS „Zdravie“ uvedeného v časti II technického stavebného zákona sa zavádza táto zmena:</w:t>
      </w:r>
    </w:p>
    <w:p w14:paraId="6B818CBA" w14:textId="77777777" w:rsidR="002E7342" w:rsidRDefault="005074AB" w:rsidP="002E7342">
      <w:pPr>
        <w:pStyle w:val="ListParagraph"/>
        <w:numPr>
          <w:ilvl w:val="0"/>
          <w:numId w:val="22"/>
        </w:numPr>
        <w:jc w:val="both"/>
        <w:rPr>
          <w:rFonts w:cstheme="minorHAnsi"/>
        </w:rPr>
      </w:pPr>
      <w:r>
        <w:t>V oddiele HS 4 „Dodávka vody“ v oddiele 3.2.2.1 bode 2 sa veta „minimálny príspevok solárnej energie na výrobu teplej úžitkovej vody“ nahrádza vetou „minimálny príspevok energie z obnoviteľných zdrojov na pokrytie dopytu po teplej úžitkovej vode“.</w:t>
      </w:r>
    </w:p>
    <w:p w14:paraId="49ACE665" w14:textId="4B95E48B" w:rsidR="005074AB" w:rsidRPr="003934E5" w:rsidRDefault="002F25C7" w:rsidP="009064BC">
      <w:pPr>
        <w:jc w:val="both"/>
        <w:rPr>
          <w:rFonts w:eastAsia="Arial" w:cstheme="minorHAnsi"/>
          <w:kern w:val="2"/>
        </w:rPr>
      </w:pPr>
      <w:r>
        <w:t>Po piate. Vykonávajú sa tieto opravy chýb a tlačových chýb zistených v základnom dokumente NR-HE „Úspory energie“ zahrnutom v časti II technického stavebného zákona:</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V oddiele HE 0, oddiele 1 Rozsah pôsobnosti, by mal mať odsek 1, ktorý má toto znenie: „...ak celková rozšírená úžitková plocha presahuje 50 m</w:t>
      </w:r>
      <w:r>
        <w:rPr>
          <w:vertAlign w:val="superscript"/>
        </w:rPr>
        <w:t>2</w:t>
      </w:r>
      <w:r>
        <w:t>;“, mať nasledujúce znenie „...ak rozšírená úžitková plocha presahuje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V oddiele HE 0, oddiele 3 Kvantifikácia požiadavky, oddiel 3.1 Spotreba primárnej energie z neobnoviteľných zdrojov, odsek 2, ktorý znie: „... C</w:t>
      </w:r>
      <w:r>
        <w:rPr>
          <w:vertAlign w:val="subscript"/>
        </w:rPr>
        <w:t>ep’nren,lim</w:t>
      </w:r>
      <w:r>
        <w:t>...„, by mal znieť“...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V oddiele HE 0, oddiele 3 Kvantifikácia požiadavky, oddiel 3.2 Celková spotreba primárnej energie, odsek 1, ktorý znie: “... C</w:t>
      </w:r>
      <w:r>
        <w:rPr>
          <w:vertAlign w:val="subscript"/>
        </w:rPr>
        <w:t>ep’tot</w:t>
      </w:r>
      <w:r>
        <w:t>...", by mal znieť: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V oddiele HE 0, oddiele 3 Kvantifikácia požiadavky, oddiel 3.2 Celková spotreba primárnej energie, odsek 2, ktorý znie: „... C</w:t>
      </w:r>
      <w:r>
        <w:rPr>
          <w:vertAlign w:val="subscript"/>
        </w:rPr>
        <w:t>ep,tot</w:t>
      </w:r>
      <w:r>
        <w:t>...", by mal znieť: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V oddiele HE 0 bude v tabuľkách 3.1.a-HE0 a 3.2.a-HE0 výraz „</w:t>
      </w:r>
      <w:r>
        <w:rPr>
          <w:i/>
        </w:rPr>
        <w:t>súkromné účely bývania</w:t>
      </w:r>
      <w:r>
        <w:t>“ uvedený kurzívou. V oddieloch 3.1 Spotreba primárnej energie z neobnoviteľných zdrojov, oddiel 2 a 3.2 Celková spotreba primárnej energie, oddiel 2, by mal byť výraz „</w:t>
      </w:r>
      <w:r>
        <w:rPr>
          <w:i/>
        </w:rPr>
        <w:t>súkromné účely bývania</w:t>
      </w:r>
      <w:r>
        <w:t>“ uvedený kurzívou.</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V oddiele HE 0, oddiele 4.3 Vnútorné požiadavky a prevádzkové podmienky, oddiel 2, by mal byť výraz „</w:t>
      </w:r>
      <w:r>
        <w:rPr>
          <w:i/>
        </w:rPr>
        <w:t>súkromné účely bývania</w:t>
      </w:r>
      <w:r>
        <w:t>“ uvedený kurzívou.</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V oddiele HE 0, oddiele 4.5 Referenčné systémy na súkromné účely bývania by mal byť výraz „</w:t>
      </w:r>
      <w:r>
        <w:rPr>
          <w:i/>
        </w:rPr>
        <w:t>súkromné účely bývania</w:t>
      </w:r>
      <w:r>
        <w:t>“ uvedený v názve aj v odseku 1 kurzívou.</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lastRenderedPageBreak/>
        <w:t>V oddiele HE 1 oddiele 3 Kvantifikácia požiadavky, oddiel 3.11. Priepustnosť tepelného plášťa by mal byť výraz „kompaktnosť“ v tabuľkách 3.1.1.b-HE1 a 3.1.1.c-HE1 uvedený kurzívou.</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V oddiele HE 1 oddiele 3 Kvantifikácia požiadavky, oddiel 3.11. Priepustnosť tepelného plášťa by mal byť výraz „kompaktnosť“ v poznámkach pod čiarou k tabuľke 3.1.1.b-HE1 a v tabuľke 3.1.1.c-HE1 a výraz „kompaktnosť“ v poznámke pod čiarou k tabuľke 3.1.1.c-HE1 uvedený kurzívou.</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V oddiele HE 1 oddiele 3 Kvantifikácia požiadavky, oddiel 3.1.1. Priepustnosť tepelného plášťa, oddiel 3, by mal byť výraz „</w:t>
      </w:r>
      <w:r>
        <w:rPr>
          <w:i/>
        </w:rPr>
        <w:t>súkromné účely bývania</w:t>
      </w:r>
      <w:r>
        <w:t>“ uvedený kurzívou v odseku 3 aj v tabuľke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V oddiele HE 1 oddiele 3 Kvantifikácia požiadavky, oddiel 3.1.1. Priepustnosť tepelného plášťa by mal byť výraz „tepelný plášť“ v tabuľke 3.1.1.c-HE1 uvedený kurzívou.</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V oddiele HE 1, oddiele 3 Kvantifikácia požiadavky, oddiel 3.1.2 Regulácia solárnej energie tepelného plášťa, kde sa uvádza: „Tabuľka 3.1.2-HE1 Limitná hodnota parametra regulácie solárnej energie qsol;jul,lim [KWh/m</w:t>
      </w:r>
      <w:r>
        <w:rPr>
          <w:vertAlign w:val="superscript"/>
        </w:rPr>
        <w:t>2</w:t>
      </w:r>
      <w:r>
        <w:t>·mes]“ by mal byť text „sun;jul,lim“ uvedený v dolnom indexe: „Tabuľka 3.1.2-HE1 Limitná hodnota parametra regulácie solárnej energie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V oddiele HE 1, oddiele 3 Kvantifikácia požiadavky, oddiel 3.1.3 Vzduchová priepustnosť tepelného plášťa by mal byť výraz „tepelný plášť“ uvedený kurzívou.</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V oddiele HE 1, oddiele 3 Kvantifikácia požiadavky, oddiel 3.1.3 Vzduchová priepustnosť tepelného plášťa by mal byť výraz „kompaktnosť“ v tabuľke 3.1.3.b-HE1, výraz „kompaktnosť“ v tabuľke 3.1.3.b-HE1 a výraz „súkromné účely bývania“ v odseku 3 uvedený kurzívou.</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V oddiele HE 1 oddiele 4 Odôvodnenie požiadavky by mal byť výraz „kompaktnosť“ v oddiele 4.1.b) a výraz „súkromné účely bývania“ v oddiele 4.1.g) uvedený kurzívou.</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V oddiele HE 4 oddiele 3 Kvantifikácia požiadavky, oddiel 3.1 Minimálny príspevok z obnoviteľných zdrojov na DHW a/alebo vykurovanie bazéna, by mal odsek 4, kde sa uvádza: „... viac ako 2,5, ak je elektricky aktivované a viac ako 1,15, ak je poháňané tepelnou energiou...“ znieť „... rovné alebo väčšie ako 2,5 pri elektrickom pohone a rovné alebo väčšie ako 1,15, ak je poháňané tepelnou energiou...“.</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V oddiele HE 4 oddiele 3 Kvantifikácia požiadavky, oddiel 3.1 Minimálny príspevok z obnoviteľných zdrojov na DHW a/alebo vykurovanie bazéna, by mal odsek 5, kde sa uvádza: „... obytné budovy...“ znieť „... budovy na súkromné účely bývania...“</w:t>
      </w:r>
    </w:p>
    <w:p w14:paraId="198A06EA" w14:textId="307304FC" w:rsidR="005074AB" w:rsidRPr="009064BC" w:rsidRDefault="003E1EAB" w:rsidP="00547307">
      <w:pPr>
        <w:numPr>
          <w:ilvl w:val="0"/>
          <w:numId w:val="15"/>
        </w:numPr>
        <w:ind w:left="714" w:hanging="357"/>
        <w:jc w:val="both"/>
        <w:rPr>
          <w:rFonts w:cstheme="minorHAnsi"/>
        </w:rPr>
      </w:pPr>
      <w:r>
        <w:t xml:space="preserve">V oddiele HE 4 pred oddielom „5.1. „Vykonávanie“ sa vkladá „5. Výstavba, údržba a udržiavanie“ ako názov.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Na strane 140553 v prílohe A Terminológia by malo mať vymedzenie pojmu „Celkový koeficient prenosu tepla (cez tepelný plášť budovy) (K)“, kde sa uvádza: „... K = X Hx/Aint...“ znenie: „x“, „x“ a „int“ ako dolný index: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V prílohe A Terminológia by vo vymedzení pojmu „kompaktnosť“ malo byť slovo „kompaktnosť“ uvedené v druhom odseku kurzívou.</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lastRenderedPageBreak/>
        <w:t>V prílohe A Terminológia by vo vymedzení pojmu „prevádzkové podmienky“ mal byť výraz „súkromné účely bývania“ uvedený kurzívou.</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V prílohe A Terminológia by sa malo vo vymedzení pojmu „Spotreba primárnej energie z neobnoviteľných zdrojov“, kde sa uvádza: „... Spotreba primárnej energie z neobnoviteľných zdrojov...“ uviesť „ep,nren“ v dolnom indexe: „... Spotreba primárnej energie z neobnoviteľných zdrojov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V prílohe A Terminológia by sa malo vo vymedzení pojmu „Celková spotreba primárnej energie“, kde sa uvádza: „... Celková spotreba primárnej energie...“ uviesť „ep,tot“ v dolnom indexe: „... Celková spotreba primárnej energie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V prílohe A Terminológia by malo vo vymedzení pojmu „regulácia solárnej energie (q</w:t>
      </w:r>
      <w:r>
        <w:rPr>
          <w:vertAlign w:val="subscript"/>
        </w:rPr>
        <w:t>sol;ju</w:t>
      </w:r>
      <w:r>
        <w:t>)“, kde sa uvádza: „... úžitková plocha priestorov...“ byť uvedené: „... úžitková plocha obytných priestorov...“.</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V prílohe A Terminológia by sa vo vymedzení pojmu „Podmienený obytný priestor“ mal výraz „súkromné účely bývania“ uvádzať kurzívou.</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V prílohe A Terminológia by mal byť vo vymedzení pojmu „Obdobie používania“ v druhom odseku výraz „súkromné účely bývania“ uvedený kurzívou.</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V prílohe A Terminológia by mal byť vo vymedzení pojmu „Hodnota energetickej efektívnosti zariadenia (VEEI)“ pojem „súkromné účely bývania“ uvedený kurzívou.</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V prílohe C Aspekty pre vymedzenie tepelného plášťa by mal byť výraz „tepelný plášť“ v názve uvedený kurzívou.</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V prílohe D Prevádzkové podmienky a profily používania sa v názve výrazy „Prevádzkové podmienky“ a „Profily používania“ musia uvádzať kurzívou v názve, odseku 2 a v tabuľke a – príloha D, tabuľke b – príloha D a tabuľke c – príloha D.</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V prílohe E Indikatívne hodnoty priepustnosti musí byť výraz „súkromné účely bývania“ uvedený v oddiele 1 kurzívou.</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V prílohe F k referenčnému dopytu ACS by mal byť výraz „súkromné účely bývania“ uvedený kurzívou v oddiele 1 aj v tabuľke a – príloha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V prílohe H Stanovenie vzduchovej priepustnosti budov v oddiele 2 Určenie referenčnými hodnotami, kde sa uvádza: „... 2. Hodnota pomeru zmeny vzduchu pri 50 Pa, n50, sa môže vypočítať z tejto rovnice:“ má znieť: „... 1. Hodnota pomeru zmeny vzduchu pri 50 Pa, n50 referenčnými hodnotami sa získa z tohto výrazu:“ kde sa uvádza: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c: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kde sa uvádza: „V je vnútorný objem tepelného plášťa v [m</w:t>
      </w:r>
      <w:r>
        <w:rPr>
          <w:vertAlign w:val="superscript"/>
        </w:rPr>
        <w:t>3</w:t>
      </w:r>
      <w:r>
        <w:t>]“ by malo mať toto znenie: „V</w:t>
      </w:r>
      <w:r>
        <w:rPr>
          <w:vertAlign w:val="subscript"/>
        </w:rPr>
        <w:t>int</w:t>
      </w:r>
      <w:r>
        <w:t xml:space="preserve"> je vnútorný objem vzduchu </w:t>
      </w:r>
      <w:r>
        <w:rPr>
          <w:i/>
        </w:rPr>
        <w:t>tepelného plášťa</w:t>
      </w:r>
      <w:r>
        <w:t>, v [m</w:t>
      </w:r>
      <w:r>
        <w:rPr>
          <w:vertAlign w:val="superscript"/>
        </w:rPr>
        <w:t>3</w:t>
      </w:r>
      <w:r>
        <w:t>]“ a kde sa uvádza: „A</w:t>
      </w:r>
      <w:r>
        <w:rPr>
          <w:vertAlign w:val="subscript"/>
        </w:rPr>
        <w:t>o</w:t>
      </w:r>
      <w:r>
        <w:t xml:space="preserve"> je povrch nepriehľadnej časti tepelného plášťa v [m</w:t>
      </w:r>
      <w:r>
        <w:rPr>
          <w:vertAlign w:val="superscript"/>
        </w:rPr>
        <w:t>2</w:t>
      </w:r>
      <w:r>
        <w:t>]“ by malo mať toto znenie: „A</w:t>
      </w:r>
      <w:r>
        <w:rPr>
          <w:vertAlign w:val="subscript"/>
        </w:rPr>
        <w:t>o</w:t>
      </w:r>
      <w:r>
        <w:t xml:space="preserve"> je povrch nepriehľadnej časti </w:t>
      </w:r>
      <w:r>
        <w:rPr>
          <w:i/>
          <w:iCs/>
        </w:rPr>
        <w:t>tepelného plášťa</w:t>
      </w:r>
      <w:r>
        <w:t xml:space="preserve"> v kontakte s vonkajším vzduchom v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V prílohe H Stanovenie vzduchovej priepustnosti budov by mal byť výraz „tepelný plášť“ uvedený kurzívou v opise pojmov V</w:t>
      </w:r>
      <w:r>
        <w:rPr>
          <w:vertAlign w:val="subscript"/>
        </w:rPr>
        <w:t>int</w:t>
      </w:r>
      <w:r>
        <w:t>, C</w:t>
      </w:r>
      <w:r>
        <w:rPr>
          <w:vertAlign w:val="subscript"/>
        </w:rPr>
        <w:t>o</w:t>
      </w:r>
      <w:r>
        <w:t>, C</w:t>
      </w:r>
      <w:r>
        <w:rPr>
          <w:vertAlign w:val="subscript"/>
        </w:rPr>
        <w:t>h</w:t>
      </w:r>
      <w:r>
        <w:t>, A</w:t>
      </w:r>
      <w:r>
        <w:rPr>
          <w:vertAlign w:val="subscript"/>
        </w:rPr>
        <w:t>h</w:t>
      </w:r>
      <w:r>
        <w:t xml:space="preserve"> a v tabuľke a – príloha H</w:t>
      </w:r>
    </w:p>
    <w:p w14:paraId="7A548AE7" w14:textId="77777777" w:rsidR="0024794E" w:rsidRDefault="002F25C7" w:rsidP="0024794E">
      <w:pPr>
        <w:spacing w:before="200" w:after="100" w:line="240" w:lineRule="auto"/>
        <w:jc w:val="both"/>
        <w:rPr>
          <w:rFonts w:eastAsia="Arial" w:cstheme="minorHAnsi"/>
          <w:kern w:val="2"/>
          <w:szCs w:val="24"/>
        </w:rPr>
      </w:pPr>
      <w:r>
        <w:t xml:space="preserve">Po šieste. Opravy zaznamenaných chýb a tlačových chýb sa vykonávajú takto: Základný dokument DB-HS „Sanitácia“ zahrnutý v časti II technického stavebného zákona: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lastRenderedPageBreak/>
        <w:t>V HS oddiele 4 „Dodávka vody“ v oddiele 6.2 sa písmeno „e) polyvinylchloridové chlórované (PVC-C) rúry podľa UNE-EN ISO 15874-1:2013, UNE-EN ISO 15874-2:2013 a UNE-EN ISO 15874-3:2013;“ nahrádza písmenom „e) rúry z polychlórovaného vinylchloridu (PVC-C), podľa UNE-EN ISO 15877-1:2009 (+UNE-EN ISO 15877-1:2009/A1): 2011), UNE-EN ISO 15877-2:2009 (+UNE-EN ISO 15877-2:2009/A1: 2011) a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oddiele HS 4 „Dodávka vody“ v oddiele 6.2 sa písmeno „h) polybutylénové rúry (PB) podľa UNE-EN ISO 15876-1:2017, UNE-EN ISO 15876-2:2017 a UNE-EN ISO 15876-3:2017 nahrádza písmenom „h) polybutylénové rúry (PB) podľa UNE-EN ISO 15876-1:2017, UNE-EN ISO 15876-2:2017 a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Referenčné normy, ktorý znie: Plastové potrubné systémy na rozvod teplej a studenej vody. Polybutylén (PB). Časť 1: Všeobecné“ by malo znieť takto: Plastové potrubné systémy na rozvod teplej a studenej vody. Polybutén (PB). Časť 1: Všeobecne</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Referenčné normy, ktorý znie: Plastové potrubné systémy na rozvod teplej a studenej vody. Polybutylén (PB). Časť 2: Rúry“ by malo znieť takto: Plastové potrubné systémy na rozvod teplej a studenej vody. Polybutén (PB). Časť 2: Rúry.</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Referenčné normy, ktorý znie: Plastové potrubné systémy na rozvod teplej a studenej vody. Polybutylén (PB). Časť 3: Armatúry“ by malo znieť takto: Plastové potrubné systémy na rozvod teplej a studenej vody. Polybutén (PB). Časť 3: Armatúry.</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V dodatku C. Referenčné normy sa za odkaz na normu „UNE-EN ISO 15876-3: 2017</w:t>
      </w:r>
      <w:r>
        <w:tab/>
        <w:t>Plastové potrubné systémy na rozvod teplej a studenej vody. Polybutén (PB). Časť 3: Armatúry“ vkladajú tieto normy:</w:t>
      </w:r>
    </w:p>
    <w:p w14:paraId="5A496CEC" w14:textId="6500843E" w:rsidR="00AD074F" w:rsidRDefault="00AD074F" w:rsidP="0024794E">
      <w:pPr>
        <w:pStyle w:val="ListParagraph"/>
        <w:spacing w:after="120"/>
        <w:ind w:left="709"/>
        <w:jc w:val="both"/>
      </w:pPr>
      <w:r>
        <w:t xml:space="preserve">„UNE-EN ISO 15877-1:2009 Plastové potrubné systémy na rozvod teplej a studenej vody. Chlórovaný poly (vinylchlorid) (PVC-C). Časť 1: Všeobecné ustanovenia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Plastové potrubné systémy na rozvod teplej a studenej vody. Chlórovaný poly (vinylchlorid) (PVC-C). Časť 2: Rúry.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Plastové potrubné systémy na rozvod teplej a studenej vody. Chlórovaný poly (vinylchlorid) (PVC-C). Časť 3: Armatúry. (+UNE-EN ISO 15877-3:2009/A1:2011)</w:t>
      </w:r>
    </w:p>
    <w:p w14:paraId="30F2E766" w14:textId="038A7758" w:rsidR="005074AB" w:rsidRPr="00431D05" w:rsidRDefault="005074AB" w:rsidP="005074AB">
      <w:pPr>
        <w:jc w:val="both"/>
        <w:rPr>
          <w:rFonts w:cstheme="minorHAnsi"/>
          <w:bCs/>
          <w:i/>
          <w:iCs/>
        </w:rPr>
      </w:pPr>
      <w:r>
        <w:t xml:space="preserve">Prvé prechodné ustanovenie. </w:t>
      </w:r>
      <w:r>
        <w:rPr>
          <w:i/>
        </w:rPr>
        <w:t>Budovy vyňaté z ustanovení tohto kráľovského dekrétu.</w:t>
      </w:r>
    </w:p>
    <w:p w14:paraId="71A41130" w14:textId="7184244B" w:rsidR="005074AB" w:rsidRPr="009064BC" w:rsidRDefault="005074AB" w:rsidP="005074AB">
      <w:pPr>
        <w:jc w:val="both"/>
        <w:rPr>
          <w:rFonts w:cstheme="minorHAnsi"/>
        </w:rPr>
      </w:pPr>
      <w:r>
        <w:t xml:space="preserve">Zmeny technického stavebného zákona (CTE) prijaté týmto kráľovským dekrétom sa nevzťahujú na nové budovy alebo práce na existujúcich budovách, ktoré už v čase nadobudnutia účinnosti tohto kráľovského dekrétu požiadali o povolenie na mestské práce. </w:t>
      </w:r>
    </w:p>
    <w:p w14:paraId="6E353956" w14:textId="262DE845" w:rsidR="007B11B1" w:rsidRDefault="005074AB" w:rsidP="005074AB">
      <w:pPr>
        <w:jc w:val="both"/>
        <w:rPr>
          <w:rFonts w:cstheme="minorHAnsi"/>
        </w:rPr>
      </w:pPr>
      <w:r>
        <w:t>Tieto práce sa začnú v rámci maximálnej lehoty účinnosti uvedeného povolenia v súlade s jeho upravujúcimi predpismi alebo, ak to nebude možné, do šiestich mesiacov od udelenia uvedeného povolenia. V opačnom prípade sa projekty musia prispôsobiť zmenám CTE schváleným týmto kráľovským dekrétom.</w:t>
      </w:r>
    </w:p>
    <w:p w14:paraId="78DABA03" w14:textId="77777777" w:rsidR="005074AB" w:rsidRPr="00D47CC2" w:rsidRDefault="005074AB" w:rsidP="005074AB">
      <w:pPr>
        <w:jc w:val="both"/>
        <w:rPr>
          <w:rFonts w:cstheme="minorHAnsi"/>
          <w:bCs/>
          <w:i/>
          <w:iCs/>
        </w:rPr>
      </w:pPr>
      <w:r>
        <w:t xml:space="preserve">Druhé prechodné ustanovenie. </w:t>
      </w:r>
      <w:r>
        <w:rPr>
          <w:i/>
        </w:rPr>
        <w:t>Budovy, v prípade ktorých je uplatňovanie ustanovení tohto kráľovského dekrétu dobrovoľné.</w:t>
      </w:r>
    </w:p>
    <w:p w14:paraId="047CBC16" w14:textId="1E288EF7" w:rsidR="00CA5D2D" w:rsidRPr="00B24946" w:rsidRDefault="005074AB" w:rsidP="005074AB">
      <w:pPr>
        <w:jc w:val="both"/>
        <w:rPr>
          <w:rFonts w:cstheme="minorHAnsi"/>
        </w:rPr>
      </w:pPr>
      <w:r>
        <w:t xml:space="preserve">Zmeny technického stavebného zákona schválené týmto kráľovským dekrétom sa dobrovoľne uplatňujú na nové stavebné práce a práce na existujúcich budovách, na ktoré sa v oboch </w:t>
      </w:r>
      <w:r>
        <w:lastRenderedPageBreak/>
        <w:t xml:space="preserve">prípadoch vyžaduje povolenie na mestské práce do šiestich mesiacov od nadobudnutia účinnosti tohto kráľovského dekrétu. </w:t>
      </w:r>
    </w:p>
    <w:p w14:paraId="0F321A96" w14:textId="5FE37BEE" w:rsidR="00CA5D2D" w:rsidRDefault="00CA5D2D" w:rsidP="00CA5D2D">
      <w:pPr>
        <w:jc w:val="both"/>
        <w:rPr>
          <w:rFonts w:cstheme="minorHAnsi"/>
        </w:rPr>
      </w:pPr>
      <w:r>
        <w:t>Tieto práce sa začnú v rámci maximálnej lehoty účinnosti uvedeného povolenia v súlade s jeho upravujúcimi predpismi alebo, ak to nebude možné, do šiestich mesiacov od udelenia uvedeného povolenia. V opačnom prípade sa projekty musia prispôsobiť zmenám CTE schváleným týmto kráľovským dekrétom.</w:t>
      </w:r>
    </w:p>
    <w:p w14:paraId="1B48DE1E" w14:textId="77777777" w:rsidR="005074AB" w:rsidRPr="00D47CC2" w:rsidRDefault="005074AB" w:rsidP="005074AB">
      <w:pPr>
        <w:jc w:val="both"/>
        <w:rPr>
          <w:rFonts w:cstheme="minorHAnsi"/>
          <w:bCs/>
          <w:i/>
          <w:iCs/>
        </w:rPr>
      </w:pPr>
      <w:r>
        <w:t xml:space="preserve">Tretie prechodné ustanovenie. </w:t>
      </w:r>
      <w:r>
        <w:rPr>
          <w:i/>
        </w:rPr>
        <w:t>Budovy, v prípade ktorých je uplatňovanie ustanovení tohto kráľovského dekrétu povinné.</w:t>
      </w:r>
    </w:p>
    <w:p w14:paraId="557DDCCB" w14:textId="624E2145" w:rsidR="005074AB" w:rsidRDefault="005074AB" w:rsidP="005074AB">
      <w:pPr>
        <w:jc w:val="both"/>
        <w:rPr>
          <w:rFonts w:cstheme="minorHAnsi"/>
        </w:rPr>
      </w:pPr>
      <w:r>
        <w:t>Uplatňovanie zmien technického stavebného zákona (CTE) prijatých týmto kráľovským dekrétom je povinné pre nové budovy alebo práce na existujúcich budovách, ktoré žiadajú o povolenie na mestské práce neskôr ako deväť mesiacov po nadobudnutí účinnosti tohto ustanovenia.</w:t>
      </w:r>
    </w:p>
    <w:p w14:paraId="588C44EA" w14:textId="52803F33" w:rsidR="005074AB" w:rsidRPr="00D47CC2" w:rsidRDefault="005074AB" w:rsidP="005074AB">
      <w:pPr>
        <w:jc w:val="both"/>
        <w:rPr>
          <w:rFonts w:cstheme="minorHAnsi"/>
          <w:bCs/>
          <w:i/>
          <w:iCs/>
        </w:rPr>
      </w:pPr>
      <w:r>
        <w:t xml:space="preserve">Prvé záverečné ustanovenie. </w:t>
      </w:r>
      <w:r>
        <w:rPr>
          <w:i/>
        </w:rPr>
        <w:t>Zmena kráľovského dekrétu č. 1053/2014 z 12. decembra, ktorým sa schvaľuje nový doplňujúci technický pokyn (ITC) BT 52 „Inštalácie na osobitné účely. Infraštruktúra pre nabíjanie elektrických vozidiel“ nariadenia o nízkonapäťových elektrotechnických zariadeniach, schváleného kráľovským dekrétom č. 842/2002 z 2. augusta, a menia sa ďalšie doplňujúce technické pokyny.</w:t>
      </w:r>
    </w:p>
    <w:p w14:paraId="183CB7CD" w14:textId="78A1B469" w:rsidR="005074AB" w:rsidRPr="009064BC" w:rsidRDefault="005074AB" w:rsidP="005074AB">
      <w:pPr>
        <w:jc w:val="both"/>
        <w:rPr>
          <w:rFonts w:cstheme="minorHAnsi"/>
        </w:rPr>
      </w:pPr>
      <w:r>
        <w:t>Po prvé. Prvé dodatočné ustanovenie kráľovského dekrétu č. 1053/2014 z 12. decembra, ktorým sa schvaľuje nový doplňujúci technický pokyn (ITC) BT 52, sa mení takto:</w:t>
      </w:r>
    </w:p>
    <w:p w14:paraId="6C63F170" w14:textId="77777777" w:rsidR="005074AB" w:rsidRPr="009064BC" w:rsidRDefault="005074AB" w:rsidP="005074AB">
      <w:pPr>
        <w:ind w:left="567"/>
        <w:jc w:val="both"/>
        <w:rPr>
          <w:rFonts w:cstheme="minorHAnsi"/>
        </w:rPr>
      </w:pPr>
      <w:r>
        <w:t>„Prvé dodatočné ustanovenie. Minimálne konštrukčné zariadenia na nabíjanie elektrických vozidiel na parkoviskách, ktoré nie sú určené pre budovy, novovybudované alebo podliehajúce významnej obnove, a na verejných cestách.</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Na novovybudovaných parkoviskách alebo parkoviskách prechádzajúcich významnou rekonštrukciou, ktoré nie sú umiestnené v budove alebo s ňou susedia, a teda mimo rámca základného dokumentu o úspore energie (DB HE) technického stavebného zákona, musí byť na každých 40 parkovacích miest inštalovaná aspoň jedna nabíjacia stanica. Parkovisko sa považuje za novovybudované, keď sa projekt výstavby predloží príslušnej verejnej správe na spracovanie po nadobudnutí účinnosti tohto kráľovského dekrétu. </w:t>
      </w:r>
    </w:p>
    <w:p w14:paraId="0C99327A" w14:textId="0AD5DDFE" w:rsidR="005074AB" w:rsidRPr="009064BC" w:rsidRDefault="005074AB" w:rsidP="002F659F">
      <w:pPr>
        <w:numPr>
          <w:ilvl w:val="0"/>
          <w:numId w:val="11"/>
        </w:numPr>
        <w:ind w:left="1418" w:hanging="284"/>
        <w:contextualSpacing/>
        <w:jc w:val="both"/>
        <w:rPr>
          <w:rFonts w:cstheme="minorHAnsi"/>
        </w:rPr>
      </w:pPr>
      <w:r>
        <w:t>Musia byť zaručené zariadenia potrebné na napájanie nabíjacích staníc umiestnených na miestach pre elektrické vozidlá na verejných komunikáciách, ktoré sú uvedené v plánoch udržateľnej mobility na úrovni vyšších samospráv alebo obcí.“</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Po druhé. Oddiel 3.2 INSTRUCCIÓN TÉCNICA COMPLEMENTARIA (ITC) BT-52 sa mení takto:</w:t>
      </w:r>
    </w:p>
    <w:p w14:paraId="6A13CA56" w14:textId="2BC47FB2" w:rsidR="005074AB" w:rsidRPr="009064BC" w:rsidRDefault="005074AB" w:rsidP="005074AB">
      <w:pPr>
        <w:ind w:left="567"/>
        <w:jc w:val="both"/>
        <w:rPr>
          <w:rFonts w:cstheme="minorHAnsi"/>
        </w:rPr>
      </w:pPr>
      <w:r>
        <w:t xml:space="preserve">„3.2 Inštalácia na parkoviskách alebo spoločných parkovacích miestach priľahlých budov alebo komplexov budov. </w:t>
      </w:r>
    </w:p>
    <w:p w14:paraId="14463364" w14:textId="6F4941EA" w:rsidR="005074AB" w:rsidRPr="003934E5" w:rsidRDefault="005074AB" w:rsidP="005074AB">
      <w:pPr>
        <w:ind w:left="567"/>
        <w:jc w:val="both"/>
        <w:rPr>
          <w:rFonts w:cstheme="minorHAnsi"/>
        </w:rPr>
      </w:pPr>
      <w:r>
        <w:t xml:space="preserve">Elektrické zariadenia na nabíjanie </w:t>
      </w:r>
      <w:r>
        <w:rPr>
          <w:i/>
        </w:rPr>
        <w:t>elektrických vozidiel</w:t>
      </w:r>
      <w:r>
        <w:t xml:space="preserve"> umiestnené na parkoviskách alebo na parkoviskách vo vnútri budov alebo obytných priestorov alebo na nich pripevnené, musia dodržiavať ktorýkoľvek z uvedených režimov.</w:t>
      </w:r>
      <w:r>
        <w:rPr>
          <w:color w:val="000000" w:themeColor="text1"/>
        </w:rPr>
        <w:t xml:space="preserve"> </w:t>
      </w:r>
      <w:r>
        <w:t xml:space="preserve">V tej istej budove sa môžu použiť </w:t>
      </w:r>
      <w:r>
        <w:lastRenderedPageBreak/>
        <w:t>rôzne diagramy za predpokladu, že sú splnené všetky požiadavky stanovené v tomto dokumente (ITC) BT-52.</w:t>
      </w:r>
    </w:p>
    <w:p w14:paraId="642E3740" w14:textId="7634F88A" w:rsidR="005074AB" w:rsidRPr="009064BC" w:rsidRDefault="005074AB" w:rsidP="005074AB">
      <w:pPr>
        <w:ind w:left="567"/>
        <w:jc w:val="both"/>
        <w:rPr>
          <w:rFonts w:cstheme="minorHAnsi"/>
        </w:rPr>
      </w:pPr>
      <w:r>
        <w:t>V schéme 4a sa nabíjací okruh riadi podmienkami inštalácie opísanými v dokumente (ITC) BT-15 s použitím káblov a systémov vedenia rovnakých typov a charakteristík ako v prípade individuálneho vetvy a prierez kábla sa vypočíta v súlade so všeobecnými požiadavkami oddielu 5 tohto dokumentu ITC. Nie je potrebné predpokladať rozšírenie prierezu káblov na určenie priemeru alebo priečnych rozmerov systému vedenia, ktorý sa má použiť.</w:t>
      </w:r>
    </w:p>
    <w:p w14:paraId="5C0A8DBB" w14:textId="77777777" w:rsidR="005074AB" w:rsidRPr="009064BC" w:rsidRDefault="005074AB" w:rsidP="005074AB">
      <w:pPr>
        <w:ind w:left="567"/>
        <w:jc w:val="both"/>
        <w:rPr>
          <w:rFonts w:cstheme="minorHAnsi"/>
        </w:rPr>
      </w:pPr>
      <w:r>
        <w:t>Schéma 4b sa použije, ak je napájanie nabíjacích staníc navrhnuté ako neoddeliteľná súčasť alebo rozšírenie elektrického zariadenia slúžiaceho všeobecným službám garáží.</w:t>
      </w:r>
    </w:p>
    <w:p w14:paraId="1BEC25F6" w14:textId="7E6AD67A" w:rsidR="005074AB" w:rsidRPr="009064BC" w:rsidRDefault="00D676D8" w:rsidP="005074AB">
      <w:pPr>
        <w:ind w:left="567"/>
        <w:jc w:val="both"/>
        <w:rPr>
          <w:rFonts w:cstheme="minorHAnsi"/>
        </w:rPr>
      </w:pPr>
      <w:r>
        <w:t>Ako v existujúcich zariadeniach, tak aj v nových zariadeniach, a aby sa uľahčilo používanie zvolenej elektrickej schémy, panely, v ktorých sú umiestnené všeobecné ochrany a iné zariadenia na nabíjanie elektrických vozidiel, môžu byť umiestnené v miestnostiach určených na tento účel alebo v spoločných priestoroch.</w:t>
      </w:r>
    </w:p>
    <w:p w14:paraId="3AA0FB18" w14:textId="5CA8F82A" w:rsidR="005074AB" w:rsidRPr="009064BC" w:rsidRDefault="005074AB" w:rsidP="00904550">
      <w:pPr>
        <w:ind w:left="567"/>
        <w:jc w:val="both"/>
        <w:rPr>
          <w:rFonts w:cstheme="minorHAnsi"/>
        </w:rPr>
      </w:pPr>
      <w:r>
        <w:t xml:space="preserve">Elektrická predinštalácia na nabíjanie elektrických vozidiel na parkoviskách umiestnených alebo susediacich s budovami alebo stavebnými komplexmi uľahčuje následné využívanie ktoréhokoľvek z možných systémov inštalácie. Patria sem tieto prvky: </w:t>
      </w:r>
    </w:p>
    <w:p w14:paraId="4CCD8B27" w14:textId="732EDA20" w:rsidR="005074AB" w:rsidRPr="009064BC" w:rsidRDefault="005074AB" w:rsidP="005074AB">
      <w:pPr>
        <w:numPr>
          <w:ilvl w:val="0"/>
          <w:numId w:val="12"/>
        </w:numPr>
        <w:ind w:left="1418" w:hanging="284"/>
        <w:jc w:val="both"/>
        <w:rPr>
          <w:rFonts w:cstheme="minorHAnsi"/>
        </w:rPr>
      </w:pPr>
      <w:r>
        <w:t>Inštalácia systémov vedenia káblov z centralizácie meračov a hlavných ciest parkovísk, aby bolo možné neskôr napájať nabíjacie stanice, ktoré môžu byť umiestnené na jednotlivých parkovacích miestach alebo parkoviskách. Ak je predinštalácia plánovaná pre 100 % miest, systémy vedenia káblov musia viesť ku každému miestu. Ak sa predinštalácia neplánuje pre 100 % miest, musia sa definovať miesta, ktoré sa považujú za vyhovujúce regulačnému zabezpečeniu systémov vedenia káblov a tieto systémy musia viesť ku každému z týchto miest.</w:t>
      </w:r>
    </w:p>
    <w:p w14:paraId="0460434B" w14:textId="6073EA36" w:rsidR="005074AB" w:rsidRPr="009064BC" w:rsidRDefault="005074AB" w:rsidP="00281B93">
      <w:pPr>
        <w:numPr>
          <w:ilvl w:val="0"/>
          <w:numId w:val="12"/>
        </w:numPr>
        <w:jc w:val="both"/>
        <w:rPr>
          <w:rFonts w:cstheme="minorHAnsi"/>
        </w:rPr>
      </w:pPr>
      <w:r>
        <w:t>Centralizácia meračov musí byť dimenzovaná v súlade s elektrickou schémou zvolenou na nabíjanie elektrického vozidla a uvedenou v dokumente (ITC) BT-16. Záložné moduly musia byť inštalované aspoň pre 20 % garážových priestorov, ktoré nie sú spojené s obydlím, a keď sú všetky priestory spojené s obydlím, musí sa inštalovať aspoň jeden záložný modul. Tieto záložné moduly musia mať kapacitu na umiestnenie hlavného merača a nadprúdových ochranných zariadení spojených s meračom, či už s poistkami alebo ističmi.</w:t>
      </w:r>
    </w:p>
    <w:p w14:paraId="7C024BD7" w14:textId="5A6D76AB" w:rsidR="005074AB" w:rsidRPr="009064BC" w:rsidRDefault="005074AB" w:rsidP="005074AB">
      <w:pPr>
        <w:ind w:left="1416"/>
        <w:jc w:val="both"/>
        <w:rPr>
          <w:rFonts w:cstheme="minorHAnsi"/>
        </w:rPr>
      </w:pPr>
      <w:r>
        <w:t>Zásuvky alebo konektory inštalované v nabíjacej stanici a jej automatické ochranné ističe musia spĺňať jednu z možností uvedených v oddiele 5.4.“</w:t>
      </w:r>
    </w:p>
    <w:p w14:paraId="3C2EF0D1" w14:textId="7C25EDED" w:rsidR="00324D93" w:rsidRPr="009064BC" w:rsidRDefault="00441D3E" w:rsidP="00CA5D2D">
      <w:pPr>
        <w:jc w:val="both"/>
        <w:rPr>
          <w:rFonts w:cstheme="minorHAnsi"/>
        </w:rPr>
      </w:pPr>
      <w:r>
        <w:t>Po tretie. Prvý pododsek oddielu 5.4 DOPLŇUJÚCEHO TECHNICKÉHO POKYNU (ITC) BT-52 sa mení takto:</w:t>
      </w:r>
    </w:p>
    <w:p w14:paraId="1D0AA4C9" w14:textId="6013C719" w:rsidR="00527DF1" w:rsidRDefault="00324D93" w:rsidP="00CA5D2D">
      <w:pPr>
        <w:jc w:val="both"/>
        <w:rPr>
          <w:color w:val="FF0000"/>
        </w:rPr>
      </w:pPr>
      <w:r>
        <w:t xml:space="preserve">„5.4 Miesto pripojenia. </w:t>
      </w:r>
      <w:bookmarkStart w:id="1" w:name="_Hlk81468651"/>
      <w:r>
        <w:t xml:space="preserve">Miesto pripojenia musí byť umiestnené vedľa miesta, ktoré sa má napájať, a musí byť trvalo inštalované v uzavretom priestore. </w:t>
      </w:r>
    </w:p>
    <w:bookmarkEnd w:id="1"/>
    <w:p w14:paraId="346E72DC" w14:textId="2F609E5D" w:rsidR="00441D3E" w:rsidRPr="00527DF1" w:rsidRDefault="00527DF1" w:rsidP="00CA5D2D">
      <w:pPr>
        <w:jc w:val="both"/>
        <w:rPr>
          <w:color w:val="FF0000"/>
        </w:rPr>
      </w:pPr>
      <w:r>
        <w:t xml:space="preserve">Minimálna montážna výška zásuviek a konektorov musí byť 60 cm nad úrovňou zeme. </w:t>
      </w:r>
      <w:bookmarkStart w:id="2" w:name="_Hlk81468224"/>
      <w:r>
        <w:t xml:space="preserve">Ak je nabíjacia stanica určená na verejné použitie, maximálna výška je 120 cm. Na prístupných parkovacích miestach musia mať zásuvky a konektory farebný kontrast s ohľadom na okolie, </w:t>
      </w:r>
      <w:r>
        <w:lastRenderedPageBreak/>
        <w:t>musia byť umiestnené vo výške 80 až 120 cm a vzdialenosť od rohových spojov musí byť najmenej 35 cm.“</w:t>
      </w:r>
      <w:bookmarkEnd w:id="2"/>
    </w:p>
    <w:p w14:paraId="33BA3231" w14:textId="6E4F1E78" w:rsidR="005074AB" w:rsidRPr="00D47CC2" w:rsidRDefault="005074AB" w:rsidP="00CA5D2D">
      <w:pPr>
        <w:jc w:val="both"/>
        <w:rPr>
          <w:rFonts w:cstheme="minorHAnsi"/>
          <w:bCs/>
          <w:i/>
          <w:iCs/>
        </w:rPr>
      </w:pPr>
      <w:r>
        <w:t xml:space="preserve">Druhé záverečné ustanovenie. </w:t>
      </w:r>
      <w:r>
        <w:rPr>
          <w:i/>
        </w:rPr>
        <w:t>Transpozícia právnych predpisov Európskej únie.</w:t>
      </w:r>
    </w:p>
    <w:p w14:paraId="09244551" w14:textId="77777777" w:rsidR="005074AB" w:rsidRPr="009064BC" w:rsidRDefault="005074AB" w:rsidP="00CA5D2D">
      <w:pPr>
        <w:jc w:val="both"/>
        <w:rPr>
          <w:rFonts w:cstheme="minorHAnsi"/>
        </w:rPr>
      </w:pPr>
      <w:r>
        <w:t>Týmto kráľovským dekrétom sa do španielskeho práva transponujú články 8.2, 8.3 a 8.5 SMERNICE EURÓPSKEHO PARLAMENTU A RADY (EÚ) 2018/844 z 30. mája 2018, ktorou sa mení smernica 2010/31/EÚ o energetickej hospodárnosti budov a smernica 2012/27/EÚ o energetickej efektívnosti.</w:t>
      </w:r>
    </w:p>
    <w:p w14:paraId="106D513A" w14:textId="7AD1ED46" w:rsidR="005074AB" w:rsidRPr="00C760C9" w:rsidRDefault="005074AB" w:rsidP="005074AB">
      <w:pPr>
        <w:jc w:val="both"/>
        <w:rPr>
          <w:rFonts w:cstheme="minorHAnsi"/>
          <w:bCs/>
          <w:i/>
          <w:iCs/>
        </w:rPr>
      </w:pPr>
      <w:r>
        <w:t xml:space="preserve">Tretie záverečné ustanovenie. </w:t>
      </w:r>
      <w:r>
        <w:rPr>
          <w:i/>
        </w:rPr>
        <w:t>Nadobudnutie účinnosti.</w:t>
      </w:r>
    </w:p>
    <w:p w14:paraId="74B6AB2B" w14:textId="74C92419" w:rsidR="001035FC" w:rsidRDefault="005074AB" w:rsidP="000A2592">
      <w:pPr>
        <w:jc w:val="both"/>
        <w:rPr>
          <w:rFonts w:cstheme="minorHAnsi"/>
          <w:color w:val="FF0000"/>
        </w:rPr>
      </w:pPr>
      <w:r>
        <w:t>Tento kráľovský dekrét nadobúda účinnosť v nasledujúci deň po jeho uverejnení v úradnom vestníku.</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V Madride dňa                          </w:t>
      </w:r>
    </w:p>
    <w:p w14:paraId="28C0A3AF" w14:textId="7E6F82AF" w:rsidR="007F6E00" w:rsidRPr="00243027" w:rsidRDefault="00D47CC2" w:rsidP="00726501">
      <w:pPr>
        <w:jc w:val="center"/>
        <w:rPr>
          <w:rFonts w:cstheme="minorHAnsi"/>
          <w:sz w:val="24"/>
          <w:szCs w:val="24"/>
        </w:rPr>
      </w:pPr>
      <w:r>
        <w:rPr>
          <w:sz w:val="24"/>
        </w:rPr>
        <w:t>MINISTER DOPRAVY, MOBILITY A MESTSKEJ AGENDY</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TRETÍ PODPREDSEDA VLÁDY A MINISTER PRE EKOLOGICKÚ TRANSFORMÁCIU A DEMOGRAFICKÚ VÝZVU</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Návrh kráľovského dekrétu, ktorým sa mení technický stavebný zákon, schválený kráľovským dekrétom č. 314/2006 zo 17. marca 2006.</w:t>
    </w:r>
  </w:p>
  <w:p w14:paraId="53C3F409" w14:textId="5B87674E" w:rsidR="00251439" w:rsidRPr="00C864A9" w:rsidRDefault="00251439" w:rsidP="00D214B0">
    <w:pPr>
      <w:pStyle w:val="Footer"/>
      <w:rPr>
        <w:i/>
        <w:sz w:val="15"/>
        <w:szCs w:val="15"/>
      </w:rPr>
    </w:pPr>
    <w:r>
      <w:rPr>
        <w:i/>
        <w:sz w:val="15"/>
      </w:rPr>
      <w:t>Verzia pre európske verejné informácie. október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MINISTERSTVO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ROZVOJA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45DB"/>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6680</Words>
  <Characters>38079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2021-11-02T16:17:00Z</dcterms:modified>
</cp:coreProperties>
</file>