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Ministrų Tarybai siūloma patvirtinti šį nuostatos projektą:</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Karališkojo dekreto, kuriuo iš dalies keičiamas Techninis statybos kodeksas, patvirtintas kovo 17 d. Karališkuoju dekretu Nr. 314/2006, projektas.</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Lapkričio 5 d. Įstatyme Nr. 38/1999 dėl statybos nuostatų Techninis statybos kodeksas (CTE) apibrėžiamas kaip reglamentavimo sistema, kuria nustatomi pagrindiniai pastatų ir jų įrenginių kokybės reikalavimai ir suteikiama galimybė laikytis 3 straipsnyje nustatytų pagrindinių reikalavimų. Šiame įstatyme numatytas Techninis statybos kodeksas (CTE) buvo patvirtintas kovo 17 d. Karališkuoju dekretu Nr. 314/2006. Pagrindiniuose dokumentuose, sudarančiuose CTE II dalį, nustatyti ir, kai tinkama, kiekybiškai išreikšti pagrindiniai I dalyje nustatyti reikalavimai, numatant tikslinius veiklos rezultatų lygius, ribines vertes ar kitus parametrus. Visų pirma, DB-HE pagrindiniame dokumente „Energijos taupymas“ nurodomi ir kiekybiškai įvertinami energijos vartojimo efektyvumo reikalavimai, kuriuos turi atitikti naujai pastatyti pastatai, taip pat intervencija į esamus pastatus.</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2018 m. gegužės 30 d. priimta Europos Parlamento ir Tarybos direktyva (ES) 2018/844, kuria iš dalies keičiama Direktyva 2010/31/ES dėl pastatų energinio naudingumo ir Direktyva 2012/27/ES dėl energijos vartojimo efektyvumo.</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Šia direktyva skatinama nustatyti konkrečius elektromobilių įkrovimo infrastruktūros pastatuose esančiose automobilių stovėjimo aikštelėse reikalavimus. Taigi, tiek statybos, tiek judumo sektoriai turi būti strateginės sritys, kuriose būtų galima mažinti bendrą ekonomikos priklausomybę nuo iškastinio kuro, taikant reglamentavimo sistemą, kuria siekiama šiuose sektoriuose skatinti naujoves, tvarumą ir energijos vartojimo efektyvumą.</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Savo ruožtu, elektromobilių išmaniojo įkrovimo infrastruktūros plėtra prisidės prie energijos valdymo ir lankstumo, atsinaujinančiųjų išteklių energijos naudojimo ir oro kokybės gerinimo, o jos energinis naudingumas bus optimizuotas, nes pastatai taps labiau skaitmeniniai ir į šią sritį bus įtrauktos naujos technologijos.</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Savo ruožtu, 2021–2030 m. integruotame nacionaliniame energetikos ir klimato srities veiksmų plane (PNIEC), kurį Ispanija pateikė Europos Komisijai, numatyta skatinti elektromobilumą kaip priemonę energijos suvartojimui ir transporto priemonių išmetamų teršalų kiekiui mažinti, pritaikant ir įtraukiant Europos Sąjungos teisės aktus, kuriais sudaromos sąlygos diegti elektromobilių įkrovimo infrastruktūrą atsižvelgiant į transporto priemonių parko elektrifikavimo plėtrą, taip pat taikant kitus skatinimo ir paramos mechanizmus.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Siekiant įgyvendinti šiuos tikslus ir iš dalies perkelti direktyvą į nacionalinę teisę, šiuo Karališkuoju dekretu į Techninį statybos kodeksą įtraukiamas naujas pagrindinis energijos taupymo reikalavimas, susijęs su būtiniausiais asignavimais </w:t>
      </w:r>
      <w:r>
        <w:rPr>
          <w:rFonts w:ascii="Calibri" w:hAnsi="Calibri"/>
          <w:sz w:val="22"/>
        </w:rPr>
        <w:lastRenderedPageBreak/>
        <w:t xml:space="preserve">elektromobilių įkrovimo infrastruktūrai, kuris yra rengiamas pagrindinio dokumento DB-HE dėl energijos taupymo naujame HE 6 skirsnyje „Būtiniausi elektromobilių įkrovimo infrastruktūros įrenginiai“.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Kita vertus, reikėtų pažymėti, kad gegužės 20 d. Įstatymo Nr. 7/2021 dėl klimato kaitos ir energetikos pertvarkos 15 straipsnio 10 dalyje daroma nuoroda į šio reglamento CTE, kuriuo nustatomos būtiniausios nuostatos dėl elektromobilių įkrovimo infrastruktūros esamuose ne privačiuose gyvenamuosiuose būstuose, kuriuose yra daugiau kaip dvidešimt automobilių stovėjimo vietų, viduje arba tam skirtoje lauko erdvėje, ir kurios turėtų būti įgyvendintos iki 2023 m. sausio 1 d. Tačiau šie būtiniausi asignavimai galiausiai nustatyti gruodžio 21 d. Karališkuoju dekretu-įstatymu Nr. 29/2021, kuriuo energetikos srityje priimamos skubios priemonės, kuriomis skatinamas elektromobilumas, pasigamintos energijos vartojimas ir atsinaujinančiųjų išteklių energijos naudojimas, o šis reikalavimas įtrauktas į 4 straipsnį.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Siekiant užbaigti elektromobilių įkrovimo infrastruktūros reglamentavimą, taip pat iš dalies keičiamas gruodžio 12 d. Karališkasis dekretas Nr. 1053/2014, kuriuo patvirtinama Žemos įtampos elektrotechnikos reglamento, patvirtinto rugpjūčio 2 d. Karališkuoju dekretu Nr. 842/2002, papildoma techninė instrukcija (ITC) BT-52 „Specialios paskirties įrenginiai. Elektromobilių įkrovimo infrastruktūra“, ir iš dalies keičiamos kitos papildomos techninės instrukcijos.</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Be to, PNIEC, kaip priemonėje, kuria siekiama skatinti atsinaujinančiąją energiją, didinti gamybos sektorių konkurencingumą ir skatinti vartotojus aktyviau dalyvauti energijos valdyme, numatyta plėtoti pasigamintos energijos vartojimą naudojant atsinaujinančiąją energiją ir paskirstytą gamybą gyvenamosiose ir verslo zonose.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Šiuo atžvilgiu balandžio 5 d. Karališkuoju dekretu Nr. 244/2019, kuriuo reglamentuojamos pasigamintos elektros energijos vartojimo administracinės, techninės ir ekonominės sąlygos, be kita ko, leista kolektyviai vartoti pasigamintą elektros energiją ir kartu sumažintos savo pasigamintos elektros energijos vartojimo įgyvendinimo administracinės procedūros. Todėl manoma, kad dabartinė teisinė sistema leidžia išplėsti pagrindinio reikalavimo HE 5, susijusio su mažiausia elektros energijos gamyba iš atsinaujinančiųjų energijos išteklių, taikymo sritį, t. y. jį taikyti privatiems gyvenamiesiems būstams ir sumažinti pastatų statinio ploto ribą visais tikslais, kuriems šis reikalavimas taikomas.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Be to, manoma, kad būtina iš dalies pakeisti kai kuriuos pagrindinių dokumentų skirsnius DB-HE „Energijos taupymas“</w:t>
      </w:r>
      <w:bookmarkStart w:id="0" w:name="_Hlk92819359"/>
      <w:bookmarkEnd w:id="0"/>
      <w:r>
        <w:rPr>
          <w:rFonts w:ascii="Calibri" w:hAnsi="Calibri"/>
          <w:sz w:val="22"/>
        </w:rPr>
        <w:t xml:space="preserve"> ir DB-HS „Sveikata“, kad būtų lengviau juos taikyti, ir nedelsiant pakeisti pagrindinį dokumentą DB-SUA „Naudojimo ir prieinamumo sauga“, kad būtų įtraukti įkrovimo stotelių prieinamumo kriterijai prieinamose stovėjimo aikštelėse.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CTE pakeitimas, susijęs su pagrindinio dokumento DB-HE dėl energijos taupymo naujo skirsnio HE 6 „Būtiniausios nuostatos dėl elektromobilių įkrovimo infrastruktūros“ įtraukimu, taip pat gruodžio 12 d. Karališkojo dekreto Nr. 1053/2014 pakeitimas, kuriuo patvirtinama nauja papildoma techninė instrukcija BT 52, įtraukta į pirmąją baigiamąją nuostatą, yra reglamentavimo reformų, numatytų Ekonomikos gaivinimo, pertvarkos ir atsparumo didinimo plane (PRTR), dalis. Konkrečiai PRTR 1 dalyje „Tvaraus, saugaus ir susieto reagavimo į judumo sukrėtimus planas miesto ir didmiesčių aplinkoje“ pritariama šiam Karališkajam dekretui, kuriuo įgyvendinamos minėtos reglamentavimo reformos pagal C1.R1 reformą, pavadintą „Įkrovimo infrastruktūros diegimo ir elektromobilių naudojimo skatinimo planas“.  C1.R1 reforma sukurta kaip įstatymų, reglamentavimo ir strateginė sistema, kuria siekiama palengvinti įkrovimo infrastruktūros diegimą, kad būtų skatinamas elektromobilių naudojimas Ispanijoje, ir turi du etapus. Pirmasis iš jų sudarytas vasario 19 d. Įsakymu TMA/178/2020, kuriuo iš dalies keičiamas 1997 m. gruodžio 16 d. įsakymas, kuriuo reglamentuojamos prieigos prie valstybinių kelių, privažiavimo kelių ir infrastruktūros objektų statybos, ir birželio 23 d. Karališkuoju dekretu Nr. 23/2020, kuriuo patvirtinamos energetikos ir kitų sričių priemonės, kuriomis siekiama atgaivinti ekonomiką. C1.R1 reformos antrasis etapas apima šio Karališkojo dekreto, kuriuo iš dalies keičiamas Techninis statybos kodeksas, ir gruodžio 12 d. Karališkojo dekreto Nr. 1053/2014, kuriuo patvirtinama nauja papildoma techninė instrukcija (ITC) BT 52, patvirtinimą.  Šios reformos laikotarpio orientyras yra Karališkojo dekreto, kuriuo ji reglamentuojama iki 2022 m. birželio 30 d., įsigaliojimas. Reforma C1.R1. yra susijusi su investicijomis C1.I2 „Įkrovimo punktų įrengimo, elektra varomų ir transporto priemonių su kuro elementais įsigijimo </w:t>
      </w:r>
      <w:r>
        <w:rPr>
          <w:rFonts w:ascii="Calibri" w:hAnsi="Calibri"/>
          <w:sz w:val="22"/>
        </w:rPr>
        <w:lastRenderedPageBreak/>
        <w:t xml:space="preserve">ir naujovių elektromobilumo, įkrovimo ir ekologiško vandenilio srityse skatinimo planas“. Šios investicijos apima paramą įkrovimo stotelių įrengimui, kaip nurodyta balandžio 13 d. Karališkajame dekrete Nr. 266/2021, kuriuo patvirtinamas tiesioginis pagalbos teikimas autonominėms bendruomenėms ir Seutos bei Melilijos miestams įgyvendinant su elektriniu judumu susijusias skatinimo programas (MOVES III) pagal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Šiame Karališkajame dekrete laikomasi principo „Nedaryti reikšmingos žalos“ (DNSH) ir klimato bei skaitmeninio ženklinimo sąlygų, laikantis PRTR nuostatų, 2021 m. vasario 12 d. Europos Parlamento ir Tarybos reglamento (ES) 2021/241, kuriuo nustatomas atsparumo ir atkūrimo mechanizmas, ir jį įgyvendinančių teisės aktų, visų pirma Komisijos techninių gairių komunikato dėl reikšmingos žalos nedarymo principo taikymo pagal Atsparumo ir atkūrimo mechanizmo reglamentą, taip pat Tarybos įgyvendinimo sprendimo dėl Ispanijos ekonomikos gaivinimo, pertvarkos ir atsparumo didinimo plano vertinimo patvirtinimo reikalavimų. Tai apima atitiktį konkrečioms sąlygoms, nustatytoms 1 komponente, taip pat 1 reformoje, kurioje šis Karališkasis dekretas suformuluotas, tiek atsižvelgiant į DNSH principą, tiek į klimato ir skaitmeninį ženklinimą, visų pirma toms, kurios išdėstytos PRTR komponento dokumento 3, 6 ir 8 skirsniuose. PRTR investicijomis C1.I2, susijusiomis su C1.R1 reforma, taip pat laikomasi principo, kad nedaroma reikšminga žala aplinkai, ir klimato bei skaitmeninio ženklinimo sąlygų.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Šis Karališkasis dekretas atitinka būtinumo, veiksmingumo, proporcingumo, teisinio tikrumo, skaidrumo ir efektyvumo principus, nustatytus spalio 1 d. Įstatymo Nr. 39/2015 dėl bendros viešojo administravimo institucijų administracinės procedūros 129 straipsnyje. Atsižvelgiant į būtinumo ir veiksmingumo principus, įstatymas atitinka įpareigojimą perkelti Europos direktyvas į nacionalinę teisę ir atitinka bendrojo intereso tikslus, pavyzdžiui, pastatų infrastruktūros pritaikymą tvariam judumui ir atsinaujinančiosios energijos naudojimui skatinti. Tai padės užtikrinti visuomenės gerovę ir apsaugoti aplinką. Šis Karališkasis dekretas taip pat atitinka proporcingumo principą, nes jame numatytos būtinos ir pakankamos priemonės direktyvoje numatytiems teisiniams įgaliojimams įgyvendinti, tačiau nereikalaujama naujovių, kurios gali būti nereikalingos arba viršijančios teisinius reikalavimus, taip pat juo neribojamos piliečių teisės. Šis reglamentas atitinka teisinio tikrumo principą, nes jis buvo parengtas 1997 m. lapkričio 27 d. Vyriausybės įstatyme Nr. 50/1997 nustatyta tvarka ir remiantis skaidrumo principu, nes jame aiškiai nurodomas jo tikslas, o viešai prieinamame aiškinamajame memorandume išsamiai paaiškinamas turinys. Galiausiai jis taip pat atitinka efektyvumo principą, nes juo neužkraunama jokia administracinė našta.</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Šiai bendrajai nuostatai buvo taikomos išankstinių viešų konsultacijų ir viešo klausymo bei informacijos teikimo procedūros, nustatytos lapkričio 27 d. Vyriausybės įstatymo Nr. 50/1997 26 straipsnyje, taip pat informavimo apie techninius reglamentus ir informacinės visuomenės paslaugų taisykles tvarka, numatyta 2015 m. rugsėjo 9 d. Europos Parlamento ir Tarybos direktyvoje (ES) 2015/1535 ir 1999 m. liepos 31 d. Karališkajame dekrete Nr. 1337/1999.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Todėl transporto, judumo ir miestų darbotvarkės ministrės ir ekologinės pertvarkos ir demografinių iššūkių ministrės siūlymu, pritarus Valstybės tarybai ir po svarstymų Ministrų Tarybos posėdyje</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NUTARIAMA:</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Vienintelis straipsnis. </w:t>
      </w:r>
      <w:r>
        <w:rPr>
          <w:rFonts w:ascii="Calibri" w:hAnsi="Calibri"/>
          <w:i/>
          <w:sz w:val="22"/>
        </w:rPr>
        <w:t>Techninio statybos kodekso (CTE), patvirtinto 2006 m. kovo 17 d. Karališkuoju dekretu Nr. 314/2006, pakeitimas.</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Techninis statybos kodeksas (CTE), patvirtintas kovo 17 d. Karališkuoju dekretu Nr. 314/2006, iš dalies keičiamas taip:</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Pirma dalis. I dalies rodyklė iš dalies keičiama taip:</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Tekstas „15.6. Pagrindinis reikalavimas HE5: Mažiausia elektros energijos gamyba“ išdėstomas taip:</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Pagrindinis HE 5 reikalavimas: Mažiausia elektros energijos gavyba iš atsinaujinančiųjų išteklių“.</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Nuorodoje į 15 straipsnį įtraukiamas papildomas punktas, kurio tekstas yra toks:</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Pagrindinis HE6 reikalavimas: Būtiniausi elektromobilių įkrovimo infrastruktūros įrenginiai.</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Antra dalis. I dalies 15 straipsnis iš dalies keičiamas taip:</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punktas iš dalies keičiamas taip:</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Pagrindinis HE 5 reikalavimas: Mažiausia elektros energijos gamyba iš atsinaujinančiųjų išteklių.</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Pastatuose turi būti elektros energijos gamybos iš atsinaujinančiųjų išteklių sistemos, skirtos savo reikmėms arba elektros energijos tinklui tiekti.“</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Pridedamas naujas 15.7 skirsnis, kurio turinys yra toks:</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Pagrindinis HE 6 reikalavimas: Būtiniausi elektromobilių įkrovimo infrastruktūros įrenginiai.</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Pastatuose turi būti būtiniausia infrastruktūra, leidžianti įkrauti elektromobilius.“</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Trečia dalis. Padaryti šie, II dalyje esančio, pagrindinio dokumento DB-HE „Energijos taupymas“ pakeitimai: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„Įvado“ skirsnio „I dalykas“ pirmoje pastraipoje sakinyje „Šio DB skirsniai atitinka pagrindinius HE 0–HE 5 reikalavimus“ vietoj žodžių „HE 5“ turėtų būti įrašyta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„Įvado“ I skirsnyje „Dalykas“ iš dalies keičiama nuoroda į CTE I dalies 15.6 straipsnį, kuri išdėstoma taip:</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Pagrindinis HE 5 reikalavimas: Mažiausia elektros energijos gamyba iš atsinaujinančiųjų išteklių.</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Pastatuose turi būti elektros energijos gamybos iš atsinaujinančiųjų išteklių sistemos, skirtos savo reikmėms arba elektros energijos tinklui tiekti.“</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Įvado I skirsnyje „Dalykas“ į CTE I dalies 15 straipsnio nuorodą CTE pabaigoje įrašomas papildomas punktas, kurio tekstas yra toks:</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Pagrindinis HE 6 reikalavimas: Būtiniausi elektromobilių įkrovimo infrastruktūros įrenginiai.</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Pastatuose turi būti būtiniausia infrastruktūra, leidžianti įkrauti </w:t>
      </w:r>
      <w:r>
        <w:rPr>
          <w:rFonts w:ascii="Calibri" w:hAnsi="Calibri"/>
          <w:i/>
          <w:sz w:val="22"/>
        </w:rPr>
        <w:t>elektromobilius</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Turinyje HE 5 skirsnio pavadinimas iš dalies keičiamas taip:</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„5 skirsnis. Mažiausia elektros energijos gamyba iš atsinaujinančiųjų išteklių.“</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Rodyklėje į 15 straipsnio nuorodą įtraukiamas papildomas punktas, kurio tekstas yra toks:</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„HE 6 skirsnis. Būtiniausi elektromobilių įkrovimo infrastruktūros įrenginiai</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Taikymo sritis</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Reikalavimo aprašymas</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Reikalavimo kiekybinis įvertinimas</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Reikalavimo pagrindimas</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Statyba, priežiūra ir remontas</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Vykdymas</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Darbų vykdymo stebėjimas</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Atlikto darbo patikrinimas</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Pastato priežiūra ir remontas“</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HE 0 skirsnio 1 skyriaus „Taikymo sritis“ 1 dalies tekstas „...kai bendras išplėstas naudingasis plotas viršija 50 m</w:t>
      </w:r>
      <w:r>
        <w:rPr>
          <w:rFonts w:ascii="Calibri" w:hAnsi="Calibri"/>
          <w:sz w:val="22"/>
          <w:vertAlign w:val="superscript"/>
        </w:rPr>
        <w:t>2</w:t>
      </w:r>
      <w:r>
        <w:rPr>
          <w:rFonts w:ascii="Calibri" w:hAnsi="Calibri"/>
          <w:sz w:val="22"/>
        </w:rPr>
        <w:t>;“ pakeičiamas tekstu „...kai išplėstas naudingasis plotas viršija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3 skyriaus „Reikalavimo kiekybinis įvertinimas“ 3.1 skirsnio „Neatsinaujinančiųjų išteklių pirminės energijos suvartojimas</w:t>
      </w:r>
      <w:bookmarkStart w:id="1" w:name="_Hlk96944651"/>
      <w:r>
        <w:rPr>
          <w:rFonts w:ascii="Calibri" w:hAnsi="Calibri"/>
          <w:sz w:val="22"/>
        </w:rPr>
        <w:t>“</w:t>
      </w:r>
      <w:bookmarkEnd w:id="1"/>
      <w:r>
        <w:t xml:space="preserve"> </w:t>
      </w:r>
      <w:r>
        <w:rPr>
          <w:rFonts w:ascii="Calibri" w:hAnsi="Calibri"/>
          <w:sz w:val="22"/>
        </w:rPr>
        <w:t xml:space="preserve">1 dalyje </w:t>
      </w:r>
      <w:bookmarkStart w:id="2" w:name="_Hlk96943118"/>
      <w:r>
        <w:rPr>
          <w:rFonts w:ascii="Calibri" w:hAnsi="Calibri"/>
          <w:sz w:val="22"/>
        </w:rPr>
        <w:t>terminas „Cep,nren“ pakeičiamas terminu „C</w:t>
      </w:r>
      <w:r>
        <w:rPr>
          <w:rFonts w:ascii="Calibri" w:hAnsi="Calibri"/>
          <w:sz w:val="22"/>
          <w:vertAlign w:val="subscript"/>
        </w:rPr>
        <w:t>ep,nren</w:t>
      </w:r>
      <w:r>
        <w:rPr>
          <w:rFonts w:ascii="Calibri" w:hAnsi="Calibri"/>
          <w:sz w:val="22"/>
        </w:rPr>
        <w:t>“, o terminas „Cep,nren,lim“ pakeičiamas terminu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3 skyriaus „Reikalavimo kiekybinis įvertinimas“ 3.1 skirsnio „Neatsinaujinančiųjų išteklių pirminės energijos suvartojimas“ 2 dalyje terminas „Cep,nren,lim“ pakeičiamas terminu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3 skyriaus „Reikalavimo kiekybinis įvertinimas“ 3.2 skirsnio „Bendras pirminės energijos suvartojimas“ 1 dalyje terminas „Cep,tot“ pakeičiamas terminu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3 skyriaus „Reikalavimo kiekybinis įvertinimas“ 3.2 skirsnio „Bendras pirminės energijos suvartojimas“ 2 dalyje terminas „Cep,tot,lim“ pakeičiamas terminu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3 skyriuje „Reikalavimo kiekybinis įvertinimas“ terminas „</w:t>
      </w:r>
      <w:r>
        <w:rPr>
          <w:rFonts w:ascii="Calibri" w:hAnsi="Calibri"/>
          <w:i/>
          <w:sz w:val="22"/>
        </w:rPr>
        <w:t>privatiems gyvenamiesiems būstams</w:t>
      </w:r>
      <w:r>
        <w:rPr>
          <w:rFonts w:ascii="Calibri" w:hAnsi="Calibri"/>
          <w:sz w:val="22"/>
        </w:rPr>
        <w:t>“ turėtų būti rašomas pasviruoju šriftu.</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4.1 skyriaus „Skaičiavimo tvarka“ 9 dalyje žodžiai „pripažintas dokumentas“ pakeičiami žodžiais „pripažintas pastatų energijos sertifikavimo dokumentas“.</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HE 0 skirsnio 4.1 skyriaus „Skaičiavimo tvarka“ 9 dalis tampa 11 dalimi ir įterpiamos šios pastraipos:</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Energijos balansas, reikalingas šio BD reikalavimams patikrinti, apskaičiuojamas pagal UNE-EN ISO 52000–1:2019: </w:t>
      </w:r>
      <w:r>
        <w:rPr>
          <w:rFonts w:ascii="Calibri" w:hAnsi="Calibri"/>
          <w:i/>
          <w:sz w:val="22"/>
        </w:rPr>
        <w:t>Bendras pastatų energinio naudingumo vertinimas. 1 dalis. Bendroji sistema ir procedūros</w:t>
      </w:r>
      <w:r>
        <w:rPr>
          <w:rFonts w:ascii="Calibri" w:hAnsi="Calibri"/>
          <w:sz w:val="22"/>
        </w:rPr>
        <w:t>, taikant eksporto veiksnį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Skirstant įvairias paslaugas, vietoje pagamintos elektros energijos paskirstymas kiekvienu laiko intervalu apskaičiuojamas proporcingai elektros energijos suvartojimui (šildymas, vėsinimas, vėdinimas, ACS ir tretinis naudojimas, be to, apšvietimas).“</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skirsnio 4.3 skyriaus „Vidaus prašymai ir eksploatavimo sąlygos“ 2 dalyje terminas „</w:t>
      </w:r>
      <w:r>
        <w:rPr>
          <w:rFonts w:ascii="Calibri" w:hAnsi="Calibri"/>
          <w:i/>
          <w:sz w:val="22"/>
        </w:rPr>
        <w:t>privatus gyvenamasis būstas</w:t>
      </w:r>
      <w:r>
        <w:rPr>
          <w:rFonts w:ascii="Calibri" w:hAnsi="Calibri"/>
          <w:sz w:val="22"/>
        </w:rPr>
        <w:t>“ turėtų būti rašomas pasviruoju šriftu.</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HE 0 skirsnio 4.5 skyriuje „Privatiems gyvenamiesiems būstams skirtos etaloninės sistemos“ terminas „</w:t>
      </w:r>
      <w:r>
        <w:rPr>
          <w:rFonts w:ascii="Calibri" w:hAnsi="Calibri"/>
          <w:i/>
          <w:sz w:val="22"/>
        </w:rPr>
        <w:t>Privatiems gyvenamiesiems būstams</w:t>
      </w:r>
      <w:r>
        <w:rPr>
          <w:rFonts w:ascii="Calibri" w:hAnsi="Calibri"/>
          <w:sz w:val="22"/>
        </w:rPr>
        <w:t>“ turėtų būti rašomas pasviruoju šriftu tiek pavadinime, tiek 1 dalyje.</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skyriaus „Reikalavimo kiekybinis įvertinimas“ 3.1.1 skirsnio „</w:t>
      </w:r>
      <w:r>
        <w:rPr>
          <w:rFonts w:ascii="Calibri" w:hAnsi="Calibri"/>
          <w:i/>
          <w:sz w:val="22"/>
        </w:rPr>
        <w:t>Pastato apvalkalo</w:t>
      </w:r>
      <w:r>
        <w:rPr>
          <w:rFonts w:ascii="Calibri" w:hAnsi="Calibri"/>
          <w:sz w:val="22"/>
        </w:rPr>
        <w:t xml:space="preserve"> pralaidumas“ 3.1.1.b-HE1 lentelėse ir 3.1.1.c-HE1 lentelėse sąvoka „kompaktiškumas“ turėtų būti rašoma pasviruoju šriftu.</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skyriaus „Reikalavimo kiekybinis įvertinimas“ 3.1.1 skirsnio „</w:t>
      </w:r>
      <w:r>
        <w:rPr>
          <w:rFonts w:ascii="Calibri" w:hAnsi="Calibri"/>
          <w:i/>
          <w:sz w:val="22"/>
        </w:rPr>
        <w:t>Pastato apvalkalo</w:t>
      </w:r>
      <w:r>
        <w:rPr>
          <w:rFonts w:ascii="Calibri" w:hAnsi="Calibri"/>
          <w:sz w:val="22"/>
        </w:rPr>
        <w:t xml:space="preserve"> pralaidumas“, sąvoka „kompaktiškumas“ 3.1.1.b-HE1 lentelės išnašose ir 3.1.1.c-HE1 lentelėse ir sąvoka „kompaktiškumas“ 3.1.1.c-HE1 lentelės išnašoje turėtų būti rašoma pasviruoju šriftu.</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skyriaus „Reikalavimo kiekybinis įvertinimas“ 3.1.1 skirsnio „</w:t>
      </w:r>
      <w:r>
        <w:rPr>
          <w:rFonts w:ascii="Calibri" w:hAnsi="Calibri"/>
          <w:i/>
          <w:sz w:val="22"/>
        </w:rPr>
        <w:t>Pastato apvalkalo</w:t>
      </w:r>
      <w:r>
        <w:rPr>
          <w:rFonts w:ascii="Calibri" w:hAnsi="Calibri"/>
          <w:sz w:val="22"/>
        </w:rPr>
        <w:t xml:space="preserve"> pralaidumas“ 3 skyriuje sąvoka „</w:t>
      </w:r>
      <w:r>
        <w:rPr>
          <w:rFonts w:ascii="Calibri" w:hAnsi="Calibri"/>
          <w:i/>
          <w:sz w:val="22"/>
        </w:rPr>
        <w:t>privatus gyvenamasis būstas</w:t>
      </w:r>
      <w:r>
        <w:rPr>
          <w:rFonts w:ascii="Calibri" w:hAnsi="Calibri"/>
          <w:sz w:val="22"/>
        </w:rPr>
        <w:t>“ turėtų būti rašoma pasviruoju šriftu ir 3 dalyje, ir 3.1.1.b-HE1 lentelėje.</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HE 1 skirsnio 3 skyriaus „Reikalavimo kiekybinis įvertinimas“ 3.1.1 skirsnio „</w:t>
      </w:r>
      <w:r>
        <w:rPr>
          <w:rFonts w:ascii="Calibri" w:hAnsi="Calibri"/>
          <w:i/>
          <w:sz w:val="22"/>
        </w:rPr>
        <w:t>Pastato apvalkalo</w:t>
      </w:r>
      <w:r>
        <w:rPr>
          <w:rFonts w:ascii="Calibri" w:hAnsi="Calibri"/>
          <w:sz w:val="22"/>
        </w:rPr>
        <w:t xml:space="preserve"> pralaidumas“ 3.1.1.b-HE1 ir 3.1.1.c-HE1 lentelėse sąvokas „pastato apvalkalas“ turėtų būti rašoma pasviruoju šriftu.</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HE 1 skirsnio 3 skyriaus „Reikalavimo kiekybinis įvertinimas“ 3.1.1 skirsnyje „</w:t>
      </w:r>
      <w:r>
        <w:rPr>
          <w:rFonts w:ascii="Calibri" w:hAnsi="Calibri"/>
          <w:i/>
          <w:sz w:val="22"/>
        </w:rPr>
        <w:t>Pastato apvalkalo pralaidumas</w:t>
      </w:r>
      <w:r>
        <w:rPr>
          <w:rFonts w:ascii="Calibri" w:hAnsi="Calibri"/>
          <w:sz w:val="22"/>
        </w:rPr>
        <w:t>“ įterpiama ši dalis:</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Kita vertus, pastatams arba, dalinio įsikišimo į esamus pastatus atveju, pastatų dalims, kurioms taikomos intervencinės priemonės ir kurių šildymo ir vėsinimo poreikis abiem atvejais yra mažesnis nei 15 kWh/m</w:t>
      </w:r>
      <w:r>
        <w:rPr>
          <w:rFonts w:ascii="Calibri" w:hAnsi="Calibri"/>
          <w:sz w:val="22"/>
          <w:vertAlign w:val="superscript"/>
        </w:rPr>
        <w:t>2</w:t>
      </w:r>
      <w:r>
        <w:rPr>
          <w:rFonts w:ascii="Calibri" w:hAnsi="Calibri"/>
          <w:sz w:val="22"/>
        </w:rPr>
        <w:t xml:space="preserve">, gali būti netaikomi reikalavimai, susiję su </w:t>
      </w:r>
      <w:r>
        <w:rPr>
          <w:rFonts w:ascii="Calibri" w:hAnsi="Calibri"/>
          <w:i/>
          <w:sz w:val="22"/>
        </w:rPr>
        <w:t>bendru šilumos perdavimo koeficientu per pastato apvalkalą</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skyrius „Reikalavimo kiekybinis įvertinimas“, 3.1.2 skirsnyje „Pastato apvalkalo reguliavimas saulės energija“ tekstas „3.1.2-HE1 lentelė. Saulės energijos reguliavimo parametro qsol;jul,lim ribinė vertė [Kwh/m2·mes]</w:t>
      </w:r>
      <w:r>
        <w:rPr>
          <w:rFonts w:ascii="Calibri" w:hAnsi="Calibri"/>
          <w:sz w:val="22"/>
          <w:vertAlign w:val="superscript"/>
        </w:rPr>
        <w:t>2</w:t>
      </w:r>
      <w:r>
        <w:rPr>
          <w:rFonts w:ascii="Calibri" w:hAnsi="Calibri"/>
          <w:sz w:val="22"/>
        </w:rPr>
        <w:t>·mes]“ pakeičiama tekstu „3.1.2-HE1 lentelė. Saulės energijos reguliavimo parametro q</w:t>
      </w:r>
      <w:r>
        <w:rPr>
          <w:rFonts w:ascii="Calibri" w:hAnsi="Calibri"/>
          <w:sz w:val="22"/>
          <w:vertAlign w:val="subscript"/>
        </w:rPr>
        <w:t>sol;jul,lim</w:t>
      </w:r>
      <w:r>
        <w:rPr>
          <w:rFonts w:ascii="Calibri" w:hAnsi="Calibri"/>
          <w:sz w:val="22"/>
        </w:rPr>
        <w:t xml:space="preserve"> ribinė vertė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skyriaus „Reikalavimo kiekybinis įvertinimas“ 3.1.3 skirsnyje „Pastato apvalkalo pralaidumas orui“, terminas „pastato apvalkalas“ turi būti rašomas pasviruoju šriftu tiek skirsnio pavadinime, tiek 3.1.3.a-HE1 lentelės pavadinime.</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HE 1 skirsnio 3 skyriaus „Reikalavimo kiekybinis įvertinimas“ 3.1.3 skirsnyje „</w:t>
      </w:r>
      <w:r>
        <w:rPr>
          <w:rFonts w:ascii="Calibri" w:hAnsi="Calibri"/>
          <w:i/>
          <w:sz w:val="22"/>
        </w:rPr>
        <w:t>Pastato apvalkalo</w:t>
      </w:r>
      <w:r>
        <w:rPr>
          <w:rFonts w:ascii="Calibri" w:hAnsi="Calibri"/>
          <w:sz w:val="22"/>
        </w:rPr>
        <w:t xml:space="preserve"> pralaidumas orui“ įterpiama ši nauja 3 dalis:</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Pakeitimų atveju 3.1.3.a-HE1 lentelė taikoma tik tiems </w:t>
      </w:r>
      <w:r>
        <w:rPr>
          <w:rFonts w:ascii="Calibri" w:hAnsi="Calibri"/>
          <w:i/>
          <w:sz w:val="22"/>
        </w:rPr>
        <w:t>pastato apvalkalo</w:t>
      </w:r>
      <w:r>
        <w:rPr>
          <w:rFonts w:ascii="Calibri" w:hAnsi="Calibri"/>
          <w:sz w:val="22"/>
        </w:rPr>
        <w:t xml:space="preserve"> elementams, kurie yra pakeisti, įtraukti arba iš esmės modifikuoti;“.</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3.1.3 skyriaus „</w:t>
      </w:r>
      <w:r>
        <w:rPr>
          <w:rFonts w:ascii="Calibri" w:hAnsi="Calibri"/>
          <w:i/>
          <w:sz w:val="22"/>
        </w:rPr>
        <w:t>Pastato apvalkalo</w:t>
      </w:r>
      <w:r>
        <w:rPr>
          <w:rFonts w:ascii="Calibri" w:hAnsi="Calibri"/>
          <w:sz w:val="22"/>
        </w:rPr>
        <w:t xml:space="preserve"> pralaidumas orui“ dabartinės 3 ir 4 dalys atitinkamai tampa 4 ir 5 dalimis.</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skyriaus „Reikalavimo kiekybinis įvertinimas“ 3.1.3 skirsnyje „</w:t>
      </w:r>
      <w:r>
        <w:rPr>
          <w:rFonts w:ascii="Calibri" w:hAnsi="Calibri"/>
          <w:i/>
          <w:sz w:val="22"/>
        </w:rPr>
        <w:t>Pastato apvalkalo</w:t>
      </w:r>
      <w:r>
        <w:rPr>
          <w:rFonts w:ascii="Calibri" w:hAnsi="Calibri"/>
          <w:sz w:val="22"/>
        </w:rPr>
        <w:t xml:space="preserve"> pralaidumas orui“, 3.1.3.b-HE1 lentelėje pateikta sąvoka „kompaktiškumas“, 3.1.3.b-HE1 lentelėje pateikta sąvoka „kompaktiškumas“ ir 3 dalyje pateikta sąvoka „privatus gyvenamasis būstas“ turėtų būti rašoma pasviruoju šriftu.</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3 skyriaus „Reikalavimo kiekybinis reikalavimas“ 3.1.3 skirsnyje „</w:t>
      </w:r>
      <w:r>
        <w:rPr>
          <w:rFonts w:ascii="Calibri" w:hAnsi="Calibri"/>
          <w:i/>
          <w:sz w:val="22"/>
        </w:rPr>
        <w:t>Pastato apvalkalo</w:t>
      </w:r>
      <w:r>
        <w:rPr>
          <w:rFonts w:ascii="Calibri" w:hAnsi="Calibri"/>
          <w:sz w:val="22"/>
        </w:rPr>
        <w:t xml:space="preserve"> pralaidumas orui“ 3.1.3.b-HE1 lentelėje, kur nurodyta „m</w:t>
      </w:r>
      <w:r>
        <w:rPr>
          <w:rFonts w:ascii="Calibri" w:hAnsi="Calibri"/>
          <w:sz w:val="22"/>
          <w:vertAlign w:val="superscript"/>
        </w:rPr>
        <w:t>3</w:t>
      </w:r>
      <w:r>
        <w:rPr>
          <w:rFonts w:ascii="Calibri" w:hAnsi="Calibri"/>
          <w:sz w:val="22"/>
        </w:rPr>
        <w:t>/m²“, turėtų būti užrašyta „m</w:t>
      </w:r>
      <w:r>
        <w:rPr>
          <w:rFonts w:ascii="Calibri" w:hAnsi="Calibri"/>
          <w:sz w:val="22"/>
          <w:vertAlign w:val="superscript"/>
        </w:rPr>
        <w:t>3</w:t>
      </w:r>
      <w:r>
        <w:rPr>
          <w:rFonts w:ascii="Calibri" w:hAnsi="Calibri"/>
          <w:sz w:val="22"/>
        </w:rPr>
        <w:t xml:space="preserve"> /m</w:t>
      </w:r>
      <w:r>
        <w:rPr>
          <w:rFonts w:ascii="Calibri" w:hAnsi="Calibri"/>
          <w:sz w:val="22"/>
          <w:vertAlign w:val="superscript"/>
        </w:rPr>
        <w:t>2</w:t>
      </w:r>
      <w:r>
        <w:rPr>
          <w:rFonts w:ascii="Calibri" w:hAnsi="Calibri"/>
          <w:sz w:val="22"/>
        </w:rPr>
        <w:t xml:space="preserve">“, skaičių 2 užrašant virš raidės.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skirsnio 4 skyriuje „Reikalavimo pagrindimas“, 4.1 skyriaus b punkte vartojama sąvoka „kompaktiškumas“ ir 4.1 skyriaus g punkte vartojama sąvoka „privatus gyvenamasis būstas“ turėtų būti rašoma kursyvu.</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HE 3 skirsnio 3.1-HE3 lentelėje „Įrengimo efektyvumo ribinė vertė“ (VEEl</w:t>
      </w:r>
      <w:r>
        <w:rPr>
          <w:rFonts w:ascii="Calibri" w:hAnsi="Calibri"/>
          <w:sz w:val="22"/>
          <w:vertAlign w:val="subscript"/>
        </w:rPr>
        <w:t>lim</w:t>
      </w:r>
      <w:r>
        <w:rPr>
          <w:rFonts w:ascii="Calibri" w:hAnsi="Calibri"/>
          <w:sz w:val="22"/>
        </w:rPr>
        <w:t>) žodžiai „Parduotuvės ir mažos parduotuvės“ pakeičiami žodžiais „Parduotuvės ir mažos parduotuvės</w:t>
      </w:r>
      <w:r>
        <w:rPr>
          <w:rFonts w:ascii="Calibri" w:hAnsi="Calibri"/>
          <w:sz w:val="22"/>
          <w:vertAlign w:val="superscript"/>
        </w:rPr>
        <w:t>(10)</w:t>
      </w:r>
      <w:r>
        <w:rPr>
          <w:rFonts w:ascii="Calibri" w:hAnsi="Calibri"/>
          <w:sz w:val="22"/>
        </w:rPr>
        <w:t>“ ir pridedama ši išnaša:</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Terminas „parduotuvė“ reiškia ir mažas nepriklausomas parduotuves, ir komercinio naudojimo dalį, kuri nėra paprastai naudojama prekybos centruose.“</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HE 3 skirsnio 3.3 skyriaus „Kontrolės ir reguliavimo sistemos“ 2 dalyje žodžiai „... gali būti pakeista viena iš šių dviejų galimybių: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įjungimo ir išjungimo kontrole naudojant laiko buvimo aptikimo sistemą arba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laiko mygtuko paspaudimo sistema.“</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turėtų būti pakeisti žodžiais „... gali būti pakeista viena iš šių dviejų galimybių: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aktyvinimo ir išjungimo kontrole naudojant </w:t>
      </w:r>
      <w:r>
        <w:rPr>
          <w:rFonts w:ascii="Calibri" w:hAnsi="Calibri"/>
          <w:i/>
          <w:sz w:val="22"/>
        </w:rPr>
        <w:t>laikino buvimo aptikimo sistemą</w:t>
      </w:r>
      <w:r>
        <w:rPr>
          <w:rFonts w:ascii="Calibri" w:hAnsi="Calibri"/>
          <w:sz w:val="22"/>
        </w:rPr>
        <w:t xml:space="preserve"> arba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laikmačiu</w:t>
      </w:r>
      <w:r>
        <w:rPr>
          <w:rFonts w:ascii="Calibri" w:hAnsi="Calibri"/>
          <w:sz w:val="22"/>
        </w:rPr>
        <w:t xml:space="preserve"> naudojant paspaudimo mygtuką.“</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HE 3 skirsnio 4 skyriaus „Reikalavimo pagrindimas“ 1 dalies b punkte, žodžiai „...naudojamų </w:t>
      </w:r>
      <w:r>
        <w:rPr>
          <w:rFonts w:ascii="Calibri" w:hAnsi="Calibri"/>
          <w:i/>
          <w:sz w:val="22"/>
        </w:rPr>
        <w:t>žibintų</w:t>
      </w:r>
      <w:r>
        <w:rPr>
          <w:rFonts w:ascii="Calibri" w:hAnsi="Calibri"/>
          <w:sz w:val="22"/>
        </w:rPr>
        <w:t xml:space="preserve"> efektyvumas (lum/W)“ turėtų būti pakeisti žodžiais „... naudojamų </w:t>
      </w:r>
      <w:r>
        <w:rPr>
          <w:rFonts w:ascii="Calibri" w:hAnsi="Calibri"/>
          <w:i/>
          <w:sz w:val="22"/>
        </w:rPr>
        <w:t>žibintų</w:t>
      </w:r>
      <w:r>
        <w:rPr>
          <w:rFonts w:ascii="Calibri" w:hAnsi="Calibri"/>
          <w:sz w:val="22"/>
        </w:rPr>
        <w:t xml:space="preserve"> efektyvumas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HE 4 skirsnio 2 skyriaus „Reikalavimo aprašymas“ 1 dalis išdėstoma taip:</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Pastatai turi tenkinti poreikius, susijusius su buitiniu karštu vandeniu ir vandens šildymu šildomuose patalpų baseinuose, kuriuose naudojama </w:t>
      </w:r>
      <w:r>
        <w:rPr>
          <w:rFonts w:ascii="Calibri" w:hAnsi="Calibri"/>
          <w:i/>
          <w:sz w:val="22"/>
        </w:rPr>
        <w:t>atsinaujinančiųjų išteklių energija</w:t>
      </w:r>
      <w:r>
        <w:rPr>
          <w:rFonts w:ascii="Calibri" w:hAnsi="Calibri"/>
          <w:sz w:val="22"/>
        </w:rPr>
        <w:t xml:space="preserve"> arba atsinaujinančiųjų išteklių kogeneracijos procesai; arba sukuriami pačiame pastate, arba prijungus prie </w:t>
      </w:r>
      <w:r>
        <w:rPr>
          <w:rFonts w:ascii="Calibri" w:hAnsi="Calibri"/>
          <w:i/>
          <w:sz w:val="22"/>
        </w:rPr>
        <w:t>centralizuoto šilumo tiekimo sistemos</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HE 4 skirsnio 3 skyriaus „Reikalavimo kiekybinis įvertinimas“ 3.1 skirsnio „Mažiausia atsinaujinančiųjų išteklių energijos dalis buitinio karšto vandens ruošimui ir (arba) baseino šildymui“ 4 dalies tekstas </w:t>
      </w:r>
      <w:bookmarkStart w:id="3" w:name="_Hlk96945986"/>
      <w:r>
        <w:rPr>
          <w:rFonts w:ascii="Calibri" w:hAnsi="Calibri"/>
          <w:sz w:val="22"/>
        </w:rPr>
        <w:t xml:space="preserve">„... </w:t>
      </w:r>
      <w:bookmarkEnd w:id="3"/>
      <w:r>
        <w:rPr>
          <w:rFonts w:ascii="Calibri" w:hAnsi="Calibri"/>
          <w:sz w:val="22"/>
        </w:rPr>
        <w:t>daugiau kaip 2,5 įjungus elektrą ir didesnis kaip 1,15, kai jis veikia šiluminės energijos...“ pakeičiamas tekstu „... lygus 2,5 arba didesnis, kai veikiamas elektros, ir lygus 1,15 arba didesnis, kai veikiamas šiluminės energijos...“.</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HE 4 skirsnio 3 skyriaus „Reikalavimo kiekybinis įvertinimas“ 3.1 skirsnio „Mažiausia atsinaujinančiųjų išteklių energijos dalis buitinio karšto vandens ruošimui ir (arba) baseino šildymui“ 5 dalies tekstas „... gyvenamieji pastatai...“ turėtų būti pakeistas tekstu „... pastatai </w:t>
      </w:r>
      <w:r>
        <w:rPr>
          <w:rFonts w:ascii="Calibri" w:hAnsi="Calibri"/>
          <w:i/>
          <w:sz w:val="22"/>
        </w:rPr>
        <w:t>privačiam gyvenamajam būstui</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HE 4 skirsnyje prieš 5.1 skyrių „Vykdymas“ įterpiama „5. Statyba, priežiūra ir remontas“ kaip pavadinimas.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HE 5 skirsnio antraštė „HR 5 skirsnis. Mažiausia elektros energijos gamyba“ pakeičiama antrašte „HE 5 skirsnis. </w:t>
      </w:r>
      <w:bookmarkStart w:id="4" w:name="_Hlk92123384"/>
      <w:r>
        <w:rPr>
          <w:rFonts w:ascii="Calibri" w:hAnsi="Calibri"/>
          <w:sz w:val="22"/>
        </w:rPr>
        <w:t>Mažiausia elektros energijos</w:t>
      </w:r>
      <w:bookmarkEnd w:id="4"/>
      <w:r>
        <w:t xml:space="preserve"> </w:t>
      </w:r>
      <w:r>
        <w:rPr>
          <w:rFonts w:ascii="Calibri" w:hAnsi="Calibri"/>
          <w:sz w:val="22"/>
        </w:rPr>
        <w:t>gamyba iš atsinaujinančiųjų išteklių“.</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HE 5 skirsnio 1 dalis „Taikymo sritis“ išdėstoma taip: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Šis skyrius taikomas šiais atvejais: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naujai pastatytiems pastatams, kai pastatyta daugiau nei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esamų pastatų išplėtimams, kai pastato plotas padidėja daugiau nei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esamiems pastatams, kurie yra visiškai atnaujinti arba kurių naudojimo paskirtis pasikeičia, kai jie viršija 1 000 m</w:t>
      </w:r>
      <w:r>
        <w:rPr>
          <w:rFonts w:ascii="Calibri" w:hAnsi="Calibri"/>
          <w:sz w:val="22"/>
          <w:vertAlign w:val="superscript"/>
        </w:rPr>
        <w:t xml:space="preserve">2 </w:t>
      </w:r>
      <w:r>
        <w:rPr>
          <w:rFonts w:ascii="Calibri" w:hAnsi="Calibri"/>
          <w:sz w:val="22"/>
        </w:rPr>
        <w:t>apstatyto paviršiaus ploto.</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Laikoma, kad užstatyta teritorija apima pastato viduje esančių stovėjimo aikštelių paviršiaus plotą ir neapima bendrų lauko zonų.“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HE 5 skirsnio 2 skyriaus „Reikalavimo apibūdinimas“ 1 dalis išdėstoma taip:</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Pastatuose turi būti elektros energijos gamybos iš atsinaujinančiųjų išteklių sistemos, skirtos savo reikmėms arba elektros energijos tinklui tiekti.“</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HE 5 skirsnio 3 dalis „Reikalavimo kiekybinis įvertinimas“ išdėstoma taip:</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Mažiausia galia įrengti</w:t>
      </w:r>
      <w:r>
        <w:rPr>
          <w:rFonts w:ascii="Calibri" w:hAnsi="Calibri"/>
          <w:sz w:val="22"/>
        </w:rPr>
        <w:t xml:space="preserve"> P</w:t>
      </w:r>
      <w:r>
        <w:rPr>
          <w:rFonts w:ascii="Calibri" w:hAnsi="Calibri"/>
          <w:sz w:val="22"/>
          <w:vertAlign w:val="subscript"/>
        </w:rPr>
        <w:t>min</w:t>
      </w:r>
      <w:r>
        <w:rPr>
          <w:rFonts w:ascii="Calibri" w:hAnsi="Calibri"/>
          <w:sz w:val="22"/>
        </w:rPr>
        <w:t xml:space="preserve"> turi būti mažiausia iš šių dviejų lygčių rezultatų: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(0,5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kur:</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galia įrengti</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lastRenderedPageBreak/>
        <w:t>F</w:t>
      </w:r>
      <w:r>
        <w:rPr>
          <w:rFonts w:ascii="Calibri" w:hAnsi="Calibri"/>
          <w:sz w:val="22"/>
          <w:vertAlign w:val="subscript"/>
        </w:rPr>
        <w:t>pr;e</w:t>
      </w:r>
      <w:r>
        <w:rPr>
          <w:rFonts w:ascii="Calibri" w:hAnsi="Calibri"/>
          <w:sz w:val="22"/>
        </w:rPr>
        <w:t>l</w:t>
      </w:r>
      <w:r>
        <w:rPr>
          <w:rFonts w:ascii="Calibri" w:hAnsi="Calibri"/>
          <w:sz w:val="22"/>
        </w:rPr>
        <w:tab/>
        <w:t>elektros energijos generavimo koeficientas, kurio vertė yra 0,005 privačių gyvenamųjų būstų naudojimui ir 0,010 kitam naudojimui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pastato užstatyto ploto paviršius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ne eismo stogo paviršiaus plotas arba prieinamas tik priežiūrai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ne eismo stogo paviršiaus plotas arba prieinamas tik įrengtiems saulės energijos kolektoriams prižiūrėti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Pastatuose, kuriuose dėl miesto ar architektūrinių priežasčių arba dėl to, kad jie yra oficialiai saugomi pastatai, kuriuose nepakeičiamus elementus nustato oficialią apsaugą suteikianti institucija, negalima pasiekti mažiausios </w:t>
      </w:r>
      <w:r>
        <w:rPr>
          <w:rFonts w:ascii="Calibri" w:hAnsi="Calibri"/>
          <w:i/>
          <w:sz w:val="22"/>
        </w:rPr>
        <w:t>galios įrengti</w:t>
      </w:r>
      <w:r>
        <w:rPr>
          <w:rFonts w:ascii="Calibri" w:hAnsi="Calibri"/>
          <w:sz w:val="22"/>
        </w:rPr>
        <w:t>, šis negalėjimas pagrindžiamas analizuojant įvairias alternatyvas ir priimamas sprendimas, kuriuo pasiekiama didžiausia galima įrengtoji galia.“</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HE 5 skirsnio 4 dalis „Reikalavimo pagrindimas“ papildoma taip:</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jei reikia, priežastys, neleidžiančios pasiekti mažiausios būtinos </w:t>
      </w:r>
      <w:r>
        <w:rPr>
          <w:rFonts w:ascii="Calibri" w:hAnsi="Calibri"/>
          <w:i/>
          <w:sz w:val="22"/>
        </w:rPr>
        <w:t>galios įrengti</w:t>
      </w:r>
      <w:r>
        <w:rPr>
          <w:rFonts w:ascii="Calibri" w:hAnsi="Calibri"/>
          <w:sz w:val="22"/>
        </w:rPr>
        <w:t>, alternatyvų analizė ir sprendimas, priimtas siekiant didžiausios įrengtosios galios.“</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Pagrindiniame dokumente DB-HE „Energijos taupymas“ HE 6 skirsnis papildomas antrašte „Būtiniausi </w:t>
      </w:r>
      <w:r>
        <w:rPr>
          <w:rFonts w:ascii="Calibri" w:hAnsi="Calibri"/>
          <w:i/>
          <w:sz w:val="22"/>
        </w:rPr>
        <w:t>elektromobilių įkrovimo infrastruktūros įrenginiai</w:t>
      </w:r>
      <w:r>
        <w:rPr>
          <w:rFonts w:ascii="Calibri" w:hAnsi="Calibri"/>
          <w:sz w:val="22"/>
        </w:rPr>
        <w:t xml:space="preserve">“ ir šiuo turiniu: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„HR 6 skirsnis</w:t>
      </w:r>
      <w:r>
        <w:rPr>
          <w:rFonts w:ascii="Calibri" w:hAnsi="Calibri"/>
          <w:sz w:val="22"/>
        </w:rPr>
        <w:br/>
        <w:t xml:space="preserve">Būtiniausi </w:t>
      </w:r>
      <w:r>
        <w:rPr>
          <w:rFonts w:ascii="Calibri" w:hAnsi="Calibri"/>
          <w:i/>
          <w:sz w:val="22"/>
        </w:rPr>
        <w:t>elektromobilių įkrovimo infrastruktūros įrenginiai</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Taikymo sritis</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Šiame skirsnyje nustatyti reikalavimai taikomi pastatams, kuriuose yra stovėjimo aikštelė pastato viduje arba išorėje šiais atvejais:</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naujai pastatytiems pastatams;</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jau pastatytiems pastatams šiais atvejais:</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esant pastato būdingos paskirties pasikeitimams;</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praplėtimams tais atvejais, kai intervencijomis į automobilių stovėjimo aikštelę ir paviršiaus plotą arba sukonstruotą riedmenų vieneto tūrį arba</w:t>
      </w:r>
      <w:r>
        <w:rPr>
          <w:rFonts w:ascii="Calibri" w:hAnsi="Calibri"/>
          <w:i/>
          <w:sz w:val="22"/>
        </w:rPr>
        <w:t xml:space="preserve"> naudojimo vienetus</w:t>
      </w:r>
      <w:r>
        <w:rPr>
          <w:rFonts w:ascii="Calibri" w:hAnsi="Calibri"/>
          <w:sz w:val="22"/>
        </w:rPr>
        <w:t>, kur vykdoma intervencija, padidinama daugiau kaip 10 proc., o padidintas naudingasis plotas yra didesnis nei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reformoms, kurios apima intervenciją į automobilių stovėjimo aikštelę ir kuriomis atnaujinama daugiau kaip 25 proc. viso galutinio </w:t>
      </w:r>
      <w:r>
        <w:rPr>
          <w:rFonts w:ascii="Calibri" w:hAnsi="Calibri"/>
          <w:i/>
          <w:sz w:val="22"/>
        </w:rPr>
        <w:t>pastato apvalkalo ploto</w:t>
      </w:r>
      <w:r>
        <w:rPr>
          <w:rFonts w:ascii="Calibri" w:hAnsi="Calibri"/>
          <w:sz w:val="22"/>
        </w:rPr>
        <w:t>;</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intervencijoms į pastato elektros instaliaciją, darančioms poveikį daugiau kaip 50 proc. prieš intervenciją pastate įrengto elektros energijos kiekio, tais atvejais, kai stovėjimo aikštelė yra pastato viduje</w:t>
      </w:r>
      <w:r>
        <w:rPr>
          <w:rFonts w:ascii="Calibri" w:hAnsi="Calibri"/>
          <w:sz w:val="22"/>
          <w:u w:color="FF0000"/>
        </w:rPr>
        <w:t>, jeigu užsakovas turi teisę veikti transporto priemonių stovėjimo aikštelėje, atlikdamas tokią intervenciją</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intervencijoms į automobilių stovėjimo aikštelės elektros instaliaciją, turinčioms įtakos daugiau kaip 50 proc. prieš intervenciją automobilių stovėjimo aikštelėje įrengto elektros energijos kiekio.</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Į taikymo sritį nepatenka:</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ne privatūs gyvenamieji pastatai, kuriuose yra ne daugiau kaip 10 stovėjimo vietų;</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esami pastatai, skirti naudoti, išskyrus privačius gyvenamuosius pastatus, kurių stovėjimo aikštelėje yra ne daugiau kaip 20 automobilių stovėjimo vietų, ir esami </w:t>
      </w:r>
      <w:r>
        <w:rPr>
          <w:rFonts w:ascii="Calibri" w:hAnsi="Calibri"/>
          <w:i/>
          <w:sz w:val="22"/>
        </w:rPr>
        <w:t>privatūs gyvenamieji pastatai</w:t>
      </w:r>
      <w:r>
        <w:rPr>
          <w:rFonts w:ascii="Calibri" w:hAnsi="Calibri"/>
          <w:sz w:val="22"/>
        </w:rPr>
        <w:t xml:space="preserve">, kai abiem atvejais šios dalies laikymosi išlaidos viršija 7 proc. išplėtimo, naudojimo pakeitimo arba renovacijos intervencijos išlaidų, dėl kurių </w:t>
      </w:r>
      <w:r>
        <w:rPr>
          <w:rFonts w:ascii="Calibri" w:hAnsi="Calibri"/>
          <w:sz w:val="22"/>
        </w:rPr>
        <w:lastRenderedPageBreak/>
        <w:t>atsiranda prievolė laikytis reikalavimų. Siekiant nustatyti pirmiau nurodytų intervencijų sąnaudas, atsižvelgiama į jų faktines ir efektyvias sąnaudas, suprantamas kaip jų fizinės statybos išlaidos;</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oficialiai saugomiems pastatams šie įpareigojimai netaikomi dėl to, kad jie yra deklaruotos aplinkos dalis, arba dėl jų ypatingos architektūrinės ar istorinės vertės, jeigu šiame skirsnyje nustatytų reikalavimų laikymasis galėtų nepagrįstai pakeisti jų pobūdį ar išvaizdą, o nepakeičiamus elementus nustato oficiali apsaugos institucija.</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Reikalavimo aprašymas</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Pastatuose turi būti būtiniausia infrastruktūra, leidžianti įkrauti </w:t>
      </w:r>
      <w:r>
        <w:rPr>
          <w:rFonts w:ascii="Calibri" w:hAnsi="Calibri"/>
          <w:i/>
          <w:sz w:val="22"/>
        </w:rPr>
        <w:t>elektromobilius</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Ši </w:t>
      </w:r>
      <w:r>
        <w:rPr>
          <w:rFonts w:ascii="Calibri" w:hAnsi="Calibri"/>
          <w:i/>
          <w:sz w:val="22"/>
        </w:rPr>
        <w:t>elektromobilių įkrovimo infrastruktūra ir</w:t>
      </w:r>
      <w:r>
        <w:rPr>
          <w:rFonts w:ascii="Calibri" w:hAnsi="Calibri"/>
          <w:sz w:val="22"/>
        </w:rPr>
        <w:t xml:space="preserve"> atitiks Žemos įtampos elektrotechnikos reglamento ir jo Papildomos techninės instrukcijos (ITC) BT 52 „Specialios paskirties įrenginiai. </w:t>
      </w:r>
      <w:r>
        <w:rPr>
          <w:rFonts w:ascii="Calibri" w:hAnsi="Calibri"/>
          <w:i/>
          <w:sz w:val="22"/>
        </w:rPr>
        <w:t xml:space="preserve">Elektromobilių </w:t>
      </w:r>
      <w:r>
        <w:rPr>
          <w:rFonts w:ascii="Calibri" w:hAnsi="Calibri"/>
          <w:sz w:val="22"/>
        </w:rPr>
        <w:t>įkrovimo infrastruktūra“ nuostatas.</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Reikalavimo kiekybinis įvertinimas</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Pastatuose, skirtuose </w:t>
      </w:r>
      <w:r>
        <w:rPr>
          <w:rFonts w:ascii="Calibri" w:hAnsi="Calibri"/>
          <w:i/>
          <w:sz w:val="22"/>
        </w:rPr>
        <w:t>privačioms gyvenamosioms reikmėms</w:t>
      </w:r>
      <w:r>
        <w:rPr>
          <w:rFonts w:ascii="Calibri" w:hAnsi="Calibri"/>
          <w:sz w:val="22"/>
        </w:rPr>
        <w:t xml:space="preserve">, bus įdiegtos laidų sistemos, kad ateityje būtų galima tiekti į </w:t>
      </w:r>
      <w:r>
        <w:rPr>
          <w:rFonts w:ascii="Calibri" w:hAnsi="Calibri"/>
          <w:i/>
          <w:sz w:val="22"/>
        </w:rPr>
        <w:t>įkrovimo stoteles</w:t>
      </w:r>
      <w:r>
        <w:rPr>
          <w:rFonts w:ascii="Calibri" w:hAnsi="Calibri"/>
          <w:sz w:val="22"/>
        </w:rPr>
        <w:t xml:space="preserve"> 100 proc. automobilių stovėjimo vietų.</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Pastatuose, išskyrus privačius gyvenamuosius pastatus, bus įrengtos laidų sistemos, kad ateityje būtų galima tiekti į </w:t>
      </w:r>
      <w:r>
        <w:rPr>
          <w:rFonts w:ascii="Calibri" w:hAnsi="Calibri"/>
          <w:i/>
          <w:sz w:val="22"/>
        </w:rPr>
        <w:t>įkrovimo stoteles</w:t>
      </w:r>
      <w:r>
        <w:rPr>
          <w:rFonts w:ascii="Calibri" w:hAnsi="Calibri"/>
          <w:sz w:val="22"/>
        </w:rPr>
        <w:t xml:space="preserve"> ne mažiau kaip 20 proc. automobilių stovėjimo vietų.</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Be to, įrengiama </w:t>
      </w:r>
      <w:r>
        <w:rPr>
          <w:rFonts w:ascii="Calibri" w:hAnsi="Calibri"/>
          <w:i/>
          <w:sz w:val="22"/>
        </w:rPr>
        <w:t>įkrovimo stotelė</w:t>
      </w:r>
      <w:r>
        <w:rPr>
          <w:rFonts w:ascii="Calibri" w:hAnsi="Calibri"/>
          <w:sz w:val="22"/>
        </w:rPr>
        <w:t xml:space="preserve"> kas 40 automobilių stovėjimo vietų arba jų daliai.</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Pastatuose, išskyrus privačius gyvenamuosius pastatus, kurie priklauso Bendrajai valstybės administracijai arba su ja susijusioms ar nuo jos priklausančioms viešosioms įstaigoms, pasiūla turi būti didesnė, nei paprastai nustatyta, įrengiant</w:t>
      </w:r>
      <w:r>
        <w:rPr>
          <w:rFonts w:ascii="Calibri" w:hAnsi="Calibri"/>
          <w:color w:val="1F497D"/>
          <w:sz w:val="22"/>
        </w:rPr>
        <w:t xml:space="preserve"> </w:t>
      </w:r>
      <w:r>
        <w:rPr>
          <w:rFonts w:ascii="Calibri" w:hAnsi="Calibri"/>
          <w:sz w:val="22"/>
        </w:rPr>
        <w:t xml:space="preserve">vieną </w:t>
      </w:r>
      <w:r>
        <w:rPr>
          <w:rFonts w:ascii="Calibri" w:hAnsi="Calibri"/>
          <w:i/>
          <w:sz w:val="22"/>
        </w:rPr>
        <w:t>įkrovimo stotelę</w:t>
      </w:r>
      <w:r>
        <w:rPr>
          <w:rFonts w:ascii="Calibri" w:hAnsi="Calibri"/>
          <w:sz w:val="22"/>
        </w:rPr>
        <w:t xml:space="preserve"> 20 automobilių stovėjimo aikštelių ar jų daliai.</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Automobilių stovėjimo aikštelių su prieinamomis stovėjimo vietomis atveju, kaip nustatyta pagrindiniame saugos ir prieinamumo dokumente (DB SUA), kas penktoje prieinamoje stovėjimo aikštelėje įrengiama viena </w:t>
      </w:r>
      <w:r>
        <w:rPr>
          <w:rFonts w:ascii="Calibri" w:hAnsi="Calibri"/>
          <w:i/>
          <w:sz w:val="22"/>
        </w:rPr>
        <w:t xml:space="preserve"> įkrovimo stotelė</w:t>
      </w:r>
      <w:r>
        <w:rPr>
          <w:rFonts w:ascii="Calibri" w:hAnsi="Calibri"/>
          <w:sz w:val="22"/>
        </w:rPr>
        <w:t xml:space="preserve">. Šiose vietose esančios </w:t>
      </w:r>
      <w:r>
        <w:rPr>
          <w:rFonts w:ascii="Calibri" w:hAnsi="Calibri"/>
          <w:i/>
          <w:sz w:val="22"/>
        </w:rPr>
        <w:t>įkrovimo stotelės</w:t>
      </w:r>
      <w:r>
        <w:rPr>
          <w:rFonts w:ascii="Calibri" w:hAnsi="Calibri"/>
          <w:sz w:val="22"/>
        </w:rPr>
        <w:t xml:space="preserve"> skaičiuojamos siekiant laikytis reikalavimo kiekybinio įvertinimo.</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Pastatams, kuriuose yra </w:t>
      </w:r>
      <w:r>
        <w:rPr>
          <w:rFonts w:ascii="Calibri" w:hAnsi="Calibri"/>
          <w:i/>
          <w:sz w:val="22"/>
        </w:rPr>
        <w:t xml:space="preserve">privačioms gyvenamosioms reikmėms skirtų patalpų </w:t>
      </w:r>
      <w:r>
        <w:rPr>
          <w:rFonts w:ascii="Calibri" w:hAnsi="Calibri"/>
          <w:sz w:val="22"/>
        </w:rPr>
        <w:t>kartu su skirtingo naudojimo vienetais, kai su kiekvienu naudojimu susijusios stovėjimo aikštelės nėra aiškiai diferencijuotos, taikomas įprasto pastato naudojimo kriterijus.</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Reikalavimo pagrindimas</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Siekiant įrodyti, kad pastatas atitinka šio pagrindinio dokumento reikalavimus, projekto dokumentuose pateikiama ši informacija apie pastatą arba jo atitinkamą dalį:</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matmenims nustatyti naudojama laidų schema, kaip aprašyta Žemos įtampos elektrotechnikos reglamente;</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pagrindinės magistralės ir paruoštų vamzdynų aprašymas, nurodant automobilių stovėjimo vietų su elektros instaliacijomis procentą ir mažiausią reikalaujamą procentinę dalį;</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įrengtų </w:t>
      </w:r>
      <w:r>
        <w:rPr>
          <w:rFonts w:ascii="Calibri" w:hAnsi="Calibri"/>
          <w:i/>
          <w:sz w:val="22"/>
        </w:rPr>
        <w:t>įkrovimo stotelių</w:t>
      </w:r>
      <w:r>
        <w:rPr>
          <w:rFonts w:ascii="Calibri" w:hAnsi="Calibri"/>
          <w:sz w:val="22"/>
        </w:rPr>
        <w:t xml:space="preserve"> skaičius ir mažiausias skaičius, gautas atlikus reikalavimo kiekybinį įvertinimą;</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w:t>
      </w:r>
      <w:r>
        <w:rPr>
          <w:rFonts w:ascii="Calibri" w:hAnsi="Calibri"/>
          <w:i/>
          <w:sz w:val="22"/>
        </w:rPr>
        <w:t>įkrovimo stotelių</w:t>
      </w:r>
      <w:r>
        <w:rPr>
          <w:rFonts w:ascii="Calibri" w:hAnsi="Calibri"/>
          <w:sz w:val="22"/>
        </w:rPr>
        <w:t xml:space="preserve"> tipai ir jų galios reitingai.</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5</w:t>
      </w:r>
      <w:r>
        <w:rPr>
          <w:rFonts w:ascii="Calibri" w:hAnsi="Calibri"/>
          <w:sz w:val="22"/>
        </w:rPr>
        <w:tab/>
        <w:t>Statyba, priežiūra ir remontas</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Vykdymas</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Pastato statybos darbai atliekami pagal projektą ir jo pakeitimus, kuriems pritarė statybos vadovas, suderinus su užsakovu, taikomais teisės aktais, Žemos įtampos elektrotechnikos reglamento specifikacijomis ir jo papildoma technine instrukcija ITC BT-52 „Specialios paskirties įrenginiai. </w:t>
      </w:r>
      <w:r>
        <w:rPr>
          <w:rFonts w:ascii="Calibri" w:hAnsi="Calibri"/>
          <w:i/>
          <w:sz w:val="22"/>
        </w:rPr>
        <w:t>Elektromobilių</w:t>
      </w:r>
      <w:r>
        <w:rPr>
          <w:rFonts w:ascii="Calibri" w:hAnsi="Calibri"/>
          <w:sz w:val="22"/>
        </w:rPr>
        <w:t xml:space="preserve"> įkrovimo infrastruktūra“, geros statybos praktikos standartais ir statybos vadovo bei projekto įgyvendinimo vadovo instrukcijomis, kaip nurodyta CTE I dalies 7 straipsnyje.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Darbų vykdymo stebėjimas</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Darbų</w:t>
      </w:r>
      <w:r>
        <w:rPr>
          <w:rFonts w:ascii="Calibri" w:hAnsi="Calibri"/>
          <w:color w:val="FF0000"/>
          <w:sz w:val="22"/>
        </w:rPr>
        <w:t xml:space="preserve"> </w:t>
      </w:r>
      <w:r>
        <w:rPr>
          <w:rFonts w:ascii="Calibri" w:hAnsi="Calibri"/>
          <w:sz w:val="22"/>
        </w:rPr>
        <w:t>vykdymas stebimas pagal projekto specifikacijas, jų priedus ir pakeitimus, kuriuos leido statybos vadovas, ir projekto įgyvendinimo vadovo nurodymus, vadovaujantis Žemos įtampos elektrotechnikos taisyklių specifikacijomis, vadovaujantis CTE I dalies 7 straipsnio 3 dalimi ir kitais taikomais reglamentais.</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Darbų vykdymas tikrinamas siekiant užtikrinti, kad patikrinimai būtų atliekami reikiamu dažnumu, kaip nurodyta projekto specifikacijose.</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Visi darbų vykdymo metu padaryti pakeitimai įrašomi į užbaigtų darbų dokumentus ir visais atvejais turi būti įvykdytos šiame pagrindiniame dokumente nustatytos būtinosios sąlygos.</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Dokumentai, susiję su į pastatą įmontuotų produktų, įrangos ir sistemų charakteristikomis, įtraukiami į statybos knygą.</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Atlikto darbo patikrinimas</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Užbaigti darbai turi būti tikrinami pagal Techninių ekspertų komiteto I dalies 7 straipsnio 4 dalyje nurodytus kriterijus.</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Šiame pagrindinio dokumento skirsnyje galutiniai bandymai nenurodomi.</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Pastato priežiūra ir remontas</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Į statybos knygą įtraukiamas techninės priežiūros planas apima operacijas ir dažnumą, reikalingus </w:t>
      </w:r>
      <w:r>
        <w:rPr>
          <w:rFonts w:ascii="Calibri" w:hAnsi="Calibri"/>
          <w:i/>
          <w:sz w:val="22"/>
        </w:rPr>
        <w:t>elektromobilių įkrovimo infrastruktūros</w:t>
      </w:r>
      <w:r>
        <w:rPr>
          <w:rFonts w:ascii="Calibri" w:hAnsi="Calibri"/>
          <w:sz w:val="22"/>
        </w:rPr>
        <w:t xml:space="preserve"> projekto ir eksploatacinių parametrų priežiūrai laikui bėgant.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Statybos knygoje taip pat bus dokumentuotos visos per visą pastato gyvavimo laikotarpį atliktos intervencijos, nesvarbu, ar tai būtų remontas, atnaujinimas ar rekonstravimas.“</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A priede išbraukiami terminai „pradinis apšvietimas“ ir „Atspindys“.</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A priede pateiktoje apibrėžtyje „</w:t>
      </w:r>
      <w:r>
        <w:rPr>
          <w:rFonts w:ascii="Calibri" w:hAnsi="Calibri"/>
          <w:i/>
          <w:sz w:val="22"/>
        </w:rPr>
        <w:t>Bendras šilumos perdavimo koeficientas (per pastato apvalkalą)</w:t>
      </w:r>
      <w:r>
        <w:rPr>
          <w:rFonts w:ascii="Calibri" w:hAnsi="Calibri"/>
          <w:sz w:val="22"/>
        </w:rPr>
        <w:t xml:space="preserve"> (K)“, kuri išdėstyta taip: “... K = X Hx/Aint...", jos apatinis indeksas turėtų būti „x“, „x“ ir „int“: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xml:space="preserve"> terminai „parietodinaminės sienos“ ir „trombinės sienos“ turėtų būti rašomi pasviruoju šriftu.</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A priedo apibrėžtyje „Kompaktiškumas“ antroje pastraipoje žodis „kompaktiškumas“ turėtų būti rašomas pasviruoju šriftu.</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A priedo apibrėžtyje „Veiklos sąlygos“ sąvoka „privatus gyvenamasis būstas“ turėtų būti rašoma pasviruoju šriftu.</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A priedo apibrėžtyje „Neatsinaujinančiųjų išteklių pirminės energijos suvartojimas“, kuri suformuluota taip: “... Neatsinaujinančiųjų išteklių pirminės energijos suvartojimas...“, „ep,nren“ turi būti rašoma kaip apatinis indeksas: “... Neatsinaujinančiųjų išteklių pirminės energijos suvartojimas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A priedo apibrėžtyje „Bendras pirminės energijos suvartojimas“, kuri suformuluota taip: “... Bendras pirminės energijos suvartojimas...“ „ep,tot“ turi būti rašoma kaip apatinis indeksas: “... Bendras pirminės energijos suvartojimas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A priedo apibrėžtis „saulės energijos reguliavimas (q</w:t>
      </w:r>
      <w:r>
        <w:rPr>
          <w:rFonts w:ascii="Calibri" w:hAnsi="Calibri"/>
          <w:sz w:val="22"/>
          <w:vertAlign w:val="subscript"/>
        </w:rPr>
        <w:t>sol;jul</w:t>
      </w:r>
      <w:r>
        <w:rPr>
          <w:rFonts w:ascii="Calibri" w:hAnsi="Calibri"/>
          <w:sz w:val="22"/>
        </w:rPr>
        <w:t>)“, kuri suformuluota taip: „... naudingasis erdvių paviršius...“, turi būti išdėstyta taip: „... naudingasis gyvenamųjų erdvių paviršius...“. Formulės „Hsol;jul“ komponento apibrėžties pabaigoje taškas ir nauja pastraipa pakeičiami kabliataškiu, o kito formulės komponento apibrėžtis pridedama taip:</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sritis laikoma atitinkančia HE 0 skirsnio 4.6 skyrių.“</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A priede termino „galutinė energija“ apibrėžtyje frazė „vartotojų perkama elektros energija arba tiesiogiai naudojamas kuras“ pakeičiama fraze „yra tai, kas tiekiama į pastatų sistemas paslaugoms teikti; šis tiekimas paprastai vykdomas naudojant kurą, gamybą vietoje arba specialius tinklus (elektros energijos, dujų, šilumos ar vėsinimo tiekimo ir t. t.)“.</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A priedo apibrėžtyje „Kondicionuojama gyvenamoji erdvė“ sąvoka „privatus gyvenamasis būstas“ turėtų būti rašoma pasviruoju šriftu.</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A priedo apibrėžtyje „Naudojimo laikotarpis“ antroje pastraipoje sąvoka „privatus gyvenamasis būstas“ turėtų būti rašoma pasviruoju šriftu.</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A priede termino „Šilumos perdavimas (U vertė)“ apibrėžtyje pridedamas šis sakinys:</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„Išreikšta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A priedo apibrėžtyje „Įrenginio energijos vartojimo efektyvumo vertė (VEEI)“ sąvoka „privatus gyvenamasis būstas“ turėtų būti rašoma pasviruoju šriftu.</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Į A priedą „Terminologija“ įtraukiami šie terminai:</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Pagalbinė įranga</w:t>
      </w:r>
      <w:r>
        <w:rPr>
          <w:rFonts w:ascii="Calibri" w:hAnsi="Calibri"/>
          <w:b/>
          <w:sz w:val="22"/>
        </w:rPr>
        <w:t xml:space="preserve">: </w:t>
      </w:r>
      <w:r>
        <w:rPr>
          <w:rFonts w:ascii="Calibri" w:hAnsi="Calibri"/>
          <w:sz w:val="22"/>
        </w:rPr>
        <w:t>elektros arba elektroninė įranga, susijusi su šviesa, skirtinga kiekvienam šviesos tipui, kurios funkcija yra uždegimas ir veikimo sąlygų valdymas. Šią pagalbinę įrangą, nebent ji yra elektroninė, sudaro starteris, balastinis įtaisas ir kondensatorius.</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Įkrovimo stotelė</w:t>
      </w:r>
      <w:r>
        <w:rPr>
          <w:rFonts w:ascii="Calibri" w:hAnsi="Calibri"/>
          <w:b/>
          <w:sz w:val="22"/>
        </w:rPr>
        <w:t xml:space="preserve">: </w:t>
      </w:r>
      <w:r>
        <w:rPr>
          <w:rFonts w:ascii="Calibri" w:hAnsi="Calibri"/>
          <w:sz w:val="22"/>
        </w:rPr>
        <w:t xml:space="preserve">elementų rinkinys, būtinas elektromobiliui prijungti prie įkrovimui reikalingos stacionarios elektros įrangos. </w:t>
      </w:r>
      <w:r>
        <w:rPr>
          <w:rFonts w:ascii="Calibri" w:hAnsi="Calibri"/>
          <w:i/>
          <w:sz w:val="22"/>
        </w:rPr>
        <w:t>Įkrovimo stotelės</w:t>
      </w:r>
      <w:r>
        <w:rPr>
          <w:rFonts w:ascii="Calibri" w:hAnsi="Calibri"/>
          <w:sz w:val="22"/>
        </w:rPr>
        <w:t xml:space="preserve"> klasifikuojamos kaip:</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Atskiras įkrovimo punktas, kurį sudaro būtinos apsaugos priemonės, vienas ar daugiau kištukinių lizdų, kurie nėra būdingi </w:t>
      </w:r>
      <w:r>
        <w:rPr>
          <w:rFonts w:ascii="Calibri" w:hAnsi="Calibri"/>
          <w:i/>
          <w:sz w:val="22"/>
        </w:rPr>
        <w:t>elektromobiliui</w:t>
      </w:r>
      <w:r>
        <w:rPr>
          <w:rFonts w:ascii="Calibri" w:hAnsi="Calibri"/>
          <w:sz w:val="22"/>
        </w:rPr>
        <w:t>, ir, jei taikoma, apvalkalas.</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SAVE </w:t>
      </w:r>
      <w:r>
        <w:rPr>
          <w:rFonts w:ascii="Calibri" w:hAnsi="Calibri"/>
          <w:i/>
          <w:sz w:val="22"/>
        </w:rPr>
        <w:t>(Speciali elektromobilio elektros energijos tiekimo sistema)</w:t>
      </w:r>
      <w:r>
        <w:rPr>
          <w:rFonts w:ascii="Calibri" w:hAnsi="Calibri"/>
          <w:sz w:val="22"/>
        </w:rPr>
        <w:t xml:space="preserve"> tipo įkrovimo prieiga.“</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Elektromobilių įkrovimo infrastruktūra</w:t>
      </w:r>
      <w:r>
        <w:rPr>
          <w:rFonts w:ascii="Calibri" w:hAnsi="Calibri"/>
          <w:b/>
          <w:sz w:val="22"/>
        </w:rPr>
        <w:t xml:space="preserve">: </w:t>
      </w:r>
      <w:r>
        <w:rPr>
          <w:rFonts w:ascii="Calibri" w:hAnsi="Calibri"/>
          <w:sz w:val="22"/>
        </w:rPr>
        <w:t xml:space="preserve">fizinių ir loginių įtaisų, skirtų elektromobiliams įkrauti, rinkinys, atitinkantis saugos ir prieinamumo reikalavimus, kiekvienu atveju numatytus Žemos įtampos elektrotechnikos reglamente, galintis teikti visą ir visapusišką įkrovimo paslaugą. Ji apima </w:t>
      </w:r>
      <w:r>
        <w:rPr>
          <w:rFonts w:ascii="Calibri" w:hAnsi="Calibri"/>
          <w:i/>
          <w:sz w:val="22"/>
        </w:rPr>
        <w:t>įkrovimo stoteles</w:t>
      </w:r>
      <w:r>
        <w:rPr>
          <w:rFonts w:ascii="Calibri" w:hAnsi="Calibri"/>
          <w:sz w:val="22"/>
        </w:rPr>
        <w:t xml:space="preserve">, valdymo sistemą, elektros kabelių izoliacinius vamzdžius, elektros valdymo ir apsaugos skydus bei matavimo įrangą, kai jie skirti tik </w:t>
      </w:r>
      <w:r>
        <w:rPr>
          <w:rFonts w:ascii="Calibri" w:hAnsi="Calibri"/>
          <w:i/>
          <w:sz w:val="22"/>
        </w:rPr>
        <w:t>elektromobiliams</w:t>
      </w:r>
      <w:r>
        <w:rPr>
          <w:rFonts w:ascii="Calibri" w:hAnsi="Calibri"/>
          <w:sz w:val="22"/>
        </w:rPr>
        <w:t xml:space="preserve"> įkrauti.“</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lastRenderedPageBreak/>
        <w:t>„</w:t>
      </w:r>
      <w:r>
        <w:rPr>
          <w:rFonts w:ascii="Calibri" w:hAnsi="Calibri"/>
          <w:b/>
          <w:i/>
          <w:sz w:val="22"/>
        </w:rPr>
        <w:t>„Speciali elektromobilio elektros energijos sistema (SAVE)</w:t>
      </w:r>
      <w:r>
        <w:rPr>
          <w:rFonts w:ascii="Calibri" w:hAnsi="Calibri"/>
          <w:b/>
          <w:sz w:val="22"/>
        </w:rPr>
        <w:t>:</w:t>
      </w:r>
      <w:r>
        <w:rPr>
          <w:rFonts w:ascii="Calibri" w:hAnsi="Calibri"/>
          <w:sz w:val="22"/>
        </w:rPr>
        <w:t xml:space="preserve"> įrangos, sumontuotos elektros energijai tiekti, rinkinys elektromobiliui įkrauti, įskaitant įkrovimo stotelės apsaugą, prijungimo kabelį (su fazės, neutraliais ir apsaugos laidininkais), kištukinio lizdo pagrindą arba jungtį ir, jei taikoma, kintamosios srovės keitiklį. Ši sistema prireikus turi leisti palaikyti ryšį tarp </w:t>
      </w:r>
      <w:r>
        <w:rPr>
          <w:rFonts w:ascii="Calibri" w:hAnsi="Calibri"/>
          <w:i/>
          <w:sz w:val="22"/>
        </w:rPr>
        <w:t>elektromobilio</w:t>
      </w:r>
      <w:r>
        <w:rPr>
          <w:rFonts w:ascii="Calibri" w:hAnsi="Calibri"/>
          <w:sz w:val="22"/>
        </w:rPr>
        <w:t xml:space="preserve"> ir stacionarios įrangos.“</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Privatus gyvenamasis būstas –</w:t>
      </w:r>
      <w:r>
        <w:rPr>
          <w:rFonts w:ascii="Calibri" w:hAnsi="Calibri"/>
          <w:sz w:val="22"/>
        </w:rPr>
        <w:t xml:space="preserve"> Pastatas arba teritorija, skirta nuolat gyventi, neatsižvelgiant į pastato tipą: atskiras namas, daugiabutis namas ir t. t. tiek viešajam, tiek privačiajam rajonui.“ </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 xml:space="preserve">Elektromobilis – </w:t>
      </w:r>
      <w:r>
        <w:rPr>
          <w:rFonts w:ascii="Calibri" w:hAnsi="Calibri"/>
          <w:sz w:val="22"/>
        </w:rPr>
        <w:t>motorinė transporto priemonė su varomąja grupe, turinčia bent vieną ne periferinį elektros mechanizmą, veikiantį kaip energijos keitiklis, su įkraunamąja elektros energijos kaupimo sistema, kurią galima įkrauti iš išorės.“</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C priede terminas „pastato apvalkalas“ pavadinime ir 1 skirsnio a punkte vartojamas terminas „negyvenamieji plotai“ turi būti rašomi pasviruoju šriftu.</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D priedo pavadinimo sąvokos „Veiklos sąlygos“ ir „Naudojimo profiliai“ turi būti rašomi pasviruoju šriftu pavadinime, 2 dalyje ir lentelėse: D priedo a lentelėje, D priedo b lentelėje ir D priedo c lentelėje.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aaa) D priedo 2 dalis „</w:t>
      </w:r>
      <w:r>
        <w:rPr>
          <w:rFonts w:ascii="Calibri" w:hAnsi="Calibri"/>
          <w:i/>
          <w:sz w:val="22"/>
        </w:rPr>
        <w:t>Eksploatacinės sąlygos</w:t>
      </w:r>
      <w:r>
        <w:rPr>
          <w:rFonts w:ascii="Calibri" w:hAnsi="Calibri"/>
          <w:sz w:val="22"/>
        </w:rPr>
        <w:t xml:space="preserve"> ir </w:t>
      </w:r>
      <w:r>
        <w:rPr>
          <w:rFonts w:ascii="Calibri" w:hAnsi="Calibri"/>
          <w:i/>
          <w:sz w:val="22"/>
        </w:rPr>
        <w:t>naudojimo profilis</w:t>
      </w:r>
      <w:r>
        <w:rPr>
          <w:rFonts w:ascii="Calibri" w:hAnsi="Calibri"/>
          <w:sz w:val="22"/>
        </w:rPr>
        <w:t xml:space="preserve">...“ turėtų būti pernumeruota „3. </w:t>
      </w:r>
      <w:r>
        <w:rPr>
          <w:rFonts w:ascii="Calibri" w:hAnsi="Calibri"/>
          <w:i/>
          <w:sz w:val="22"/>
        </w:rPr>
        <w:t xml:space="preserve">Eksploatacinės sąlygos </w:t>
      </w:r>
      <w:r>
        <w:rPr>
          <w:rFonts w:ascii="Calibri" w:hAnsi="Calibri"/>
          <w:sz w:val="22"/>
        </w:rPr>
        <w:t xml:space="preserve">ir </w:t>
      </w:r>
      <w:r>
        <w:rPr>
          <w:rFonts w:ascii="Calibri" w:hAnsi="Calibri"/>
          <w:i/>
          <w:sz w:val="22"/>
        </w:rPr>
        <w:t>naudojimo profilis</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D priedo 4 dalyje tekstas „Pripažintas dokumentas“ pakeičiamas tekstu „Pastatų energinio sertifikavimo pripažintas dokumentas“.</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E priede sąvoka „privačios gyvenamosios paskirties“ 1 skirsnyje turėtų būti rašoma pasviruoju šriftu.</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F priede sąvoka „privatus gyvenamasis būstas“ turėtų būti rašoma pasviruoju šriftu ir 1 skyriuje, ir F priedo a lentelėje.</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H priede po skirsnio antraštės įterpiama: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„Pastato </w:t>
      </w:r>
      <w:r>
        <w:rPr>
          <w:rFonts w:ascii="Calibri" w:hAnsi="Calibri"/>
          <w:i/>
          <w:sz w:val="22"/>
        </w:rPr>
        <w:t xml:space="preserve">pralaidumo orui </w:t>
      </w:r>
      <w:r>
        <w:rPr>
          <w:rFonts w:ascii="Calibri" w:hAnsi="Calibri"/>
          <w:sz w:val="22"/>
        </w:rPr>
        <w:t xml:space="preserve">nustatymas turi būti atliekamas vienu iš toliau nurodytų būdų.“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fff) H priede frazė „Oro pokyčio santykio vertė esant 50 Pa, n50, gali būti nustatyta atliekant bandymus pagal UNE-EN 13829:2002 B metodą „Pastatų sandarumo nustatymas. Slėgio didinimo naudojant ventiliatorių metodas.“ pakeičiama taip: „</w:t>
      </w:r>
      <w:r>
        <w:rPr>
          <w:rFonts w:ascii="Calibri" w:hAnsi="Calibri"/>
          <w:i/>
          <w:sz w:val="22"/>
        </w:rPr>
        <w:t>Oro pokyčio santykio</w:t>
      </w:r>
      <w:r>
        <w:rPr>
          <w:rFonts w:ascii="Calibri" w:hAnsi="Calibri"/>
          <w:sz w:val="22"/>
        </w:rPr>
        <w:t xml:space="preserve"> vertė esant 50 Pa, n</w:t>
      </w:r>
      <w:r>
        <w:rPr>
          <w:rFonts w:ascii="Calibri" w:hAnsi="Calibri"/>
          <w:sz w:val="22"/>
          <w:vertAlign w:val="subscript"/>
        </w:rPr>
        <w:t>50</w:t>
      </w:r>
      <w:r>
        <w:rPr>
          <w:rFonts w:ascii="Calibri" w:hAnsi="Calibri"/>
          <w:sz w:val="22"/>
        </w:rPr>
        <w:t xml:space="preserve">, atliekant bandymus nustatoma pagal UNE-EN ISO 9972: 2019 </w:t>
      </w:r>
      <w:r>
        <w:rPr>
          <w:rFonts w:ascii="Calibri" w:hAnsi="Calibri"/>
          <w:i/>
          <w:sz w:val="22"/>
        </w:rPr>
        <w:t>Pastatų šiluminis naudingumas. Pastatų pralaidumo orui nustatymas. Ventiliatoriaus slėgio didinimo metodas“ 1 arba 2 metodą.</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H skirsnio 2 skyrius: „... 2. Oro pokyčio, esant 50 Pa, n</w:t>
      </w:r>
      <w:r>
        <w:rPr>
          <w:rFonts w:ascii="Calibri" w:hAnsi="Calibri"/>
          <w:sz w:val="22"/>
          <w:vertAlign w:val="subscript"/>
        </w:rPr>
        <w:t>50</w:t>
      </w:r>
      <w:r>
        <w:rPr>
          <w:rFonts w:ascii="Calibri" w:hAnsi="Calibri"/>
          <w:sz w:val="22"/>
        </w:rPr>
        <w:t>, santykio vertė gali būti apskaičiuojama pagal šią lygtį:“ turi būti išdėstytas taip: „... 1. Oro pokyčio, esant 50 Pa, n</w:t>
      </w:r>
      <w:r>
        <w:rPr>
          <w:rFonts w:ascii="Calibri" w:hAnsi="Calibri"/>
          <w:sz w:val="22"/>
          <w:vertAlign w:val="subscript"/>
        </w:rPr>
        <w:t>50</w:t>
      </w:r>
      <w:r>
        <w:rPr>
          <w:rFonts w:ascii="Calibri" w:hAnsi="Calibri"/>
          <w:sz w:val="22"/>
        </w:rPr>
        <w:t xml:space="preserve"> ir etaloninių verčių </w:t>
      </w:r>
      <w:r>
        <w:rPr>
          <w:rFonts w:ascii="Calibri" w:hAnsi="Calibri"/>
          <w:i/>
          <w:sz w:val="22"/>
        </w:rPr>
        <w:t>santykio vertė</w:t>
      </w:r>
      <w:r>
        <w:rPr>
          <w:rFonts w:ascii="Calibri" w:hAnsi="Calibri"/>
          <w:sz w:val="22"/>
        </w:rPr>
        <w:t xml:space="preserve"> apskaičiuojama pagal šią formulę, suformuluota taip: „n</w:t>
      </w:r>
      <w:r>
        <w:rPr>
          <w:rFonts w:ascii="Calibri" w:hAnsi="Calibri"/>
          <w:sz w:val="22"/>
          <w:vertAlign w:val="subscript"/>
        </w:rPr>
        <w:t>50</w:t>
      </w:r>
      <w:r>
        <w:rPr>
          <w:rFonts w:ascii="Calibri" w:hAnsi="Calibri"/>
          <w:sz w:val="22"/>
        </w:rPr>
        <w:t xml:space="preserve"> = 0,629 (C</w:t>
      </w:r>
      <w:r>
        <w:rPr>
          <w:rFonts w:ascii="Calibri" w:hAnsi="Calibri"/>
          <w:sz w:val="22"/>
          <w:vertAlign w:val="subscript"/>
        </w:rPr>
        <w:t>o</w:t>
      </w:r>
      <w:r>
        <w:rPr>
          <w:rFonts w:ascii="Calibri" w:hAnsi="Calibri"/>
          <w:sz w:val="22"/>
        </w:rPr>
        <w:t xml:space="preserve">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A</w:t>
      </w:r>
      <w:r>
        <w:rPr>
          <w:rFonts w:ascii="Calibri" w:hAnsi="Calibri"/>
          <w:sz w:val="22"/>
          <w:vertAlign w:val="subscript"/>
        </w:rPr>
        <w:t>h</w:t>
      </w:r>
      <w:r>
        <w:rPr>
          <w:rFonts w:ascii="Calibri" w:hAnsi="Calibri"/>
          <w:sz w:val="22"/>
        </w:rPr>
        <w:t>) / V“, turi būti išdėstyta taip: „n</w:t>
      </w:r>
      <w:r>
        <w:rPr>
          <w:rFonts w:ascii="Calibri" w:hAnsi="Calibri"/>
          <w:sz w:val="22"/>
          <w:vertAlign w:val="subscript"/>
        </w:rPr>
        <w:t>50</w:t>
      </w:r>
      <w:r>
        <w:rPr>
          <w:rFonts w:ascii="Calibri" w:hAnsi="Calibri"/>
          <w:sz w:val="22"/>
        </w:rPr>
        <w:t xml:space="preserve"> = 0,629 (C</w:t>
      </w:r>
      <w:r>
        <w:rPr>
          <w:rFonts w:ascii="Calibri" w:hAnsi="Calibri"/>
          <w:sz w:val="22"/>
          <w:vertAlign w:val="subscript"/>
        </w:rPr>
        <w:t>o</w:t>
      </w:r>
      <w:r>
        <w:rPr>
          <w:rFonts w:ascii="Calibri" w:hAnsi="Calibri"/>
          <w:sz w:val="22"/>
        </w:rPr>
        <w:t xml:space="preserve">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suformuluota taip: „V – pastato apvalkalo vidinis tūris [m</w:t>
      </w:r>
      <w:r>
        <w:rPr>
          <w:rFonts w:ascii="Calibri" w:hAnsi="Calibri"/>
          <w:sz w:val="22"/>
          <w:vertAlign w:val="superscript"/>
        </w:rPr>
        <w:t>3</w:t>
      </w:r>
      <w:r>
        <w:rPr>
          <w:rFonts w:ascii="Calibri" w:hAnsi="Calibri"/>
          <w:sz w:val="22"/>
        </w:rPr>
        <w:t>]“, turi būti išdėstyta taip: „V</w:t>
      </w:r>
      <w:r>
        <w:rPr>
          <w:rFonts w:ascii="Calibri" w:hAnsi="Calibri"/>
          <w:sz w:val="22"/>
          <w:vertAlign w:val="subscript"/>
        </w:rPr>
        <w:t>int</w:t>
      </w:r>
      <w:r>
        <w:rPr>
          <w:rFonts w:ascii="Calibri" w:hAnsi="Calibri"/>
          <w:sz w:val="22"/>
        </w:rPr>
        <w:t xml:space="preserve"> – </w:t>
      </w:r>
      <w:r>
        <w:rPr>
          <w:rFonts w:ascii="Calibri" w:hAnsi="Calibri"/>
          <w:i/>
          <w:sz w:val="22"/>
        </w:rPr>
        <w:t>pastato apvalkalo</w:t>
      </w:r>
      <w:r>
        <w:rPr>
          <w:rFonts w:ascii="Calibri" w:hAnsi="Calibri"/>
          <w:sz w:val="22"/>
        </w:rPr>
        <w:t xml:space="preserve"> vidinis oro tūris [m</w:t>
      </w:r>
      <w:r>
        <w:rPr>
          <w:rFonts w:ascii="Calibri" w:hAnsi="Calibri"/>
          <w:sz w:val="22"/>
          <w:vertAlign w:val="superscript"/>
        </w:rPr>
        <w:t>3</w:t>
      </w:r>
      <w:r>
        <w:rPr>
          <w:rFonts w:ascii="Calibri" w:hAnsi="Calibri"/>
          <w:sz w:val="22"/>
        </w:rPr>
        <w:t>]“, ir kur: „A</w:t>
      </w:r>
      <w:r>
        <w:rPr>
          <w:rFonts w:ascii="Calibri" w:hAnsi="Calibri"/>
          <w:sz w:val="22"/>
          <w:vertAlign w:val="subscript"/>
        </w:rPr>
        <w:t>o</w:t>
      </w:r>
      <w:r>
        <w:rPr>
          <w:rFonts w:ascii="Calibri" w:hAnsi="Calibri"/>
          <w:sz w:val="22"/>
        </w:rPr>
        <w:t xml:space="preserve"> – </w:t>
      </w:r>
      <w:r>
        <w:rPr>
          <w:rFonts w:ascii="Calibri" w:hAnsi="Calibri"/>
          <w:i/>
          <w:sz w:val="22"/>
        </w:rPr>
        <w:t>pastato apvalkalo</w:t>
      </w:r>
      <w:r>
        <w:rPr>
          <w:rFonts w:ascii="Calibri" w:hAnsi="Calibri"/>
          <w:sz w:val="22"/>
        </w:rPr>
        <w:t xml:space="preserve"> nepermatomos dalies paviršius [m</w:t>
      </w:r>
      <w:r>
        <w:rPr>
          <w:rFonts w:ascii="Calibri" w:hAnsi="Calibri"/>
          <w:sz w:val="22"/>
          <w:vertAlign w:val="superscript"/>
        </w:rPr>
        <w:t>2</w:t>
      </w:r>
      <w:r>
        <w:rPr>
          <w:rFonts w:ascii="Calibri" w:hAnsi="Calibri"/>
          <w:sz w:val="22"/>
        </w:rPr>
        <w:t>]“ turi būti išdėstyta taip: „A</w:t>
      </w:r>
      <w:r>
        <w:rPr>
          <w:rFonts w:ascii="Calibri" w:hAnsi="Calibri"/>
          <w:sz w:val="22"/>
          <w:vertAlign w:val="subscript"/>
        </w:rPr>
        <w:t>o</w:t>
      </w:r>
      <w:r>
        <w:rPr>
          <w:rFonts w:ascii="Calibri" w:hAnsi="Calibri"/>
          <w:sz w:val="22"/>
        </w:rPr>
        <w:t xml:space="preserve"> – </w:t>
      </w:r>
      <w:r>
        <w:rPr>
          <w:rFonts w:ascii="Calibri" w:hAnsi="Calibri"/>
          <w:i/>
          <w:sz w:val="22"/>
        </w:rPr>
        <w:t>pastato apvalkalo</w:t>
      </w:r>
      <w:r>
        <w:rPr>
          <w:rFonts w:ascii="Calibri" w:hAnsi="Calibri"/>
          <w:sz w:val="22"/>
        </w:rPr>
        <w:t xml:space="preserve"> nepermatomos dalies paviršius, liečiantis su lauko oru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H priede sąvokos „pastato apvalkalas“ ir „ertmės“ turi būti rašomos pasviruoju šriftu sąvokų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apibrėžtyje ir H priedo a lentelėje.</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lastRenderedPageBreak/>
        <w:t>Ketvirta dalis.</w:t>
      </w:r>
      <w:r>
        <w:rPr>
          <w:rFonts w:ascii="Calibri" w:hAnsi="Calibri"/>
          <w:b/>
          <w:sz w:val="22"/>
        </w:rPr>
        <w:t xml:space="preserve"> </w:t>
      </w:r>
      <w:r>
        <w:rPr>
          <w:rFonts w:ascii="Calibri" w:hAnsi="Calibri"/>
          <w:sz w:val="22"/>
        </w:rPr>
        <w:t xml:space="preserve">Pagrindinis dokumentas DB-HS „Naudojimo sauga ir prieinamumas“, įtrauktas į Techninio statybos kodekso II dalį, pakeičiamas taip: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 priede į sąvokos „prieinamoji stovėjimo vieta“ apibrėžtį įtraukiamas brūkšnelis ir tekstas:</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Tuo atveju, jei </w:t>
      </w:r>
      <w:r>
        <w:rPr>
          <w:rFonts w:ascii="Calibri" w:hAnsi="Calibri"/>
          <w:i/>
          <w:sz w:val="22"/>
        </w:rPr>
        <w:t>prieinamoje stovėjimo aikštelėje</w:t>
      </w:r>
      <w:r>
        <w:rPr>
          <w:rFonts w:ascii="Calibri" w:hAnsi="Calibri"/>
          <w:sz w:val="22"/>
        </w:rPr>
        <w:t xml:space="preserve"> yra elektromobilių įkrovimo stotelė, į </w:t>
      </w:r>
      <w:r>
        <w:rPr>
          <w:rFonts w:ascii="Calibri" w:hAnsi="Calibri"/>
          <w:i/>
          <w:sz w:val="22"/>
        </w:rPr>
        <w:t>prieinamą maršrutą</w:t>
      </w:r>
      <w:r>
        <w:rPr>
          <w:rFonts w:ascii="Calibri" w:hAnsi="Calibri"/>
          <w:sz w:val="22"/>
        </w:rPr>
        <w:t xml:space="preserve"> taip pat įtraukiama ši įkrovimo stotelė. Šių įkrovimo stotelių elektros lizdai ir jungtys turi būti chromatiškai kontrastingos su aplinka, įrengti 80–120 cm aukštyje, o atstumas nuo kampų turi būti ne mažesnis kaip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Penkta dalis. Į II dalį įtrauktame pagrindiniame dokumente DB-HS „Sveikata“ įterpiami šie pakeitimai: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HS 4 skirsnio 3.2.2.1 skyriaus 2 punkto sakinys „mažiausias saulės energijos indėlis gaminant buitinį karštą vandenį“ pakeičiamas sakiniu „mažiausias atsinaujinančiųjų išteklių energijos indėlis siekiant patenkinti buitinio karšto vandens poreikį“.</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HS 4 skirsnio 6.2 skyriuje punktas „e) polivinilo chlorido chlorinti (PVC-C) vamzdžiai pagal UNE-EN ISO 15874-1:2013, UNE-EN ISO 15874-2:2013 ir UNE-EN ISO 15874-3:2013;“ pakeičiamas punktu „e) polichlorinti vinilo chlorido (PVC-C) vamzdžiai pagal UNE-EN ISO 15877-1:2009 (+ UNE-EN ISO 15877-1:2009/A1): 2011 m.), UNE-EN ISO 15877-2:2009 (+UNE-EN ISO 15877-2:2009/A1:  2011 m.) ir UNE-EN ISO 15877-3:2009 (+ UNE-EN ISO 15877-3:2009/A1: 2011 m.);“.</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HS 4 skirsnio 6.2 skyriuje punktas „h) polibutileno vamzdžiai (PB) pagal UNE-EN ISO 15876-1:2017, UNE-EN ISO 15876-2:2017 ir UNE-EN ISO 15876-3:2017;“ pakeičiamas punktu „h) polibutileno vamzdžiai (PB) pagal UNE-EN ISO 15876-1:2017, UNE-EN ISO 15876-2:2017 ir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HS 4 skirsnio</w:t>
      </w:r>
      <w:r>
        <w:rPr>
          <w:rFonts w:ascii="Calibri" w:hAnsi="Calibri"/>
          <w:b/>
          <w:sz w:val="22"/>
        </w:rPr>
        <w:t xml:space="preserve"> </w:t>
      </w:r>
      <w:r>
        <w:rPr>
          <w:rFonts w:ascii="Calibri" w:hAnsi="Calibri"/>
          <w:sz w:val="22"/>
        </w:rPr>
        <w:t>C priedėlis, kuris suformuluotas taip: „Karšto ir šalto vandens įrenginių plastikinių vamzdynų sistemos. Polibutilenas (PB). 1 dalis. Bendroji dalis“, turi būti išdėstyta taip: „Karšto ir šalto vandens įrenginių plastikinių vamzdynų sistemos. Polibutenas (PB). 1 dalis. Bendroji dalis</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HS 4 skirsnio</w:t>
      </w:r>
      <w:r>
        <w:rPr>
          <w:rFonts w:ascii="Calibri" w:hAnsi="Calibri"/>
          <w:b/>
          <w:sz w:val="22"/>
        </w:rPr>
        <w:t xml:space="preserve"> </w:t>
      </w:r>
      <w:r>
        <w:rPr>
          <w:rFonts w:ascii="Calibri" w:hAnsi="Calibri"/>
          <w:sz w:val="22"/>
        </w:rPr>
        <w:t>C priedėlis, kuris suformuluotas taip: „Karšto ir šalto vandens įrenginių plastikinių vamzdynų sistemos. Polibutilenas (PB). 2 dalis. Vamzdžiai“, turi būti išdėstyta taip: „Karšto ir šalto vandens įrenginių plastikinių vamzdynų sistemos. Polibutenas (PB). 2 dalis. Vamzdžiai.</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HS 4 skirsnio</w:t>
      </w:r>
      <w:r>
        <w:rPr>
          <w:rFonts w:ascii="Calibri" w:hAnsi="Calibri"/>
          <w:b/>
          <w:sz w:val="22"/>
        </w:rPr>
        <w:t xml:space="preserve"> </w:t>
      </w:r>
      <w:r>
        <w:rPr>
          <w:rFonts w:ascii="Calibri" w:hAnsi="Calibri"/>
          <w:sz w:val="22"/>
        </w:rPr>
        <w:t>C priedėlis, kuris suformuluotas taip: „Karšto ir šalto vandens įrenginių plastikinių vamzdynų sistemos. Polibutilenas (PB). 3 dalis. Jungiamosios detalės“, turi būti išdėstyta taip: „Karšto ir šalto vandens įrenginių plastikinių vamzdynų sistemos. Polibutenas (PB). 3 dalis. Jungiamosios detalės.</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HS 4 skirsnio C priedėlyje po nuorodos į standartą „UNE-EN ISO 15876-3“ turi būti įtraukti šie punktai: 2017</w:t>
      </w:r>
      <w:r>
        <w:rPr>
          <w:rFonts w:ascii="Calibri" w:hAnsi="Calibri"/>
          <w:sz w:val="22"/>
        </w:rPr>
        <w:tab/>
        <w:t>Karšto ir šalto vandens įrenginių plastikinių vamzdynų sistemos. Polibutenas (PB). 3 dalis. Jungiamosios detalės“ atitinka šiuos standartus:</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Karšto ir šalto vandens įrenginių plastikinių vamzdynų sistemos. Chlorintas polivinilchloridas (PVC-C). 1 dalis. Bendrosios nuostatos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Karšto ir šalto vandens įrenginių plastikinių vamzdynų sistemos. Chlorintas polivinilchloridas (PVC-C). 2 dalis. Vamzdžiai.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Karšto ir šalto vandens įrenginių plastikinių vamzdynų sistemos. Chlorintas polivinilchloridas (PVC-C). 3 dalis. Jungiamosios detalės.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Pirmoji pereinamojo laikotarpio nuostata. </w:t>
      </w:r>
      <w:r>
        <w:rPr>
          <w:rFonts w:ascii="Calibri" w:hAnsi="Calibri"/>
          <w:i/>
          <w:sz w:val="22"/>
        </w:rPr>
        <w:t>Pastatai, kuriems netaikomos šio Karališkojo dekreto nuostatos.</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Šiuo Karališkuoju dekretu priimti Techninio statybos kodekso (CTE) pakeitimai netaikomi naujiems pastatams ar esamuose pastatuose atliekamiems darbams, dėl kurių abiem atvejais jau yra pateikti prašymai išduoti savivaldybės leidimą atlikti darbus šio Karališkojo dekreto įsigaliojimo metu.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Tokie darbai pradedami per ilgiausią minėto leidimo galiojimo laikotarpį, laikantis jį reglamentuojančių nuostatų arba, jei tokio leidimo nėra, per šešis mėnesius nuo minėto leidimo išdavimo. Priešingu atveju projektai turi būti pritaikyti prie šiuo Karališkuoju dekretu patvirtintų CTE pakeitimų.</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Antroji pereinamojo laikotarpio nuostata. </w:t>
      </w:r>
      <w:r>
        <w:rPr>
          <w:rFonts w:ascii="Calibri" w:hAnsi="Calibri"/>
          <w:i/>
          <w:sz w:val="22"/>
        </w:rPr>
        <w:t>Pastatai, kuriems šio Karališkojo dekreto nuostatos taikomos savanoriškai.</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Šiuo Karališkuoju dekretu patvirtinti Techninio statybos kodekso pakeitimai savanoriškai taikomi naujos statybos darbams ir esamuose pastatuose atliekamiems darbams, dėl kurių abiem atvejais per šešis mėnesius nuo šio Karališkojo dekreto įsigaliojimo dienos pateikti prašymai išduoti savivaldybės leidimą atlikti darbus.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Tokie darbai pradedami per ilgiausią minėto leidimo galiojimo laikotarpį, laikantis jį reglamentuojančių nuostatų arba, jei tokio leidimo nėra, per šešis mėnesius nuo minėto leidimo išdavimo. Priešingu atveju projektai turi būti pritaikyti prie šiuo Karališkuoju dekretu patvirtintų CTE pakeitimų.</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Trečioji pereinamojo laikotarpio nuostata. </w:t>
      </w:r>
      <w:r>
        <w:rPr>
          <w:rFonts w:ascii="Calibri" w:hAnsi="Calibri"/>
          <w:i/>
          <w:sz w:val="22"/>
        </w:rPr>
        <w:t>Pastatai, kuriems privaloma taikyti šio Karališkojo dekreto nuostatas.</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Šiuo Karališkuoju dekretu priimti Techninio statybos kodekso (CTE) pakeitimai turi būti taikomi naujiems pastatams arba esamuose pastatuose atliekamiems darbams, dėl kurių prašoma išduoti savivaldybės leidimą atlikti darbus, praėjus daugiau kaip devyniems mėnesiams nuo šios nuostatos įsigaliojimo.</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Pirmoji baigiamoji nuostata. </w:t>
      </w:r>
      <w:r>
        <w:rPr>
          <w:rFonts w:ascii="Calibri" w:hAnsi="Calibri"/>
          <w:i/>
          <w:sz w:val="22"/>
        </w:rPr>
        <w:t>Gruodžio 12 d. Karališkojo dekreto Nr. 1053/2014, kuriuo patvirtinama nauja papildoma techninė instrukcija (ITC) BT 52 „Specialiosios paskirties įrenginiai. Elektromobilių įkrovimo infrastruktūra“, Žemos įtampos elektrotechnikos reglamentų, patvirtintų rugpjūčio 2 d. Karališkuoju dekretu Nr. 842/2002, pakeitimas ir pakeičiamos kitos papildomos techninės instrukcijos.</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Gruodžio 12 d. Karališkasis dekretas Nr. 1053/2014, kuriuo patvirtinama nauja papildoma techninė instrukcija (ITC) BT 52 „Specialiosios paskirties įrenginiai. Elektromobilių įkrovimo infrastruktūra“, Žemos įtampos elektrotechnikos reglamentų, patvirtintų rugpjūčio 2 d. Karališkuoju dekretu Nr. 842/2002, ir kitos papildomos techninės instrukcijos iš dalies keičiami taip: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Pirma dalis. Pirmoji papildoma nuostata iš dalies keičiama ir išdėstoma taip:</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„Pirmoji papildoma nuostata. Būtiniausia konstrukcinė įranga elektromobiliams įkrauti automobilių stovėjimo aikštelėse, kurios nėra skirtos naujai pastatytiems ar kapitališkai renovuojamiems pastatams, ir viešuosiuose keliuose.</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Naujai pastatytose automobilių stovėjimo aikštelėse arba tose, kuriose atliekama kapitalinė renovacija ne pastate arba šalia jo, ir todėl nepatenka į Techninio statybos kodekso pagrindinio energijos taupymo dokumento (DB HE) taikymo sritį, kiekvienoms 40 stovėjimo vietų arba jų daliai turi būti įrengta bent viena įkrovimo stotelė. Automobilių stovėjimo aikštelė laikoma naujai pastatyta, kai statybos projektas pateikiamas kompetentingai viešojo administravimo institucijai svarstyti po šio Karališkojo dekreto įsigaliojimo.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Turi būti garantuoti įrenginiai, būtini įkrovimo stotelėms, esančioms elektromobilių stovėjimo erdvėse viršmunicipalinio lygmens viešuosiuose keliuose ar savivaldybės tvaraus judumo planuose, tiekti.“</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Antra dalis. PAPILDOMOS TECHNINĖS INSTRUKCIJOS (ITC) BT-52 3.2 skirsnis iš dalies keičiamas ir išdėstomas taip:</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Įrengimas automobilių stovėjimo aikštelėse arba bendrose automobilių stovėjimo erdvėse, besiribojančiose su pastatais ar pastatų kompleksais.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Elektros įrenginiai, skirti </w:t>
      </w:r>
      <w:r>
        <w:rPr>
          <w:rFonts w:ascii="Calibri" w:hAnsi="Calibri"/>
          <w:color w:val="000000"/>
          <w:sz w:val="22"/>
        </w:rPr>
        <w:t>elektromobiliams</w:t>
      </w:r>
      <w:r>
        <w:rPr>
          <w:rFonts w:ascii="Calibri" w:hAnsi="Calibri"/>
          <w:sz w:val="22"/>
        </w:rPr>
        <w:t xml:space="preserve"> įkrauti, įrengti automobilių stovėjimo aikštelėse ar viduje esančiose arba prie pastatų ar gyvenamųjų patalpų prijungtose automobilių stovėjimo aikštelėse, turi atitikti bet kurią iš pirmiau aprašytų schemų.</w:t>
      </w:r>
      <w:r>
        <w:rPr>
          <w:rFonts w:ascii="Calibri" w:hAnsi="Calibri"/>
          <w:color w:val="000000"/>
          <w:sz w:val="22"/>
        </w:rPr>
        <w:t xml:space="preserve"> </w:t>
      </w:r>
      <w:r>
        <w:rPr>
          <w:rFonts w:ascii="Calibri" w:hAnsi="Calibri"/>
          <w:sz w:val="22"/>
        </w:rPr>
        <w:t>Tame pačiame pastate gali būti naudojamos skirtingos schemos, jei laikomasi visų šiame (ITC) BT-52 nustatytų reikalavimų.</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Pagal 4a schemą įkrovimo grandinė turi atitikti (ITC) BT-15 aprašytas įrengimo sąlygas, naudojant tų pačių tipų ir charakteristikų kabelius ir laidumo sistemas kaip ir atskiram aplinkkeliui, o kabelių atkarpa apskaičiuojama pagal šio ITC 5 skirsnio bendruosius reikalavimus. Nebūtina numatyti kabelių atkarpos išplėtimo, kad būtų galima nustatyti naudojamos laidumo sistemos skersmenį arba skersinius matmenis.</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4b schema taikoma, kai įkrovimo stotelių tiekimas yra suprojektuotas kaip elektros įrenginio, skirto bendroms garažų paslaugoms teikti, sudedamoji dalis arba išplėtimas.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Tiek esamuose, tiek naujuose įrenginiuose, siekiant palengvinti pasirinktos elektros sistemos naudojimą, stalai, kuriuose yra bendroji apsauga ir kiti elektromobilių įkrovimo įtaisai, gali būti įrengti šiam tikslui skirtose patalpose arba bendrose patalpose.</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Išankstinis elektros įrengimas elektromobiliams įkrauti automobilių stovėjimo aikštelėse, esančiose greta pastatų ar pastatų kompleksų, palengvina tolesnį bet kurios galimos įrengimo schemos naudojimą. Tai apima šiuos elementus: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Kabelių laidumo sistemų įrengimas nuo skaitiklių centralizacijos ir prie pagrindinių automobilių stovėjimo aikštelių kelių, kad vėliau būtų galima įjungti įkrovimo stoteles, kurios gali būti įrengtos atskirose stovėjimo vietose ar automobilių stovėjimo aikštelėse. Jei planuojamas išankstinis 100 % vietų įrengimas, kabelių laidumo sistemos turi pasiekti kiekvieną vietą. Jei išankstinis įrengimas neplanuojamas 100 % vietų, apibrėžiamos vietos, kurios laikomos atitinkančiomis kabelių laidumo sistemų reglamentavimo reikalavimus, ir šios sistemos turi pasiekti kiekvieną iš tų vietų.</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Skaitiklių centralizacija nustatoma pagal elektros schemą, pasirinktą elektromobiliui įkrauti, kaip nustatyta (ITC) BT-16. Atsarginiai moduliai įrengiami bent 20 % garažo vietų, nesusijusių su būstu, ir net jeigu visos vietos yra susijusios su gyvenamosiomis patalpomis, – bent vienas atsarginis modulis. Turi būti galimybė šiems atsarginiams moduliams įrengti pagrindinį skaitiklį ir su skaitikliu susijusius apsaugos nuo viršsrovio įtaisus su saugikliais arba sistemos išjungikliais.</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Įkrovimo stotelėje įrengti kištukiniai lizdai arba jungtys ir jų automatiniai apsauginiai grandinės išjungikliai turi atitikti vieną iš 5.4 skirsnyje nurodytų variantų.“</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Trečia dalis. PAPILDOMOS TECHNINĖS INSTRUKCIJOS (ITC) BT-52 5.4 skirsnio pirma pastraipa iš dalies keičiama taip:</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Prijungimo taškas. </w:t>
      </w:r>
      <w:bookmarkStart w:id="26" w:name="_Hlk81468651"/>
      <w:r>
        <w:rPr>
          <w:rFonts w:ascii="Calibri" w:hAnsi="Calibri"/>
          <w:sz w:val="22"/>
        </w:rPr>
        <w:t xml:space="preserve">Prijungimo taškas turi būti įrengtas šalia aikštelės, kuriai turi būti tiekiama, ir įrengiamas stacionariame aptvare.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Mažiausias lizdų ir jungčių įrengimo aukštis turi būti 60 cm virš žemės paviršiaus. </w:t>
      </w:r>
      <w:bookmarkStart w:id="27" w:name="_Hlk81468224"/>
      <w:r>
        <w:rPr>
          <w:rFonts w:ascii="Calibri" w:hAnsi="Calibri"/>
          <w:sz w:val="22"/>
        </w:rPr>
        <w:t>Jei įkrovimo stotelė skirta viešam naudojimui, didžiausias aukštis turi būti 120 cm. Prieinamose stovėjimo vietose lizdai ir jungtys turi būti chromatiškai kontrastuojantys su aplinka, turi būti 80–120 cm aukštyje, o atstumas iki kampinių sandūrų turi būti ne mažesnis kaip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Antroji baigiamoji nuostata. </w:t>
      </w:r>
      <w:r>
        <w:rPr>
          <w:rFonts w:ascii="Calibri" w:hAnsi="Calibri"/>
          <w:i/>
          <w:sz w:val="22"/>
        </w:rPr>
        <w:t>Europos Sąjungos teisės perkėlimas.</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Šiuo Karališkuoju dekretu į Ispanijos teisę perkeliamos Europos Parlamento ir Tarybos direktyvos 2010/31/ES dėl pastatų energinio naudingumo su pakeitimais, padarytais 2018 m. gegužės 30 d. Europos Parlamento ir Tarybos </w:t>
      </w:r>
      <w:r>
        <w:rPr>
          <w:rFonts w:ascii="Calibri" w:hAnsi="Calibri"/>
          <w:sz w:val="22"/>
        </w:rPr>
        <w:lastRenderedPageBreak/>
        <w:t>direktyva (ES) 2018/844, kuria iš dalies keičiama Direktyva 2010/31/ES</w:t>
      </w:r>
      <w:r>
        <w:t xml:space="preserve"> </w:t>
      </w:r>
      <w:bookmarkStart w:id="28" w:name="_Hlk92814279"/>
      <w:r>
        <w:rPr>
          <w:rFonts w:ascii="Calibri" w:hAnsi="Calibri"/>
          <w:sz w:val="22"/>
        </w:rPr>
        <w:t>dėl pastatų</w:t>
      </w:r>
      <w:r>
        <w:t xml:space="preserve"> </w:t>
      </w:r>
      <w:bookmarkEnd w:id="28"/>
      <w:r>
        <w:rPr>
          <w:rFonts w:ascii="Calibri" w:hAnsi="Calibri"/>
          <w:sz w:val="22"/>
        </w:rPr>
        <w:t>energinio naudingumo ir Direktyva 2012/27/ES dėl energijos vartojimo efektyvumo, 8 straipsnio 2, 4, 5 ir 6 dalys.</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Trečioji baigiamoji nuostata. </w:t>
      </w:r>
      <w:r>
        <w:rPr>
          <w:rFonts w:ascii="Calibri" w:hAnsi="Calibri"/>
          <w:i/>
          <w:sz w:val="22"/>
        </w:rPr>
        <w:t>Įsigaliojimas.</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Šis Karališkasis dekretas įsigalioja jo paskelbimo Ispanijos oficialiajame leidinyje dieną.</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TURI BŪTI PATEIKTA MINISTRŲ TARYBAI</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Madridas, 2022 m. ... ... d.</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TRANSPORTO, JUDUMO IR MIESTŲ DARBOTVARKĖS MINISTRĖ</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VYRIAUSYBĖS MINISTRO PIRMININKO TREČIOJI PAVADUOTOJA IR EKOLOGINĖS PERTVARKOS IR DEMOGRAFINIŲ PROBLEMŲ MINISTRĖ</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7370" w14:textId="77777777" w:rsidR="00193CE4" w:rsidRDefault="00193CE4">
      <w:r>
        <w:separator/>
      </w:r>
    </w:p>
  </w:endnote>
  <w:endnote w:type="continuationSeparator" w:id="0">
    <w:p w14:paraId="380DF685" w14:textId="77777777" w:rsidR="00193CE4" w:rsidRDefault="0019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15A6" w14:textId="77777777" w:rsidR="00193CE4" w:rsidRDefault="00193CE4">
      <w:r>
        <w:separator/>
      </w:r>
    </w:p>
  </w:footnote>
  <w:footnote w:type="continuationSeparator" w:id="0">
    <w:p w14:paraId="251666F1" w14:textId="77777777" w:rsidR="00193CE4" w:rsidRDefault="0019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121"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122"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TRANSPORTO, </w:t>
          </w:r>
          <w:r>
            <w:rPr>
              <w:sz w:val="22"/>
            </w:rPr>
            <w:t xml:space="preserve">JUDUMO IR MIESTŲ DARBOTVARKĖS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MINISTERIJA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EKOLOGINĖS PERTVARKOS IR DEMOGRAFINIŲ IŠŠŪKIŲ MINISTERIJA</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NUOR.:</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NUOR. 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93CE4"/>
    <w:rsid w:val="001F7365"/>
    <w:rsid w:val="002B64A6"/>
    <w:rsid w:val="004D344F"/>
    <w:rsid w:val="00513973"/>
    <w:rsid w:val="00546D77"/>
    <w:rsid w:val="00717198"/>
    <w:rsid w:val="007C6042"/>
    <w:rsid w:val="008577E8"/>
    <w:rsid w:val="008D3E08"/>
    <w:rsid w:val="00991C0F"/>
    <w:rsid w:val="009B305A"/>
    <w:rsid w:val="00A72C5E"/>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lt-LT"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6144</Words>
  <Characters>43075</Characters>
  <Application>Microsoft Office Word</Application>
  <DocSecurity>0</DocSecurity>
  <Lines>598</Lines>
  <Paragraphs>279</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2022-09-12T07:29:00Z</dcterms:created>
  <dcterms:modified xsi:type="dcterms:W3CDTF">2022-09-12T07:29:00Z</dcterms:modified>
</cp:coreProperties>
</file>